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E438D">
      <w:pPr>
        <w:keepNext w:val="0"/>
        <w:keepLines w:val="0"/>
        <w:pageBreakBefore w:val="0"/>
        <w:widowControl w:val="0"/>
        <w:kinsoku/>
        <w:wordWrap/>
        <w:overflowPunct w:val="0"/>
        <w:topLinePunct w:val="0"/>
        <w:autoSpaceDE/>
        <w:autoSpaceDN/>
        <w:bidi w:val="0"/>
        <w:snapToGrid/>
        <w:spacing w:line="560" w:lineRule="exact"/>
        <w:ind w:right="0" w:firstLine="0" w:firstLineChars="0"/>
        <w:jc w:val="both"/>
        <w:textAlignment w:val="auto"/>
        <w:rPr>
          <w:rFonts w:hint="default" w:ascii="Times New Roman" w:hAnsi="Times New Roman" w:eastAsia="方正小标宋简体" w:cs="Times New Roman"/>
          <w:b w:val="0"/>
          <w:bCs w:val="0"/>
          <w:color w:val="000000" w:themeColor="text1"/>
          <w:spacing w:val="0"/>
          <w:position w:val="0"/>
          <w:sz w:val="44"/>
          <w:szCs w:val="44"/>
          <w:lang w:val="en-US" w:eastAsia="zh-CN"/>
          <w14:textFill>
            <w14:solidFill>
              <w14:schemeClr w14:val="tx1"/>
            </w14:solidFill>
          </w14:textFill>
        </w:rPr>
      </w:pPr>
    </w:p>
    <w:p w14:paraId="60583345">
      <w:pPr>
        <w:keepNext w:val="0"/>
        <w:keepLines w:val="0"/>
        <w:pageBreakBefore w:val="0"/>
        <w:widowControl w:val="0"/>
        <w:kinsoku/>
        <w:wordWrap/>
        <w:overflowPunct w:val="0"/>
        <w:topLinePunct w:val="0"/>
        <w:autoSpaceDE/>
        <w:autoSpaceDN/>
        <w:bidi w:val="0"/>
        <w:adjustRightInd/>
        <w:snapToGrid/>
        <w:spacing w:line="560" w:lineRule="exact"/>
        <w:ind w:right="0" w:firstLine="0" w:firstLineChars="0"/>
        <w:jc w:val="center"/>
        <w:textAlignment w:val="auto"/>
        <w:rPr>
          <w:rFonts w:hint="default" w:ascii="Times New Roman" w:hAnsi="Times New Roman" w:eastAsia="方正小标宋简体" w:cs="Times New Roman"/>
          <w:b w:val="0"/>
          <w:bCs w:val="0"/>
          <w:color w:val="auto"/>
          <w:spacing w:val="0"/>
          <w:position w:val="0"/>
          <w:sz w:val="44"/>
          <w:szCs w:val="44"/>
          <w:lang w:val="en-US" w:eastAsia="zh-CN"/>
        </w:rPr>
      </w:pPr>
      <w:r>
        <w:rPr>
          <w:rFonts w:hint="default" w:ascii="Times New Roman" w:hAnsi="Times New Roman" w:eastAsia="方正小标宋简体" w:cs="Times New Roman"/>
          <w:b w:val="0"/>
          <w:bCs w:val="0"/>
          <w:color w:val="auto"/>
          <w:spacing w:val="0"/>
          <w:position w:val="0"/>
          <w:sz w:val="44"/>
          <w:szCs w:val="44"/>
          <w:lang w:val="en-US" w:eastAsia="zh-CN"/>
        </w:rPr>
        <w:t>民乐县推进金融管理与服务创新工作的</w:t>
      </w:r>
    </w:p>
    <w:p w14:paraId="27D8E01A">
      <w:pPr>
        <w:keepNext w:val="0"/>
        <w:keepLines w:val="0"/>
        <w:pageBreakBefore w:val="0"/>
        <w:widowControl w:val="0"/>
        <w:kinsoku/>
        <w:wordWrap/>
        <w:overflowPunct w:val="0"/>
        <w:topLinePunct w:val="0"/>
        <w:autoSpaceDE/>
        <w:autoSpaceDN/>
        <w:bidi w:val="0"/>
        <w:adjustRightInd/>
        <w:snapToGrid/>
        <w:spacing w:line="560" w:lineRule="exact"/>
        <w:ind w:right="0" w:firstLine="0" w:firstLineChars="0"/>
        <w:jc w:val="center"/>
        <w:textAlignment w:val="auto"/>
        <w:rPr>
          <w:rFonts w:hint="default" w:ascii="Times New Roman" w:hAnsi="Times New Roman" w:eastAsia="方正小标宋简体" w:cs="Times New Roman"/>
          <w:b w:val="0"/>
          <w:bCs w:val="0"/>
          <w:color w:val="auto"/>
          <w:spacing w:val="0"/>
          <w:position w:val="0"/>
          <w:sz w:val="44"/>
          <w:szCs w:val="44"/>
          <w:lang w:val="en-US" w:eastAsia="zh-CN"/>
        </w:rPr>
      </w:pPr>
      <w:r>
        <w:rPr>
          <w:rFonts w:hint="default" w:ascii="Times New Roman" w:hAnsi="Times New Roman" w:eastAsia="方正小标宋简体" w:cs="Times New Roman"/>
          <w:b w:val="0"/>
          <w:bCs w:val="0"/>
          <w:color w:val="auto"/>
          <w:spacing w:val="0"/>
          <w:position w:val="0"/>
          <w:sz w:val="44"/>
          <w:szCs w:val="44"/>
          <w:lang w:val="en-US" w:eastAsia="zh-CN"/>
        </w:rPr>
        <w:t>实施意见</w:t>
      </w:r>
    </w:p>
    <w:p w14:paraId="03A40E9B">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eastAsia="zh-CN"/>
        </w:rPr>
      </w:pPr>
    </w:p>
    <w:p w14:paraId="51C89297">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为贯彻落实党中央和省、市委加快县域经济发展部署要求，对标国家金融支持乡村振兴相关文件及《甘肃省强县域行动实施方案》精神，着力提升县域金融管理效能、优化金融服务供给、防范化解金融风险，以高质量金融服务支撑产业升级、乡村振兴和民生改善，赋能县域经济高质量发展，制定本实施意见。</w:t>
      </w:r>
    </w:p>
    <w:p w14:paraId="39268EC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一、总体要求</w:t>
      </w:r>
    </w:p>
    <w:p w14:paraId="55AA0F76">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以习近平新时代中国特色社会主义思想为指导，全面贯彻党的二十大和二十届历次全会精神，坚持和加强党对金融工作的全面领导，立足民乐县经济发展实际和农业优先型定位，紧扣叫响做亮“田园民乐”品牌发展目标，以提升县域金融管理与服务质效为核心任务，聚焦做好“金融五篇大文章</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eastAsia="zh-CN"/>
        </w:rPr>
        <w:t>、防范化解金融风险等重点工作任务，推动金融政策直达基层末梢，引导金融资源向县域重点产业和薄弱环节高效配置，持续提升金融服务便利化、精准化水平，构建适配县域经济高质量发展的现代金融服务体系，高水平打造金融管理与服务创新样板县，为全县经济高质量发展注入强劲金融动能。</w:t>
      </w:r>
    </w:p>
    <w:p w14:paraId="09BE1B0E">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napToGrid w:val="0"/>
          <w:sz w:val="32"/>
          <w:szCs w:val="32"/>
          <w:lang w:eastAsia="zh-CN"/>
        </w:rPr>
      </w:pPr>
      <w:r>
        <w:rPr>
          <w:rFonts w:hint="default" w:ascii="Times New Roman" w:hAnsi="Times New Roman" w:eastAsia="黑体" w:cs="Times New Roman"/>
          <w:snapToGrid w:val="0"/>
          <w:sz w:val="32"/>
          <w:szCs w:val="32"/>
          <w:lang w:eastAsia="zh-CN"/>
        </w:rPr>
        <w:t>二、主要任务</w:t>
      </w:r>
    </w:p>
    <w:p w14:paraId="21914451">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楷体_GB2312" w:cs="Times New Roman"/>
          <w:b/>
          <w:bCs/>
          <w:snapToGrid w:val="0"/>
          <w:sz w:val="32"/>
          <w:szCs w:val="32"/>
          <w:lang w:eastAsia="zh-CN"/>
        </w:rPr>
      </w:pPr>
      <w:r>
        <w:rPr>
          <w:rFonts w:hint="default" w:ascii="Times New Roman" w:hAnsi="Times New Roman" w:eastAsia="楷体_GB2312" w:cs="Times New Roman"/>
          <w:b/>
          <w:bCs/>
          <w:snapToGrid w:val="0"/>
          <w:sz w:val="32"/>
          <w:szCs w:val="32"/>
          <w:lang w:eastAsia="zh-CN"/>
        </w:rPr>
        <w:t>（一）强化金融赋能实体经济，激活县域发展内生动力</w:t>
      </w:r>
    </w:p>
    <w:p w14:paraId="0FBF371E">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snapToGrid w:val="0"/>
          <w:color w:val="auto"/>
          <w:sz w:val="32"/>
          <w:szCs w:val="32"/>
          <w:lang w:val="en-US" w:eastAsia="zh-CN"/>
        </w:rPr>
      </w:pPr>
      <w:r>
        <w:rPr>
          <w:rFonts w:hint="default" w:ascii="Times New Roman" w:hAnsi="Times New Roman" w:eastAsia="仿宋_GB2312" w:cs="Times New Roman"/>
          <w:b/>
          <w:bCs/>
          <w:snapToGrid w:val="0"/>
          <w:sz w:val="32"/>
          <w:szCs w:val="32"/>
          <w:lang w:val="en-US" w:eastAsia="zh-CN"/>
        </w:rPr>
        <w:t>1.多方合力做优金融“五篇大文章”。</w:t>
      </w:r>
      <w:r>
        <w:rPr>
          <w:rFonts w:hint="default" w:ascii="Times New Roman" w:hAnsi="Times New Roman" w:eastAsia="仿宋_GB2312" w:cs="Times New Roman"/>
          <w:snapToGrid w:val="0"/>
          <w:sz w:val="32"/>
          <w:szCs w:val="32"/>
          <w:lang w:val="en-US" w:eastAsia="zh-CN"/>
        </w:rPr>
        <w:t>强化“财政+金融”政策协同，推动地方财政政策与结构性货币政策工具搭配使用，为畅通货币信贷政策传导提供有利支撑。各行业主管部门定期梳理分领域市场主体名单，加强政银企工作对接，深化“五本台账做好五篇大文章”实践。用好4.83亿元再贷款授信额度，立足民乐县域产业特点，加大涉农、民营小微信贷投放，加强金融产品与服务政策宣传，提升金融服务覆盖面与满意度，保持信贷合理均衡增长。</w:t>
      </w:r>
      <w:r>
        <w:rPr>
          <w:rFonts w:hint="default" w:ascii="Times New Roman" w:hAnsi="Times New Roman" w:eastAsia="仿宋_GB2312" w:cs="Times New Roman"/>
          <w:b w:val="0"/>
          <w:bCs w:val="0"/>
          <w:snapToGrid w:val="0"/>
          <w:color w:val="auto"/>
          <w:sz w:val="32"/>
          <w:szCs w:val="32"/>
          <w:lang w:val="en-US" w:eastAsia="zh-CN"/>
        </w:rPr>
        <w:t>（</w:t>
      </w:r>
      <w:r>
        <w:rPr>
          <w:rFonts w:hint="eastAsia" w:eastAsia="仿宋_GB2312" w:cs="Times New Roman"/>
          <w:b w:val="0"/>
          <w:bCs w:val="0"/>
          <w:snapToGrid w:val="0"/>
          <w:color w:val="auto"/>
          <w:sz w:val="32"/>
          <w:szCs w:val="32"/>
          <w:lang w:val="en-US" w:eastAsia="zh-CN"/>
        </w:rPr>
        <w:t>牵头单位：</w:t>
      </w:r>
      <w:r>
        <w:rPr>
          <w:rFonts w:hint="default" w:ascii="Times New Roman" w:hAnsi="Times New Roman" w:eastAsia="仿宋_GB2312" w:cs="Times New Roman"/>
          <w:b w:val="0"/>
          <w:bCs w:val="0"/>
          <w:snapToGrid w:val="0"/>
          <w:color w:val="auto"/>
          <w:sz w:val="32"/>
          <w:szCs w:val="32"/>
          <w:lang w:val="en-US" w:eastAsia="zh-CN"/>
        </w:rPr>
        <w:t>人行张掖市分行</w:t>
      </w:r>
      <w:r>
        <w:rPr>
          <w:rFonts w:hint="eastAsia" w:eastAsia="仿宋_GB2312" w:cs="Times New Roman"/>
          <w:b w:val="0"/>
          <w:bCs w:val="0"/>
          <w:snapToGrid w:val="0"/>
          <w:color w:val="auto"/>
          <w:sz w:val="32"/>
          <w:szCs w:val="32"/>
          <w:lang w:val="en-US" w:eastAsia="zh-CN"/>
        </w:rPr>
        <w:t>；</w:t>
      </w:r>
      <w:r>
        <w:rPr>
          <w:rFonts w:hint="default" w:ascii="Times New Roman" w:hAnsi="Times New Roman" w:eastAsia="仿宋_GB2312" w:cs="Times New Roman"/>
          <w:b w:val="0"/>
          <w:bCs w:val="0"/>
          <w:snapToGrid w:val="0"/>
          <w:color w:val="auto"/>
          <w:sz w:val="32"/>
          <w:szCs w:val="32"/>
          <w:lang w:val="en-US" w:eastAsia="zh-CN"/>
        </w:rPr>
        <w:t>责任单位：县财政局、县发改局、县工信和商务局、县科技局、县农业农村局、</w:t>
      </w:r>
      <w:r>
        <w:rPr>
          <w:rFonts w:hint="default" w:ascii="Times New Roman" w:hAnsi="Times New Roman" w:eastAsia="仿宋_GB2312" w:cs="Times New Roman"/>
          <w:snapToGrid w:val="0"/>
          <w:color w:val="auto"/>
          <w:sz w:val="32"/>
          <w:szCs w:val="32"/>
          <w:lang w:eastAsia="zh-CN"/>
        </w:rPr>
        <w:t>县文广旅游局</w:t>
      </w:r>
      <w:r>
        <w:rPr>
          <w:rFonts w:hint="default" w:ascii="Times New Roman" w:hAnsi="Times New Roman" w:eastAsia="仿宋_GB2312" w:cs="Times New Roman"/>
          <w:b w:val="0"/>
          <w:bCs w:val="0"/>
          <w:snapToGrid w:val="0"/>
          <w:color w:val="auto"/>
          <w:sz w:val="32"/>
          <w:szCs w:val="32"/>
          <w:lang w:val="en-US" w:eastAsia="zh-CN"/>
        </w:rPr>
        <w:t>、</w:t>
      </w:r>
      <w:r>
        <w:rPr>
          <w:rFonts w:hint="default" w:ascii="Times New Roman" w:hAnsi="Times New Roman" w:eastAsia="仿宋_GB2312" w:cs="Times New Roman"/>
          <w:b w:val="0"/>
          <w:bCs w:val="0"/>
          <w:snapToGrid w:val="0"/>
          <w:sz w:val="32"/>
          <w:szCs w:val="32"/>
          <w:lang w:val="en-US" w:eastAsia="zh-CN"/>
        </w:rPr>
        <w:t>金融监管局民乐支局、</w:t>
      </w:r>
      <w:r>
        <w:rPr>
          <w:rFonts w:hint="default" w:ascii="Times New Roman" w:hAnsi="Times New Roman" w:eastAsia="仿宋_GB2312" w:cs="Times New Roman"/>
          <w:b w:val="0"/>
          <w:bCs w:val="0"/>
          <w:snapToGrid w:val="0"/>
          <w:color w:val="auto"/>
          <w:sz w:val="32"/>
          <w:szCs w:val="32"/>
          <w:lang w:val="en-US" w:eastAsia="zh-CN"/>
        </w:rPr>
        <w:t>县域内各银行机构）</w:t>
      </w:r>
    </w:p>
    <w:p w14:paraId="42A8BE8E">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cs="Times New Roman"/>
          <w:b w:val="0"/>
          <w:bCs w:val="0"/>
          <w:snapToGrid w:val="0"/>
          <w:color w:val="auto"/>
          <w:lang w:eastAsia="zh-CN"/>
        </w:rPr>
      </w:pPr>
      <w:r>
        <w:rPr>
          <w:rFonts w:hint="default" w:ascii="Times New Roman" w:hAnsi="Times New Roman" w:eastAsia="仿宋_GB2312" w:cs="Times New Roman"/>
          <w:b/>
          <w:bCs/>
          <w:snapToGrid w:val="0"/>
          <w:color w:val="auto"/>
          <w:sz w:val="32"/>
          <w:szCs w:val="32"/>
          <w:lang w:val="en-US" w:eastAsia="zh-CN"/>
        </w:rPr>
        <w:t>2.加力推动</w:t>
      </w:r>
      <w:r>
        <w:rPr>
          <w:rFonts w:hint="default" w:ascii="Times New Roman" w:hAnsi="Times New Roman" w:eastAsia="仿宋_GB2312" w:cs="Times New Roman"/>
          <w:b/>
          <w:bCs/>
          <w:snapToGrid w:val="0"/>
          <w:color w:val="auto"/>
          <w:sz w:val="32"/>
          <w:szCs w:val="32"/>
          <w:lang w:eastAsia="zh-CN"/>
        </w:rPr>
        <w:t>涉农领域重点工作</w:t>
      </w:r>
      <w:r>
        <w:rPr>
          <w:rFonts w:hint="default" w:ascii="Times New Roman" w:hAnsi="Times New Roman" w:eastAsia="仿宋_GB2312" w:cs="Times New Roman"/>
          <w:b/>
          <w:bCs/>
          <w:snapToGrid w:val="0"/>
          <w:color w:val="auto"/>
          <w:sz w:val="32"/>
          <w:szCs w:val="32"/>
          <w:lang w:val="en-US" w:eastAsia="zh-CN"/>
        </w:rPr>
        <w:t>。</w:t>
      </w:r>
      <w:r>
        <w:rPr>
          <w:rFonts w:hint="default" w:ascii="Times New Roman" w:hAnsi="Times New Roman" w:eastAsia="仿宋_GB2312" w:cs="Times New Roman"/>
          <w:b w:val="0"/>
          <w:bCs w:val="0"/>
          <w:snapToGrid w:val="0"/>
          <w:color w:val="auto"/>
          <w:sz w:val="32"/>
          <w:szCs w:val="32"/>
          <w:lang w:val="en-US" w:eastAsia="zh-CN"/>
        </w:rPr>
        <w:t>建立健全确权颁证、抵押物流转等配套机制建设，支持农业设施、禽畜活体抵押融资业务做大做强，政银合力解决农业设施、禽畜活体抵押融资涉及的抵押物管理、流转、处置等环节堵点。充分发挥行业主管部门信息优势，围绕中药材、大蒜等民乐优势特色产业筛选建立农业经营主体重点企业名单库，强化“一县一业一品”工作实效，以优势产业、重点企业、种养大户为融资突破口，加强融资对接有效推动涉农领域融资业务增量扩面。各银行要及时总结实践经验，配合编制农业设施和禽畜活体抵押业务“确权--颁证--抵押--获得融资”全流程业务办理指南，打造可复制的金融服务样板，做好产品与政策宣传。（</w:t>
      </w:r>
      <w:r>
        <w:rPr>
          <w:rFonts w:hint="eastAsia" w:eastAsia="仿宋_GB2312" w:cs="Times New Roman"/>
          <w:b w:val="0"/>
          <w:bCs w:val="0"/>
          <w:snapToGrid w:val="0"/>
          <w:color w:val="auto"/>
          <w:sz w:val="32"/>
          <w:szCs w:val="32"/>
          <w:lang w:val="en-US" w:eastAsia="zh-CN"/>
        </w:rPr>
        <w:t>牵头单位：</w:t>
      </w:r>
      <w:r>
        <w:rPr>
          <w:rFonts w:hint="default" w:ascii="Times New Roman" w:hAnsi="Times New Roman" w:eastAsia="仿宋_GB2312" w:cs="Times New Roman"/>
          <w:b w:val="0"/>
          <w:bCs w:val="0"/>
          <w:snapToGrid w:val="0"/>
          <w:color w:val="auto"/>
          <w:sz w:val="32"/>
          <w:szCs w:val="32"/>
          <w:lang w:val="en-US" w:eastAsia="zh-CN"/>
        </w:rPr>
        <w:t>县财政局</w:t>
      </w:r>
      <w:r>
        <w:rPr>
          <w:rFonts w:hint="eastAsia" w:eastAsia="仿宋_GB2312" w:cs="Times New Roman"/>
          <w:b w:val="0"/>
          <w:bCs w:val="0"/>
          <w:snapToGrid w:val="0"/>
          <w:color w:val="auto"/>
          <w:sz w:val="32"/>
          <w:szCs w:val="32"/>
          <w:lang w:val="en-US" w:eastAsia="zh-CN"/>
        </w:rPr>
        <w:t>；</w:t>
      </w:r>
      <w:r>
        <w:rPr>
          <w:rFonts w:hint="default" w:ascii="Times New Roman" w:hAnsi="Times New Roman" w:eastAsia="仿宋_GB2312" w:cs="Times New Roman"/>
          <w:b w:val="0"/>
          <w:bCs w:val="0"/>
          <w:snapToGrid w:val="0"/>
          <w:color w:val="auto"/>
          <w:sz w:val="32"/>
          <w:szCs w:val="32"/>
          <w:lang w:val="en-US" w:eastAsia="zh-CN"/>
        </w:rPr>
        <w:t>责任单位：县农业农村局、人行张掖市分行、县域内各银行机构）。</w:t>
      </w:r>
    </w:p>
    <w:p w14:paraId="3059E634">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snapToGrid w:val="0"/>
          <w:color w:val="auto"/>
          <w:sz w:val="32"/>
          <w:szCs w:val="32"/>
          <w:lang w:eastAsia="zh-CN"/>
        </w:rPr>
      </w:pPr>
      <w:r>
        <w:rPr>
          <w:rFonts w:hint="default" w:ascii="Times New Roman" w:hAnsi="Times New Roman" w:eastAsia="仿宋_GB2312" w:cs="Times New Roman"/>
          <w:b/>
          <w:bCs/>
          <w:snapToGrid w:val="0"/>
          <w:color w:val="auto"/>
          <w:sz w:val="32"/>
          <w:szCs w:val="32"/>
          <w:lang w:val="en-US" w:eastAsia="zh-CN"/>
        </w:rPr>
        <w:t>3.</w:t>
      </w:r>
      <w:r>
        <w:rPr>
          <w:rFonts w:hint="default" w:ascii="Times New Roman" w:hAnsi="Times New Roman" w:eastAsia="仿宋_GB2312" w:cs="Times New Roman"/>
          <w:b/>
          <w:bCs/>
          <w:snapToGrid w:val="0"/>
          <w:color w:val="auto"/>
          <w:sz w:val="32"/>
          <w:szCs w:val="32"/>
          <w:lang w:eastAsia="zh-CN"/>
        </w:rPr>
        <w:t>做好县域金融支持促消费工作。</w:t>
      </w:r>
      <w:r>
        <w:rPr>
          <w:rFonts w:hint="default" w:ascii="Times New Roman" w:hAnsi="Times New Roman" w:eastAsia="仿宋_GB2312" w:cs="Times New Roman"/>
          <w:b w:val="0"/>
          <w:bCs w:val="0"/>
          <w:snapToGrid w:val="0"/>
          <w:color w:val="auto"/>
          <w:sz w:val="32"/>
          <w:szCs w:val="32"/>
          <w:lang w:eastAsia="zh-CN"/>
        </w:rPr>
        <w:t>实施“乐享消费</w:t>
      </w:r>
      <w:r>
        <w:rPr>
          <w:rFonts w:hint="default" w:ascii="Times New Roman" w:hAnsi="Times New Roman" w:eastAsia="仿宋_GB2312" w:cs="Times New Roman"/>
          <w:b w:val="0"/>
          <w:bCs w:val="0"/>
          <w:snapToGrid w:val="0"/>
          <w:color w:val="auto"/>
          <w:sz w:val="32"/>
          <w:szCs w:val="32"/>
          <w:lang w:val="en-US" w:eastAsia="zh-CN"/>
        </w:rPr>
        <w:t>-</w:t>
      </w:r>
      <w:r>
        <w:rPr>
          <w:rFonts w:hint="default" w:ascii="Times New Roman" w:hAnsi="Times New Roman" w:eastAsia="仿宋_GB2312" w:cs="Times New Roman"/>
          <w:b w:val="0"/>
          <w:bCs w:val="0"/>
          <w:snapToGrid w:val="0"/>
          <w:color w:val="auto"/>
          <w:sz w:val="32"/>
          <w:szCs w:val="32"/>
          <w:lang w:eastAsia="zh-CN"/>
        </w:rPr>
        <w:t>陇金相伴”专项行动，行业主管部门梳理县域内商贸流通企业、文旅景区、酒店、地方特色餐饮、综合商业体、社区便民服务连锁商店、养老托育机构等企业和项目，建立经营主体名单库主动推送金融机构，各金融机构加强与行业主管部门合作，充分利用行业主管部门共享的信息，以专业市场、整体商圈等为载体，推出专门方案、专场活动，及时提供专业金融服务，积极满足消费行业经营主体和居民消费合理资金需求。编发消费信贷产品及服务消费与养老再贷款、个人消费贷款和服务业经营主体贷款贴息政策汇编，提升消费金融政策宣传面。建立科创企业重点名单库，多部门联动开展银企对接，分级处置融资难题，提升科创金融服务质效。</w:t>
      </w:r>
      <w:r>
        <w:rPr>
          <w:rFonts w:hint="default" w:ascii="Times New Roman" w:hAnsi="Times New Roman" w:eastAsia="仿宋_GB2312" w:cs="Times New Roman"/>
          <w:snapToGrid w:val="0"/>
          <w:color w:val="auto"/>
          <w:sz w:val="32"/>
          <w:szCs w:val="32"/>
          <w:lang w:eastAsia="zh-CN"/>
        </w:rPr>
        <w:t>（</w:t>
      </w:r>
      <w:r>
        <w:rPr>
          <w:rFonts w:hint="eastAsia" w:eastAsia="仿宋_GB2312" w:cs="Times New Roman"/>
          <w:snapToGrid w:val="0"/>
          <w:color w:val="auto"/>
          <w:sz w:val="32"/>
          <w:szCs w:val="32"/>
          <w:lang w:val="en-US" w:eastAsia="zh-CN"/>
        </w:rPr>
        <w:t>牵头单位：</w:t>
      </w:r>
      <w:r>
        <w:rPr>
          <w:rFonts w:hint="default" w:ascii="Times New Roman" w:hAnsi="Times New Roman" w:eastAsia="仿宋_GB2312" w:cs="Times New Roman"/>
          <w:snapToGrid w:val="0"/>
          <w:color w:val="auto"/>
          <w:sz w:val="32"/>
          <w:szCs w:val="32"/>
          <w:lang w:eastAsia="zh-CN"/>
        </w:rPr>
        <w:t>县工信和商务局</w:t>
      </w:r>
      <w:r>
        <w:rPr>
          <w:rFonts w:hint="eastAsia" w:eastAsia="仿宋_GB2312" w:cs="Times New Roman"/>
          <w:snapToGrid w:val="0"/>
          <w:color w:val="auto"/>
          <w:sz w:val="32"/>
          <w:szCs w:val="32"/>
          <w:lang w:val="en-US" w:eastAsia="zh-CN"/>
        </w:rPr>
        <w:t>；</w:t>
      </w:r>
      <w:r>
        <w:rPr>
          <w:rFonts w:hint="default" w:ascii="Times New Roman" w:hAnsi="Times New Roman" w:eastAsia="仿宋_GB2312" w:cs="Times New Roman"/>
          <w:snapToGrid w:val="0"/>
          <w:color w:val="auto"/>
          <w:sz w:val="32"/>
          <w:szCs w:val="32"/>
          <w:lang w:eastAsia="zh-CN"/>
        </w:rPr>
        <w:t>责任单位：县财政局、人行张掖市分行、县文广旅游局、县发改局、县科技局、</w:t>
      </w:r>
      <w:r>
        <w:rPr>
          <w:rFonts w:hint="default" w:ascii="Times New Roman" w:hAnsi="Times New Roman" w:eastAsia="仿宋_GB2312" w:cs="Times New Roman"/>
          <w:b w:val="0"/>
          <w:bCs w:val="0"/>
          <w:snapToGrid w:val="0"/>
          <w:color w:val="auto"/>
          <w:sz w:val="32"/>
          <w:szCs w:val="32"/>
          <w:lang w:val="en-US" w:eastAsia="zh-CN"/>
        </w:rPr>
        <w:t>县域内各银行机构</w:t>
      </w:r>
      <w:r>
        <w:rPr>
          <w:rFonts w:hint="default" w:ascii="Times New Roman" w:hAnsi="Times New Roman" w:eastAsia="仿宋_GB2312" w:cs="Times New Roman"/>
          <w:snapToGrid w:val="0"/>
          <w:color w:val="auto"/>
          <w:sz w:val="32"/>
          <w:szCs w:val="32"/>
          <w:lang w:eastAsia="zh-CN"/>
        </w:rPr>
        <w:t>）</w:t>
      </w:r>
    </w:p>
    <w:p w14:paraId="275821AC">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bCs/>
          <w:snapToGrid w:val="0"/>
          <w:color w:val="auto"/>
          <w:sz w:val="32"/>
          <w:szCs w:val="32"/>
          <w:lang w:eastAsia="zh-CN"/>
        </w:rPr>
      </w:pPr>
      <w:r>
        <w:rPr>
          <w:rFonts w:hint="default" w:ascii="Times New Roman" w:hAnsi="Times New Roman" w:eastAsia="仿宋_GB2312" w:cs="Times New Roman"/>
          <w:b/>
          <w:bCs/>
          <w:snapToGrid w:val="0"/>
          <w:sz w:val="32"/>
          <w:szCs w:val="32"/>
          <w:lang w:val="en-US" w:eastAsia="zh-CN"/>
        </w:rPr>
        <w:t>4.创新绿色金融产品，激活绿色发展动能。</w:t>
      </w:r>
      <w:r>
        <w:rPr>
          <w:rFonts w:hint="default" w:ascii="Times New Roman" w:hAnsi="Times New Roman" w:eastAsia="仿宋_GB2312" w:cs="Times New Roman"/>
          <w:b w:val="0"/>
          <w:bCs w:val="0"/>
          <w:snapToGrid w:val="0"/>
          <w:color w:val="000000" w:themeColor="text1"/>
          <w:sz w:val="32"/>
          <w:szCs w:val="32"/>
          <w:lang w:val="en-US" w:eastAsia="zh-CN"/>
          <w14:textFill>
            <w14:solidFill>
              <w14:schemeClr w14:val="tx1"/>
            </w14:solidFill>
          </w14:textFill>
        </w:rPr>
        <w:t>创新绿色金融产品，激活绿色发展动能。建立生物多样性金融项目融资对接常态化机制，梳理项目清单并及时推送金融机构。依托县域经济发展特色，推动县域生物多样性金融发展，扩大《生物多样性金融目录（试用版）》试用范围，鼓励金融机构加大县域生物多样性领域支持力度。（</w:t>
      </w:r>
      <w:r>
        <w:rPr>
          <w:rFonts w:hint="eastAsia" w:eastAsia="仿宋_GB2312" w:cs="Times New Roman"/>
          <w:b w:val="0"/>
          <w:bCs w:val="0"/>
          <w:snapToGrid w:val="0"/>
          <w:color w:val="000000" w:themeColor="text1"/>
          <w:sz w:val="32"/>
          <w:szCs w:val="32"/>
          <w:lang w:val="en-US" w:eastAsia="zh-CN"/>
          <w14:textFill>
            <w14:solidFill>
              <w14:schemeClr w14:val="tx1"/>
            </w14:solidFill>
          </w14:textFill>
        </w:rPr>
        <w:t>牵头单位：</w:t>
      </w:r>
      <w:r>
        <w:rPr>
          <w:rFonts w:hint="default" w:ascii="Times New Roman" w:hAnsi="Times New Roman" w:eastAsia="仿宋_GB2312" w:cs="Times New Roman"/>
          <w:b w:val="0"/>
          <w:bCs w:val="0"/>
          <w:snapToGrid w:val="0"/>
          <w:color w:val="000000" w:themeColor="text1"/>
          <w:sz w:val="32"/>
          <w:szCs w:val="32"/>
          <w:lang w:val="en-US" w:eastAsia="zh-CN"/>
          <w14:textFill>
            <w14:solidFill>
              <w14:schemeClr w14:val="tx1"/>
            </w14:solidFill>
          </w14:textFill>
        </w:rPr>
        <w:t>人行张掖市分行</w:t>
      </w:r>
      <w:r>
        <w:rPr>
          <w:rFonts w:hint="eastAsia" w:eastAsia="仿宋_GB2312" w:cs="Times New Roman"/>
          <w:b w:val="0"/>
          <w:bCs w:val="0"/>
          <w:snapToGrid w:val="0"/>
          <w:color w:val="000000" w:themeColor="text1"/>
          <w:sz w:val="32"/>
          <w:szCs w:val="32"/>
          <w:lang w:val="en-US" w:eastAsia="zh-CN"/>
          <w14:textFill>
            <w14:solidFill>
              <w14:schemeClr w14:val="tx1"/>
            </w14:solidFill>
          </w14:textFill>
        </w:rPr>
        <w:t>；</w:t>
      </w:r>
      <w:r>
        <w:rPr>
          <w:rFonts w:hint="default" w:ascii="Times New Roman" w:hAnsi="Times New Roman" w:eastAsia="仿宋_GB2312" w:cs="Times New Roman"/>
          <w:b w:val="0"/>
          <w:bCs w:val="0"/>
          <w:snapToGrid w:val="0"/>
          <w:color w:val="000000" w:themeColor="text1"/>
          <w:sz w:val="32"/>
          <w:szCs w:val="32"/>
          <w:lang w:val="en-US" w:eastAsia="zh-CN"/>
          <w14:textFill>
            <w14:solidFill>
              <w14:schemeClr w14:val="tx1"/>
            </w14:solidFill>
          </w14:textFill>
        </w:rPr>
        <w:t>责任单位：</w:t>
      </w:r>
      <w:r>
        <w:rPr>
          <w:rFonts w:hint="default" w:ascii="Times New Roman" w:hAnsi="Times New Roman" w:eastAsia="仿宋_GB2312" w:cs="Times New Roman"/>
          <w:b w:val="0"/>
          <w:bCs w:val="0"/>
          <w:snapToGrid w:val="0"/>
          <w:sz w:val="32"/>
          <w:szCs w:val="32"/>
          <w:lang w:val="en-US" w:eastAsia="zh-CN"/>
        </w:rPr>
        <w:t>县自然资源局、生态环境局民乐分局、</w:t>
      </w:r>
      <w:r>
        <w:rPr>
          <w:rFonts w:hint="default" w:ascii="Times New Roman" w:hAnsi="Times New Roman" w:eastAsia="仿宋_GB2312" w:cs="Times New Roman"/>
          <w:b w:val="0"/>
          <w:bCs w:val="0"/>
          <w:snapToGrid w:val="0"/>
          <w:color w:val="auto"/>
          <w:sz w:val="32"/>
          <w:szCs w:val="32"/>
          <w:lang w:val="en-US" w:eastAsia="zh-CN"/>
        </w:rPr>
        <w:t>县域内各银行机构</w:t>
      </w:r>
      <w:r>
        <w:rPr>
          <w:rFonts w:hint="default" w:ascii="Times New Roman" w:hAnsi="Times New Roman" w:eastAsia="仿宋_GB2312" w:cs="Times New Roman"/>
          <w:b w:val="0"/>
          <w:bCs w:val="0"/>
          <w:snapToGrid w:val="0"/>
          <w:sz w:val="32"/>
          <w:szCs w:val="32"/>
          <w:lang w:val="en-US" w:eastAsia="zh-CN"/>
        </w:rPr>
        <w:t>）</w:t>
      </w:r>
    </w:p>
    <w:p w14:paraId="42D486E8">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snapToGrid w:val="0"/>
          <w:color w:val="auto"/>
          <w:sz w:val="32"/>
          <w:szCs w:val="32"/>
          <w:lang w:eastAsia="zh-CN"/>
        </w:rPr>
      </w:pPr>
      <w:r>
        <w:rPr>
          <w:rFonts w:hint="default" w:ascii="Times New Roman" w:hAnsi="Times New Roman" w:eastAsia="仿宋_GB2312" w:cs="Times New Roman"/>
          <w:b/>
          <w:bCs/>
          <w:snapToGrid w:val="0"/>
          <w:color w:val="auto"/>
          <w:sz w:val="32"/>
          <w:szCs w:val="32"/>
          <w:lang w:val="en-US" w:eastAsia="zh-CN"/>
        </w:rPr>
        <w:t>5.</w:t>
      </w:r>
      <w:r>
        <w:rPr>
          <w:rFonts w:hint="default" w:ascii="Times New Roman" w:hAnsi="Times New Roman" w:eastAsia="仿宋_GB2312" w:cs="Times New Roman"/>
          <w:b/>
          <w:bCs/>
          <w:snapToGrid w:val="0"/>
          <w:color w:val="auto"/>
          <w:sz w:val="32"/>
          <w:szCs w:val="32"/>
          <w:lang w:eastAsia="zh-CN"/>
        </w:rPr>
        <w:t>保持社会融资成本低位运行：</w:t>
      </w:r>
      <w:r>
        <w:rPr>
          <w:rFonts w:hint="default" w:ascii="Times New Roman" w:hAnsi="Times New Roman" w:eastAsia="仿宋_GB2312" w:cs="Times New Roman"/>
          <w:b w:val="0"/>
          <w:bCs w:val="0"/>
          <w:snapToGrid w:val="0"/>
          <w:color w:val="auto"/>
          <w:sz w:val="32"/>
          <w:szCs w:val="32"/>
          <w:lang w:eastAsia="zh-CN"/>
        </w:rPr>
        <w:t>构建“行业自律+行政管理”利率管理框架，充分发挥自律机制作用，加强利率执行巡查工作，有效维护县域利率市场秩序，有序做好融资成本明示工作，开展“明成本·降负担”明示企业贷款综合融资成本系列活动，加强网点宣传布置和员工培训，调动客户参与积极性，推动明示工作持续走实走深。严格执行存贷款利率政策，守住净息差合理区间，加强两项净收入分析，推动稳步增长。（</w:t>
      </w:r>
      <w:r>
        <w:rPr>
          <w:rFonts w:hint="eastAsia" w:eastAsia="仿宋_GB2312" w:cs="Times New Roman"/>
          <w:b w:val="0"/>
          <w:bCs w:val="0"/>
          <w:snapToGrid w:val="0"/>
          <w:color w:val="auto"/>
          <w:sz w:val="32"/>
          <w:szCs w:val="32"/>
          <w:lang w:val="en-US" w:eastAsia="zh-CN"/>
        </w:rPr>
        <w:t>牵头单位：</w:t>
      </w:r>
      <w:r>
        <w:rPr>
          <w:rFonts w:hint="default" w:ascii="Times New Roman" w:hAnsi="Times New Roman" w:eastAsia="仿宋_GB2312" w:cs="Times New Roman"/>
          <w:b w:val="0"/>
          <w:bCs w:val="0"/>
          <w:snapToGrid w:val="0"/>
          <w:sz w:val="32"/>
          <w:szCs w:val="32"/>
          <w:lang w:val="en-US" w:eastAsia="zh-CN"/>
        </w:rPr>
        <w:t>人行张掖市分行</w:t>
      </w:r>
      <w:r>
        <w:rPr>
          <w:rFonts w:hint="eastAsia" w:eastAsia="仿宋_GB2312" w:cs="Times New Roman"/>
          <w:b w:val="0"/>
          <w:bCs w:val="0"/>
          <w:snapToGrid w:val="0"/>
          <w:sz w:val="32"/>
          <w:szCs w:val="32"/>
          <w:lang w:val="en-US" w:eastAsia="zh-CN"/>
        </w:rPr>
        <w:t>；</w:t>
      </w:r>
      <w:r>
        <w:rPr>
          <w:rFonts w:hint="default" w:ascii="Times New Roman" w:hAnsi="Times New Roman" w:eastAsia="仿宋_GB2312" w:cs="Times New Roman"/>
          <w:b w:val="0"/>
          <w:bCs w:val="0"/>
          <w:snapToGrid w:val="0"/>
          <w:color w:val="auto"/>
          <w:sz w:val="32"/>
          <w:szCs w:val="32"/>
          <w:lang w:eastAsia="zh-CN"/>
        </w:rPr>
        <w:t>责任单位：</w:t>
      </w:r>
      <w:r>
        <w:rPr>
          <w:rFonts w:hint="default" w:ascii="Times New Roman" w:hAnsi="Times New Roman" w:eastAsia="仿宋_GB2312" w:cs="Times New Roman"/>
          <w:b w:val="0"/>
          <w:bCs w:val="0"/>
          <w:snapToGrid w:val="0"/>
          <w:sz w:val="32"/>
          <w:szCs w:val="32"/>
          <w:lang w:val="en-US" w:eastAsia="zh-CN"/>
        </w:rPr>
        <w:t>县财政局、金融监管局民乐支局、</w:t>
      </w:r>
      <w:r>
        <w:rPr>
          <w:rFonts w:hint="default" w:ascii="Times New Roman" w:hAnsi="Times New Roman" w:eastAsia="仿宋_GB2312" w:cs="Times New Roman"/>
          <w:b w:val="0"/>
          <w:bCs w:val="0"/>
          <w:snapToGrid w:val="0"/>
          <w:color w:val="auto"/>
          <w:sz w:val="32"/>
          <w:szCs w:val="32"/>
          <w:lang w:val="en-US" w:eastAsia="zh-CN"/>
        </w:rPr>
        <w:t>县域内各银行机构</w:t>
      </w:r>
      <w:r>
        <w:rPr>
          <w:rFonts w:hint="default" w:ascii="Times New Roman" w:hAnsi="Times New Roman" w:eastAsia="仿宋_GB2312" w:cs="Times New Roman"/>
          <w:b w:val="0"/>
          <w:bCs w:val="0"/>
          <w:snapToGrid w:val="0"/>
          <w:color w:val="auto"/>
          <w:sz w:val="32"/>
          <w:szCs w:val="32"/>
          <w:lang w:eastAsia="zh-CN"/>
        </w:rPr>
        <w:t>）</w:t>
      </w:r>
    </w:p>
    <w:p w14:paraId="08C85C8F">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楷体_GB2312" w:cs="Times New Roman"/>
          <w:b/>
          <w:bCs/>
          <w:snapToGrid w:val="0"/>
          <w:sz w:val="32"/>
          <w:szCs w:val="32"/>
          <w:lang w:eastAsia="zh-CN"/>
        </w:rPr>
      </w:pPr>
      <w:r>
        <w:rPr>
          <w:rFonts w:hint="default" w:ascii="Times New Roman" w:hAnsi="Times New Roman" w:eastAsia="楷体_GB2312" w:cs="Times New Roman"/>
          <w:b/>
          <w:bCs/>
          <w:snapToGrid w:val="0"/>
          <w:sz w:val="32"/>
          <w:szCs w:val="32"/>
          <w:lang w:eastAsia="zh-CN"/>
        </w:rPr>
        <w:t>（二）健全风险防控体系，筑牢县域金融安全底线</w:t>
      </w:r>
    </w:p>
    <w:p w14:paraId="7A89349B">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snapToGrid w:val="0"/>
          <w:sz w:val="32"/>
          <w:szCs w:val="32"/>
          <w:lang w:val="en-US" w:eastAsia="zh-CN"/>
        </w:rPr>
      </w:pPr>
      <w:r>
        <w:rPr>
          <w:rFonts w:hint="default" w:ascii="Times New Roman" w:hAnsi="Times New Roman" w:eastAsia="仿宋_GB2312" w:cs="Times New Roman"/>
          <w:b/>
          <w:bCs/>
          <w:snapToGrid w:val="0"/>
          <w:sz w:val="32"/>
          <w:szCs w:val="32"/>
          <w:lang w:val="en-US" w:eastAsia="zh-CN"/>
        </w:rPr>
        <w:t>6.筑牢县域金融安全防线，提升金融管理质效。</w:t>
      </w:r>
      <w:r>
        <w:rPr>
          <w:rFonts w:hint="default" w:ascii="Times New Roman" w:hAnsi="Times New Roman" w:eastAsia="仿宋_GB2312" w:cs="Times New Roman"/>
          <w:b w:val="0"/>
          <w:bCs w:val="0"/>
          <w:snapToGrid w:val="0"/>
          <w:sz w:val="32"/>
          <w:szCs w:val="32"/>
          <w:lang w:val="en-US" w:eastAsia="zh-CN"/>
        </w:rPr>
        <w:t>构建“季度会商＋动态监测”风险研判机制，县财政局牵头季度风险分析，人行张掖市分行按月监测预警，将县域金融机构纳入央行综合评价，金融机构负责梳理债权清单，提供法律证据，通过行政督导与司法诉讼相结合，合力化解不良贷款压力。完善突发事件应急体系，制定分级预案，建立“一对一”联络专员制度和</w:t>
      </w:r>
      <w:r>
        <w:rPr>
          <w:rFonts w:hint="default" w:ascii="Times New Roman" w:hAnsi="Times New Roman" w:eastAsia="国标仿宋" w:cs="Times New Roman"/>
          <w:b w:val="0"/>
          <w:bCs w:val="0"/>
          <w:snapToGrid w:val="0"/>
          <w:sz w:val="32"/>
          <w:szCs w:val="32"/>
          <w:lang w:val="en-US" w:eastAsia="zh-CN"/>
        </w:rPr>
        <w:t>7×24</w:t>
      </w:r>
      <w:r>
        <w:rPr>
          <w:rFonts w:hint="default" w:ascii="Times New Roman" w:hAnsi="Times New Roman" w:eastAsia="仿宋_GB2312" w:cs="Times New Roman"/>
          <w:b w:val="0"/>
          <w:bCs w:val="0"/>
          <w:snapToGrid w:val="0"/>
          <w:sz w:val="32"/>
          <w:szCs w:val="32"/>
          <w:lang w:val="en-US" w:eastAsia="zh-CN"/>
        </w:rPr>
        <w:t>小时直报通道，</w:t>
      </w:r>
      <w:r>
        <w:rPr>
          <w:rFonts w:hint="default" w:ascii="Times New Roman" w:hAnsi="Times New Roman" w:eastAsia="国标仿宋" w:cs="Times New Roman"/>
          <w:b w:val="0"/>
          <w:bCs w:val="0"/>
          <w:snapToGrid w:val="0"/>
          <w:sz w:val="32"/>
          <w:szCs w:val="32"/>
          <w:lang w:val="en-US" w:eastAsia="zh-CN"/>
        </w:rPr>
        <w:t>30</w:t>
      </w:r>
      <w:r>
        <w:rPr>
          <w:rFonts w:hint="default" w:ascii="Times New Roman" w:hAnsi="Times New Roman" w:eastAsia="仿宋_GB2312" w:cs="Times New Roman"/>
          <w:b w:val="0"/>
          <w:bCs w:val="0"/>
          <w:snapToGrid w:val="0"/>
          <w:sz w:val="32"/>
          <w:szCs w:val="32"/>
          <w:lang w:val="en-US" w:eastAsia="zh-CN"/>
        </w:rPr>
        <w:t>分钟内核实通报突发事件，按年开展联合应急演练与培训。（</w:t>
      </w:r>
      <w:r>
        <w:rPr>
          <w:rFonts w:hint="eastAsia" w:eastAsia="仿宋_GB2312" w:cs="Times New Roman"/>
          <w:b w:val="0"/>
          <w:bCs w:val="0"/>
          <w:snapToGrid w:val="0"/>
          <w:sz w:val="32"/>
          <w:szCs w:val="32"/>
          <w:lang w:val="en-US" w:eastAsia="zh-CN"/>
        </w:rPr>
        <w:t>牵头单位</w:t>
      </w:r>
      <w:r>
        <w:rPr>
          <w:rFonts w:hint="default" w:ascii="Times New Roman" w:hAnsi="Times New Roman" w:eastAsia="仿宋_GB2312" w:cs="Times New Roman"/>
          <w:b w:val="0"/>
          <w:bCs w:val="0"/>
          <w:snapToGrid w:val="0"/>
          <w:sz w:val="32"/>
          <w:szCs w:val="32"/>
          <w:lang w:val="en-US" w:eastAsia="zh-CN"/>
        </w:rPr>
        <w:t>：县财政局</w:t>
      </w:r>
      <w:r>
        <w:rPr>
          <w:rFonts w:hint="eastAsia" w:eastAsia="仿宋_GB2312" w:cs="Times New Roman"/>
          <w:b w:val="0"/>
          <w:bCs w:val="0"/>
          <w:snapToGrid w:val="0"/>
          <w:sz w:val="32"/>
          <w:szCs w:val="32"/>
          <w:lang w:val="en-US" w:eastAsia="zh-CN"/>
        </w:rPr>
        <w:t>；</w:t>
      </w:r>
      <w:r>
        <w:rPr>
          <w:rFonts w:hint="default" w:ascii="Times New Roman" w:hAnsi="Times New Roman" w:eastAsia="仿宋_GB2312" w:cs="Times New Roman"/>
          <w:b w:val="0"/>
          <w:bCs w:val="0"/>
          <w:snapToGrid w:val="0"/>
          <w:sz w:val="32"/>
          <w:szCs w:val="32"/>
          <w:lang w:val="en-US" w:eastAsia="zh-CN"/>
        </w:rPr>
        <w:t>责任单位：人行张掖市分行、金融监管局民乐支局、县公安局、县委网信办、</w:t>
      </w:r>
      <w:r>
        <w:rPr>
          <w:rFonts w:hint="default" w:ascii="Times New Roman" w:hAnsi="Times New Roman" w:eastAsia="仿宋_GB2312" w:cs="Times New Roman"/>
          <w:b w:val="0"/>
          <w:bCs w:val="0"/>
          <w:snapToGrid w:val="0"/>
          <w:color w:val="auto"/>
          <w:sz w:val="32"/>
          <w:szCs w:val="32"/>
          <w:lang w:val="en-US" w:eastAsia="zh-CN"/>
        </w:rPr>
        <w:t>县域内各银行机构</w:t>
      </w:r>
      <w:r>
        <w:rPr>
          <w:rFonts w:hint="default" w:ascii="Times New Roman" w:hAnsi="Times New Roman" w:eastAsia="仿宋_GB2312" w:cs="Times New Roman"/>
          <w:b w:val="0"/>
          <w:bCs w:val="0"/>
          <w:snapToGrid w:val="0"/>
          <w:sz w:val="32"/>
          <w:szCs w:val="32"/>
          <w:lang w:val="en-US" w:eastAsia="zh-CN"/>
        </w:rPr>
        <w:t>）</w:t>
      </w:r>
    </w:p>
    <w:p w14:paraId="2B49E655">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楷体_GB2312" w:cs="Times New Roman"/>
          <w:b/>
          <w:bCs/>
          <w:snapToGrid w:val="0"/>
          <w:sz w:val="32"/>
          <w:szCs w:val="32"/>
          <w:lang w:eastAsia="zh-CN"/>
        </w:rPr>
      </w:pPr>
      <w:r>
        <w:rPr>
          <w:rFonts w:hint="default" w:ascii="Times New Roman" w:hAnsi="Times New Roman" w:eastAsia="楷体_GB2312" w:cs="Times New Roman"/>
          <w:b/>
          <w:bCs/>
          <w:snapToGrid w:val="0"/>
          <w:sz w:val="32"/>
          <w:szCs w:val="32"/>
          <w:lang w:eastAsia="zh-CN"/>
        </w:rPr>
        <w:t>（三）深化县域金融监管，提升县域金融服务水平</w:t>
      </w:r>
    </w:p>
    <w:p w14:paraId="58B88BF8">
      <w:pPr>
        <w:keepNext w:val="0"/>
        <w:keepLines w:val="0"/>
        <w:pageBreakBefore w:val="0"/>
        <w:widowControl w:val="0"/>
        <w:kinsoku/>
        <w:wordWrap/>
        <w:overflowPunct w:val="0"/>
        <w:topLinePunct w:val="0"/>
        <w:autoSpaceDE/>
        <w:autoSpaceDN/>
        <w:bidi w:val="0"/>
        <w:adjustRightInd/>
        <w:snapToGrid/>
        <w:spacing w:line="560" w:lineRule="exact"/>
        <w:ind w:firstLine="640"/>
        <w:textAlignment w:val="auto"/>
        <w:rPr>
          <w:rFonts w:hint="default" w:ascii="Times New Roman" w:hAnsi="Times New Roman" w:eastAsia="仿宋_GB2312" w:cs="Times New Roman"/>
          <w:b w:val="0"/>
          <w:bCs w:val="0"/>
          <w:snapToGrid w:val="0"/>
          <w:sz w:val="32"/>
          <w:szCs w:val="32"/>
        </w:rPr>
      </w:pPr>
      <w:r>
        <w:rPr>
          <w:rFonts w:hint="default" w:ascii="Times New Roman" w:hAnsi="Times New Roman" w:eastAsia="仿宋_GB2312" w:cs="Times New Roman"/>
          <w:b/>
          <w:bCs/>
          <w:snapToGrid w:val="0"/>
          <w:sz w:val="32"/>
          <w:szCs w:val="32"/>
          <w:lang w:val="en-US" w:eastAsia="zh-CN"/>
        </w:rPr>
        <w:t>7</w:t>
      </w:r>
      <w:r>
        <w:rPr>
          <w:rFonts w:hint="default" w:ascii="Times New Roman" w:hAnsi="Times New Roman" w:eastAsia="仿宋_GB2312" w:cs="Times New Roman"/>
          <w:b/>
          <w:bCs/>
          <w:snapToGrid w:val="0"/>
          <w:sz w:val="32"/>
          <w:szCs w:val="32"/>
        </w:rPr>
        <w:t>.强化县域现金管理和服务能力，推动现金收付新规落地</w:t>
      </w:r>
      <w:r>
        <w:rPr>
          <w:rFonts w:hint="default" w:ascii="Times New Roman" w:hAnsi="Times New Roman" w:eastAsia="仿宋_GB2312" w:cs="Times New Roman"/>
          <w:b/>
          <w:bCs/>
          <w:snapToGrid w:val="0"/>
          <w:sz w:val="32"/>
          <w:szCs w:val="32"/>
          <w:lang w:eastAsia="zh-CN"/>
        </w:rPr>
        <w:t>。</w:t>
      </w:r>
      <w:r>
        <w:rPr>
          <w:rFonts w:hint="default" w:ascii="Times New Roman" w:hAnsi="Times New Roman" w:eastAsia="仿宋_GB2312" w:cs="Times New Roman"/>
          <w:b w:val="0"/>
          <w:bCs w:val="0"/>
          <w:snapToGrid w:val="0"/>
          <w:sz w:val="32"/>
          <w:szCs w:val="32"/>
        </w:rPr>
        <w:t>将现金服务纳入民生实事、优化营商环境等领域，全面推动《人民币现金收付及服务规定》落地见效。建立拒收现金联合处置机制，按“首违不罚、抓大放小、应罚尽罚”的原则依法处置民生等重点领域拒收现金行为</w:t>
      </w:r>
      <w:r>
        <w:rPr>
          <w:rFonts w:hint="default" w:ascii="Times New Roman" w:hAnsi="Times New Roman" w:eastAsia="仿宋_GB2312" w:cs="Times New Roman"/>
          <w:b w:val="0"/>
          <w:bCs w:val="0"/>
          <w:snapToGrid w:val="0"/>
          <w:sz w:val="32"/>
          <w:szCs w:val="32"/>
          <w:lang w:eastAsia="zh-CN"/>
        </w:rPr>
        <w:t>。</w:t>
      </w:r>
      <w:r>
        <w:rPr>
          <w:rFonts w:hint="default" w:ascii="Times New Roman" w:hAnsi="Times New Roman" w:eastAsia="仿宋_GB2312" w:cs="Times New Roman"/>
          <w:b w:val="0"/>
          <w:bCs w:val="0"/>
          <w:snapToGrid w:val="0"/>
          <w:sz w:val="32"/>
          <w:szCs w:val="32"/>
        </w:rPr>
        <w:t>打造政务现金服务示范窗口，金融机构提供上门收款、兑零等个性化服务</w:t>
      </w:r>
      <w:r>
        <w:rPr>
          <w:rFonts w:hint="default" w:ascii="Times New Roman" w:hAnsi="Times New Roman" w:eastAsia="仿宋_GB2312" w:cs="Times New Roman"/>
          <w:b w:val="0"/>
          <w:bCs w:val="0"/>
          <w:snapToGrid w:val="0"/>
          <w:sz w:val="32"/>
          <w:szCs w:val="32"/>
          <w:lang w:eastAsia="zh-CN"/>
        </w:rPr>
        <w:t>。</w:t>
      </w:r>
      <w:r>
        <w:rPr>
          <w:rFonts w:hint="default" w:ascii="Times New Roman" w:hAnsi="Times New Roman" w:eastAsia="仿宋_GB2312" w:cs="Times New Roman"/>
          <w:b w:val="0"/>
          <w:bCs w:val="0"/>
          <w:snapToGrid w:val="0"/>
          <w:sz w:val="32"/>
          <w:szCs w:val="32"/>
        </w:rPr>
        <w:t>完善政银警反假联动机制，推进乡镇反假货币协同治理工作站建设，打造“无假币乡镇”等</w:t>
      </w:r>
      <w:r>
        <w:rPr>
          <w:rFonts w:hint="default" w:ascii="Times New Roman" w:hAnsi="Times New Roman" w:eastAsia="仿宋_GB2312" w:cs="Times New Roman"/>
          <w:b w:val="0"/>
          <w:bCs w:val="0"/>
          <w:snapToGrid w:val="0"/>
          <w:sz w:val="32"/>
          <w:szCs w:val="32"/>
          <w:lang w:eastAsia="zh-CN"/>
        </w:rPr>
        <w:t>亮点。</w:t>
      </w:r>
      <w:r>
        <w:rPr>
          <w:rFonts w:hint="default" w:ascii="Times New Roman" w:hAnsi="Times New Roman" w:eastAsia="仿宋_GB2312" w:cs="Times New Roman"/>
          <w:b w:val="0"/>
          <w:bCs w:val="0"/>
          <w:snapToGrid w:val="0"/>
          <w:sz w:val="32"/>
          <w:szCs w:val="32"/>
        </w:rPr>
        <w:t>联合市场监管等部门持续开展互联网平台违规销售人民币类商品、违规使用人民币图样等线上线下线索摸排，加大联合整治力度，切实维护县域人民币流通秩序。（</w:t>
      </w:r>
      <w:r>
        <w:rPr>
          <w:rFonts w:hint="eastAsia" w:eastAsia="仿宋_GB2312" w:cs="Times New Roman"/>
          <w:b w:val="0"/>
          <w:bCs w:val="0"/>
          <w:snapToGrid w:val="0"/>
          <w:sz w:val="32"/>
          <w:szCs w:val="32"/>
          <w:lang w:val="en-US" w:eastAsia="zh-CN"/>
        </w:rPr>
        <w:t>牵头单位：</w:t>
      </w:r>
      <w:r>
        <w:rPr>
          <w:rFonts w:hint="default" w:ascii="Times New Roman" w:hAnsi="Times New Roman" w:eastAsia="仿宋_GB2312" w:cs="Times New Roman"/>
          <w:b w:val="0"/>
          <w:bCs w:val="0"/>
          <w:snapToGrid w:val="0"/>
          <w:sz w:val="32"/>
          <w:szCs w:val="32"/>
          <w:lang w:eastAsia="zh-CN"/>
        </w:rPr>
        <w:t>县财政局</w:t>
      </w:r>
      <w:r>
        <w:rPr>
          <w:rFonts w:hint="eastAsia" w:eastAsia="仿宋_GB2312" w:cs="Times New Roman"/>
          <w:b w:val="0"/>
          <w:bCs w:val="0"/>
          <w:snapToGrid w:val="0"/>
          <w:sz w:val="32"/>
          <w:szCs w:val="32"/>
          <w:lang w:eastAsia="zh-CN"/>
        </w:rPr>
        <w:t>；</w:t>
      </w:r>
      <w:r>
        <w:rPr>
          <w:rFonts w:hint="default" w:ascii="Times New Roman" w:hAnsi="Times New Roman" w:eastAsia="仿宋_GB2312" w:cs="Times New Roman"/>
          <w:b w:val="0"/>
          <w:bCs w:val="0"/>
          <w:snapToGrid w:val="0"/>
          <w:sz w:val="32"/>
          <w:szCs w:val="32"/>
        </w:rPr>
        <w:t>责任单位：</w:t>
      </w:r>
      <w:r>
        <w:rPr>
          <w:rFonts w:hint="default" w:ascii="Times New Roman" w:hAnsi="Times New Roman" w:eastAsia="仿宋_GB2312" w:cs="Times New Roman"/>
          <w:b w:val="0"/>
          <w:bCs w:val="0"/>
          <w:snapToGrid w:val="0"/>
          <w:sz w:val="32"/>
          <w:szCs w:val="32"/>
          <w:lang w:eastAsia="zh-CN"/>
        </w:rPr>
        <w:t>县</w:t>
      </w:r>
      <w:r>
        <w:rPr>
          <w:rFonts w:hint="default" w:ascii="Times New Roman" w:hAnsi="Times New Roman" w:eastAsia="仿宋_GB2312" w:cs="Times New Roman"/>
          <w:b w:val="0"/>
          <w:bCs w:val="0"/>
          <w:snapToGrid w:val="0"/>
          <w:sz w:val="32"/>
          <w:szCs w:val="32"/>
        </w:rPr>
        <w:t>发改委、</w:t>
      </w:r>
      <w:r>
        <w:rPr>
          <w:rFonts w:hint="default" w:ascii="Times New Roman" w:hAnsi="Times New Roman" w:eastAsia="仿宋_GB2312" w:cs="Times New Roman"/>
          <w:b w:val="0"/>
          <w:bCs w:val="0"/>
          <w:snapToGrid w:val="0"/>
          <w:sz w:val="32"/>
          <w:szCs w:val="32"/>
          <w:lang w:eastAsia="zh-CN"/>
        </w:rPr>
        <w:t>人行张掖市分行</w:t>
      </w:r>
      <w:r>
        <w:rPr>
          <w:rFonts w:hint="default" w:ascii="Times New Roman" w:hAnsi="Times New Roman" w:eastAsia="仿宋_GB2312" w:cs="Times New Roman"/>
          <w:b w:val="0"/>
          <w:bCs w:val="0"/>
          <w:snapToGrid w:val="0"/>
          <w:sz w:val="32"/>
          <w:szCs w:val="32"/>
        </w:rPr>
        <w:t>、</w:t>
      </w:r>
      <w:r>
        <w:rPr>
          <w:rFonts w:hint="default" w:ascii="Times New Roman" w:hAnsi="Times New Roman" w:eastAsia="仿宋_GB2312" w:cs="Times New Roman"/>
          <w:b w:val="0"/>
          <w:bCs w:val="0"/>
          <w:snapToGrid w:val="0"/>
          <w:sz w:val="32"/>
          <w:szCs w:val="32"/>
          <w:lang w:eastAsia="zh-CN"/>
        </w:rPr>
        <w:t>县</w:t>
      </w:r>
      <w:r>
        <w:rPr>
          <w:rFonts w:hint="default" w:ascii="Times New Roman" w:hAnsi="Times New Roman" w:eastAsia="仿宋_GB2312" w:cs="Times New Roman"/>
          <w:b w:val="0"/>
          <w:bCs w:val="0"/>
          <w:snapToGrid w:val="0"/>
          <w:sz w:val="32"/>
          <w:szCs w:val="32"/>
        </w:rPr>
        <w:t>民政局、</w:t>
      </w:r>
      <w:r>
        <w:rPr>
          <w:rFonts w:hint="default" w:ascii="Times New Roman" w:hAnsi="Times New Roman" w:eastAsia="仿宋_GB2312" w:cs="Times New Roman"/>
          <w:b w:val="0"/>
          <w:bCs w:val="0"/>
          <w:snapToGrid w:val="0"/>
          <w:sz w:val="32"/>
          <w:szCs w:val="32"/>
          <w:lang w:eastAsia="zh-CN"/>
        </w:rPr>
        <w:t>县</w:t>
      </w:r>
      <w:r>
        <w:rPr>
          <w:rFonts w:hint="default" w:ascii="Times New Roman" w:hAnsi="Times New Roman" w:eastAsia="仿宋_GB2312" w:cs="Times New Roman"/>
          <w:b w:val="0"/>
          <w:bCs w:val="0"/>
          <w:snapToGrid w:val="0"/>
          <w:sz w:val="32"/>
          <w:szCs w:val="32"/>
        </w:rPr>
        <w:t>交通局、</w:t>
      </w:r>
      <w:r>
        <w:rPr>
          <w:rFonts w:hint="default" w:ascii="Times New Roman" w:hAnsi="Times New Roman" w:eastAsia="仿宋_GB2312" w:cs="Times New Roman"/>
          <w:b w:val="0"/>
          <w:bCs w:val="0"/>
          <w:snapToGrid w:val="0"/>
          <w:sz w:val="32"/>
          <w:szCs w:val="32"/>
          <w:lang w:eastAsia="zh-CN"/>
        </w:rPr>
        <w:t>县</w:t>
      </w:r>
      <w:r>
        <w:rPr>
          <w:rFonts w:hint="default" w:ascii="Times New Roman" w:hAnsi="Times New Roman" w:eastAsia="仿宋_GB2312" w:cs="Times New Roman"/>
          <w:b w:val="0"/>
          <w:bCs w:val="0"/>
          <w:snapToGrid w:val="0"/>
          <w:sz w:val="32"/>
          <w:szCs w:val="32"/>
        </w:rPr>
        <w:t>文</w:t>
      </w:r>
      <w:r>
        <w:rPr>
          <w:rFonts w:hint="default" w:ascii="Times New Roman" w:hAnsi="Times New Roman" w:eastAsia="仿宋_GB2312" w:cs="Times New Roman"/>
          <w:b w:val="0"/>
          <w:bCs w:val="0"/>
          <w:snapToGrid w:val="0"/>
          <w:sz w:val="32"/>
          <w:szCs w:val="32"/>
          <w:lang w:eastAsia="zh-CN"/>
        </w:rPr>
        <w:t>广旅游</w:t>
      </w:r>
      <w:r>
        <w:rPr>
          <w:rFonts w:hint="default" w:ascii="Times New Roman" w:hAnsi="Times New Roman" w:eastAsia="仿宋_GB2312" w:cs="Times New Roman"/>
          <w:b w:val="0"/>
          <w:bCs w:val="0"/>
          <w:snapToGrid w:val="0"/>
          <w:sz w:val="32"/>
          <w:szCs w:val="32"/>
        </w:rPr>
        <w:t>局、</w:t>
      </w:r>
      <w:r>
        <w:rPr>
          <w:rFonts w:hint="default" w:ascii="Times New Roman" w:hAnsi="Times New Roman" w:eastAsia="仿宋_GB2312" w:cs="Times New Roman"/>
          <w:b w:val="0"/>
          <w:bCs w:val="0"/>
          <w:snapToGrid w:val="0"/>
          <w:sz w:val="32"/>
          <w:szCs w:val="32"/>
          <w:lang w:eastAsia="zh-CN"/>
        </w:rPr>
        <w:t>县</w:t>
      </w:r>
      <w:r>
        <w:rPr>
          <w:rFonts w:hint="default" w:ascii="Times New Roman" w:hAnsi="Times New Roman" w:eastAsia="仿宋_GB2312" w:cs="Times New Roman"/>
          <w:b w:val="0"/>
          <w:bCs w:val="0"/>
          <w:snapToGrid w:val="0"/>
          <w:sz w:val="32"/>
          <w:szCs w:val="32"/>
        </w:rPr>
        <w:t>公安局、各镇、</w:t>
      </w:r>
      <w:r>
        <w:rPr>
          <w:rFonts w:hint="default" w:ascii="Times New Roman" w:hAnsi="Times New Roman" w:eastAsia="仿宋_GB2312" w:cs="Times New Roman"/>
          <w:b w:val="0"/>
          <w:bCs w:val="0"/>
          <w:snapToGrid w:val="0"/>
          <w:color w:val="auto"/>
          <w:sz w:val="32"/>
          <w:szCs w:val="32"/>
          <w:lang w:val="en-US" w:eastAsia="zh-CN"/>
        </w:rPr>
        <w:t>县域内各银行机构</w:t>
      </w:r>
      <w:r>
        <w:rPr>
          <w:rFonts w:hint="default" w:ascii="Times New Roman" w:hAnsi="Times New Roman" w:eastAsia="仿宋_GB2312" w:cs="Times New Roman"/>
          <w:b w:val="0"/>
          <w:bCs w:val="0"/>
          <w:snapToGrid w:val="0"/>
          <w:sz w:val="32"/>
          <w:szCs w:val="32"/>
        </w:rPr>
        <w:t>）</w:t>
      </w:r>
    </w:p>
    <w:p w14:paraId="5FCC4CB8">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cs="Times New Roman"/>
          <w:b w:val="0"/>
          <w:bCs w:val="0"/>
          <w:snapToGrid w:val="0"/>
          <w:lang w:eastAsia="zh-CN"/>
        </w:rPr>
      </w:pPr>
      <w:r>
        <w:rPr>
          <w:rFonts w:hint="default" w:ascii="Times New Roman" w:hAnsi="Times New Roman" w:eastAsia="仿宋_GB2312" w:cs="Times New Roman"/>
          <w:b/>
          <w:bCs/>
          <w:snapToGrid w:val="0"/>
          <w:sz w:val="32"/>
          <w:szCs w:val="32"/>
          <w:lang w:val="en-US" w:eastAsia="zh-CN"/>
        </w:rPr>
        <w:t>8.强化财政收支管理，提升国库业务规范化水平。</w:t>
      </w:r>
      <w:r>
        <w:rPr>
          <w:rFonts w:hint="default" w:ascii="Times New Roman" w:hAnsi="Times New Roman" w:eastAsia="仿宋_GB2312" w:cs="Times New Roman"/>
          <w:b w:val="0"/>
          <w:bCs w:val="0"/>
          <w:snapToGrid w:val="0"/>
          <w:sz w:val="32"/>
          <w:szCs w:val="32"/>
          <w:lang w:val="en-US" w:eastAsia="zh-CN"/>
        </w:rPr>
        <w:t>严格按照相关法规规章，强化财政收支管理，推行非税收入电子化直缴入库全覆盖，提高非税收入入库效率。畅通财税库信息共享通道，发挥三方综合联动服务作用，配合财税体制改革政策落地实施，加强对财政存款的开户和财政库款的支拨监督、对商业银行代理国库业务监督管理和培训指导、对地方党政部门国库信息服务供给，保障财政资金安全和预算顺利执行。</w:t>
      </w:r>
      <w:r>
        <w:rPr>
          <w:rFonts w:hint="default" w:ascii="Times New Roman" w:hAnsi="Times New Roman" w:eastAsia="仿宋_GB2312" w:cs="Times New Roman"/>
          <w:b w:val="0"/>
          <w:bCs w:val="0"/>
          <w:snapToGrid w:val="0"/>
          <w:color w:val="000000" w:themeColor="text1"/>
          <w:sz w:val="32"/>
          <w:szCs w:val="32"/>
          <w:lang w:val="en-US" w:eastAsia="zh-CN"/>
          <w14:textFill>
            <w14:solidFill>
              <w14:schemeClr w14:val="tx1"/>
            </w14:solidFill>
          </w14:textFill>
        </w:rPr>
        <w:t>深入推进国债下乡工作，有效拓宽农民群众安全投资渠道，加强“国债下乡服务点”建设，做好“国债下乡服务点”电子地图标记工作，切实提升农村地区购买国债的便利性。（</w:t>
      </w:r>
      <w:r>
        <w:rPr>
          <w:rFonts w:hint="eastAsia" w:eastAsia="仿宋_GB2312" w:cs="Times New Roman"/>
          <w:b w:val="0"/>
          <w:bCs w:val="0"/>
          <w:snapToGrid w:val="0"/>
          <w:color w:val="000000" w:themeColor="text1"/>
          <w:sz w:val="32"/>
          <w:szCs w:val="32"/>
          <w:lang w:val="en-US" w:eastAsia="zh-CN"/>
          <w14:textFill>
            <w14:solidFill>
              <w14:schemeClr w14:val="tx1"/>
            </w14:solidFill>
          </w14:textFill>
        </w:rPr>
        <w:t>牵头单位：</w:t>
      </w:r>
      <w:r>
        <w:rPr>
          <w:rFonts w:hint="default" w:ascii="Times New Roman" w:hAnsi="Times New Roman" w:eastAsia="仿宋_GB2312" w:cs="Times New Roman"/>
          <w:b w:val="0"/>
          <w:bCs w:val="0"/>
          <w:snapToGrid w:val="0"/>
          <w:color w:val="000000" w:themeColor="text1"/>
          <w:sz w:val="32"/>
          <w:szCs w:val="32"/>
          <w:lang w:val="en-US" w:eastAsia="zh-CN"/>
          <w14:textFill>
            <w14:solidFill>
              <w14:schemeClr w14:val="tx1"/>
            </w14:solidFill>
          </w14:textFill>
        </w:rPr>
        <w:t>人行张掖市分</w:t>
      </w:r>
      <w:r>
        <w:rPr>
          <w:rFonts w:hint="default" w:ascii="Times New Roman" w:hAnsi="Times New Roman" w:eastAsia="仿宋_GB2312" w:cs="Times New Roman"/>
          <w:b w:val="0"/>
          <w:bCs w:val="0"/>
          <w:snapToGrid w:val="0"/>
          <w:sz w:val="32"/>
          <w:szCs w:val="32"/>
          <w:lang w:val="en-US" w:eastAsia="zh-CN"/>
        </w:rPr>
        <w:t>行</w:t>
      </w:r>
      <w:r>
        <w:rPr>
          <w:rFonts w:hint="eastAsia" w:eastAsia="仿宋_GB2312" w:cs="Times New Roman"/>
          <w:b w:val="0"/>
          <w:bCs w:val="0"/>
          <w:snapToGrid w:val="0"/>
          <w:sz w:val="32"/>
          <w:szCs w:val="32"/>
          <w:lang w:val="en-US" w:eastAsia="zh-CN"/>
        </w:rPr>
        <w:t>；</w:t>
      </w:r>
      <w:r>
        <w:rPr>
          <w:rFonts w:hint="default" w:ascii="Times New Roman" w:hAnsi="Times New Roman" w:eastAsia="仿宋_GB2312" w:cs="Times New Roman"/>
          <w:b w:val="0"/>
          <w:bCs w:val="0"/>
          <w:snapToGrid w:val="0"/>
          <w:color w:val="000000" w:themeColor="text1"/>
          <w:sz w:val="32"/>
          <w:szCs w:val="32"/>
          <w:lang w:val="en-US" w:eastAsia="zh-CN"/>
          <w14:textFill>
            <w14:solidFill>
              <w14:schemeClr w14:val="tx1"/>
            </w14:solidFill>
          </w14:textFill>
        </w:rPr>
        <w:t>责任单位：</w:t>
      </w:r>
      <w:r>
        <w:rPr>
          <w:rFonts w:hint="default" w:ascii="Times New Roman" w:hAnsi="Times New Roman" w:eastAsia="仿宋_GB2312" w:cs="Times New Roman"/>
          <w:b w:val="0"/>
          <w:bCs w:val="0"/>
          <w:snapToGrid w:val="0"/>
          <w:sz w:val="32"/>
          <w:szCs w:val="32"/>
          <w:lang w:val="en-US" w:eastAsia="zh-CN"/>
        </w:rPr>
        <w:t>县财政局、县税务局、</w:t>
      </w:r>
      <w:r>
        <w:rPr>
          <w:rFonts w:hint="default" w:ascii="Times New Roman" w:hAnsi="Times New Roman" w:eastAsia="仿宋_GB2312" w:cs="Times New Roman"/>
          <w:b w:val="0"/>
          <w:bCs w:val="0"/>
          <w:snapToGrid w:val="0"/>
          <w:color w:val="auto"/>
          <w:sz w:val="32"/>
          <w:szCs w:val="32"/>
          <w:lang w:val="en-US" w:eastAsia="zh-CN"/>
        </w:rPr>
        <w:t>县域内各银行机构</w:t>
      </w:r>
      <w:r>
        <w:rPr>
          <w:rFonts w:hint="default" w:ascii="Times New Roman" w:hAnsi="Times New Roman" w:eastAsia="仿宋_GB2312" w:cs="Times New Roman"/>
          <w:b w:val="0"/>
          <w:bCs w:val="0"/>
          <w:snapToGrid w:val="0"/>
          <w:sz w:val="32"/>
          <w:szCs w:val="32"/>
          <w:lang w:val="en-US" w:eastAsia="zh-CN"/>
        </w:rPr>
        <w:t>）</w:t>
      </w:r>
    </w:p>
    <w:p w14:paraId="5CF79AED">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snapToGrid w:val="0"/>
          <w:sz w:val="32"/>
          <w:szCs w:val="32"/>
          <w:lang w:val="en-US" w:eastAsia="zh-CN"/>
        </w:rPr>
      </w:pPr>
      <w:r>
        <w:rPr>
          <w:rFonts w:hint="default" w:ascii="Times New Roman" w:hAnsi="Times New Roman" w:eastAsia="仿宋_GB2312" w:cs="Times New Roman"/>
          <w:b/>
          <w:bCs/>
          <w:snapToGrid w:val="0"/>
          <w:sz w:val="32"/>
          <w:szCs w:val="32"/>
          <w:lang w:val="en-US" w:eastAsia="zh-CN"/>
        </w:rPr>
        <w:t>9.深化信用体系建设，推动征信提质扩面。</w:t>
      </w:r>
      <w:r>
        <w:rPr>
          <w:rFonts w:hint="default" w:ascii="Times New Roman" w:hAnsi="Times New Roman" w:eastAsia="仿宋_GB2312" w:cs="Times New Roman"/>
          <w:b w:val="0"/>
          <w:bCs w:val="0"/>
          <w:snapToGrid w:val="0"/>
          <w:sz w:val="32"/>
          <w:szCs w:val="32"/>
          <w:lang w:val="en-US" w:eastAsia="zh-CN"/>
        </w:rPr>
        <w:t>开展“促进乡村振兴・共建信用工程”行动，动态监测农村“三信”评定，消除授信盲区，推动金融服务从“被动响应”向“主动供给”转变。拓宽动产融资登记等平台运用渠道，推广创新融资模式，构建县域征信管理服务格局。建立多部门“征信修复”非法中介治理联席会议制度，明确分工流程，遏制非法中介蔓延，维护金融消费者权益和金融稳定。（</w:t>
      </w:r>
      <w:r>
        <w:rPr>
          <w:rFonts w:hint="eastAsia" w:eastAsia="仿宋_GB2312" w:cs="Times New Roman"/>
          <w:b w:val="0"/>
          <w:bCs w:val="0"/>
          <w:snapToGrid w:val="0"/>
          <w:sz w:val="32"/>
          <w:szCs w:val="32"/>
          <w:lang w:val="en-US" w:eastAsia="zh-CN"/>
        </w:rPr>
        <w:t>牵头单位：</w:t>
      </w:r>
      <w:r>
        <w:rPr>
          <w:rFonts w:hint="default" w:ascii="Times New Roman" w:hAnsi="Times New Roman" w:eastAsia="仿宋_GB2312" w:cs="Times New Roman"/>
          <w:b w:val="0"/>
          <w:bCs w:val="0"/>
          <w:snapToGrid w:val="0"/>
          <w:sz w:val="32"/>
          <w:szCs w:val="32"/>
          <w:lang w:val="en-US" w:eastAsia="zh-CN"/>
        </w:rPr>
        <w:t>人行张掖市分行</w:t>
      </w:r>
      <w:r>
        <w:rPr>
          <w:rFonts w:hint="eastAsia" w:eastAsia="仿宋_GB2312" w:cs="Times New Roman"/>
          <w:b w:val="0"/>
          <w:bCs w:val="0"/>
          <w:snapToGrid w:val="0"/>
          <w:sz w:val="32"/>
          <w:szCs w:val="32"/>
          <w:lang w:val="en-US" w:eastAsia="zh-CN"/>
        </w:rPr>
        <w:t>；</w:t>
      </w:r>
      <w:r>
        <w:rPr>
          <w:rFonts w:hint="default" w:ascii="Times New Roman" w:hAnsi="Times New Roman" w:eastAsia="仿宋_GB2312" w:cs="Times New Roman"/>
          <w:b w:val="0"/>
          <w:bCs w:val="0"/>
          <w:snapToGrid w:val="0"/>
          <w:sz w:val="32"/>
          <w:szCs w:val="32"/>
          <w:lang w:val="en-US" w:eastAsia="zh-CN"/>
        </w:rPr>
        <w:t>责任单位：各镇、县农业农村局、县财政局、金融监管局民乐支局、县工信和商务局、县市场监管局、县公安局、县委网信办、</w:t>
      </w:r>
      <w:r>
        <w:rPr>
          <w:rFonts w:hint="default" w:ascii="Times New Roman" w:hAnsi="Times New Roman" w:eastAsia="仿宋_GB2312" w:cs="Times New Roman"/>
          <w:b w:val="0"/>
          <w:bCs w:val="0"/>
          <w:snapToGrid w:val="0"/>
          <w:color w:val="auto"/>
          <w:sz w:val="32"/>
          <w:szCs w:val="32"/>
          <w:lang w:val="en-US" w:eastAsia="zh-CN"/>
        </w:rPr>
        <w:t>县域内各银行机构</w:t>
      </w:r>
      <w:r>
        <w:rPr>
          <w:rFonts w:hint="default" w:ascii="Times New Roman" w:hAnsi="Times New Roman" w:eastAsia="仿宋_GB2312" w:cs="Times New Roman"/>
          <w:b w:val="0"/>
          <w:bCs w:val="0"/>
          <w:snapToGrid w:val="0"/>
          <w:sz w:val="32"/>
          <w:szCs w:val="32"/>
          <w:lang w:val="en-US" w:eastAsia="zh-CN"/>
        </w:rPr>
        <w:t>）</w:t>
      </w:r>
    </w:p>
    <w:p w14:paraId="0C3F278F">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snapToGrid w:val="0"/>
          <w:sz w:val="32"/>
          <w:szCs w:val="32"/>
          <w:lang w:eastAsia="zh-CN"/>
        </w:rPr>
      </w:pPr>
      <w:r>
        <w:rPr>
          <w:rFonts w:hint="default" w:ascii="Times New Roman" w:hAnsi="Times New Roman" w:eastAsia="仿宋_GB2312" w:cs="Times New Roman"/>
          <w:b/>
          <w:bCs/>
          <w:snapToGrid w:val="0"/>
          <w:kern w:val="2"/>
          <w:sz w:val="32"/>
          <w:szCs w:val="32"/>
          <w:lang w:val="en-US" w:eastAsia="zh-CN" w:bidi="ar-SA"/>
        </w:rPr>
        <w:t>10.提升支付治理能力，优化支付服务水平。</w:t>
      </w:r>
      <w:r>
        <w:rPr>
          <w:rFonts w:hint="default" w:ascii="Times New Roman" w:hAnsi="Times New Roman" w:eastAsia="仿宋_GB2312" w:cs="Times New Roman"/>
          <w:b w:val="0"/>
          <w:bCs w:val="0"/>
          <w:snapToGrid w:val="0"/>
          <w:kern w:val="2"/>
          <w:sz w:val="32"/>
          <w:szCs w:val="32"/>
          <w:lang w:val="en-US" w:eastAsia="zh-CN" w:bidi="ar-SA"/>
        </w:rPr>
        <w:t>推进企业银行账户“高效办成一件事”，实现预约信息精准推送、联办信息实时反馈，优化支付服务，推进适老化改造，开展外籍离境退税业务，改善农村支付环境，以金融支付提振消费。健全警银协同机制，深化涉赌涉诈“资金链”精准治理，强化支付业务监管，规范受理终端和商户管理，畅通投诉举报渠道，及时化解矛盾纠纷。（</w:t>
      </w:r>
      <w:r>
        <w:rPr>
          <w:rFonts w:hint="eastAsia" w:eastAsia="仿宋_GB2312" w:cs="Times New Roman"/>
          <w:b w:val="0"/>
          <w:bCs w:val="0"/>
          <w:snapToGrid w:val="0"/>
          <w:kern w:val="2"/>
          <w:sz w:val="32"/>
          <w:szCs w:val="32"/>
          <w:lang w:val="en-US" w:eastAsia="zh-CN" w:bidi="ar-SA"/>
        </w:rPr>
        <w:t>牵头单位：</w:t>
      </w:r>
      <w:r>
        <w:rPr>
          <w:rFonts w:hint="default" w:ascii="Times New Roman" w:hAnsi="Times New Roman" w:eastAsia="仿宋_GB2312" w:cs="Times New Roman"/>
          <w:b w:val="0"/>
          <w:bCs w:val="0"/>
          <w:snapToGrid w:val="0"/>
          <w:kern w:val="2"/>
          <w:sz w:val="32"/>
          <w:szCs w:val="32"/>
          <w:lang w:val="en-US" w:eastAsia="zh-CN" w:bidi="ar-SA"/>
        </w:rPr>
        <w:t>县市场监管局</w:t>
      </w:r>
      <w:r>
        <w:rPr>
          <w:rFonts w:hint="eastAsia" w:eastAsia="仿宋_GB2312" w:cs="Times New Roman"/>
          <w:b w:val="0"/>
          <w:bCs w:val="0"/>
          <w:snapToGrid w:val="0"/>
          <w:kern w:val="2"/>
          <w:sz w:val="32"/>
          <w:szCs w:val="32"/>
          <w:lang w:val="en-US" w:eastAsia="zh-CN" w:bidi="ar-SA"/>
        </w:rPr>
        <w:t>；</w:t>
      </w:r>
      <w:r>
        <w:rPr>
          <w:rFonts w:hint="default" w:ascii="Times New Roman" w:hAnsi="Times New Roman" w:eastAsia="仿宋_GB2312" w:cs="Times New Roman"/>
          <w:b w:val="0"/>
          <w:bCs w:val="0"/>
          <w:snapToGrid w:val="0"/>
          <w:kern w:val="2"/>
          <w:sz w:val="32"/>
          <w:szCs w:val="32"/>
          <w:lang w:val="en-US" w:eastAsia="zh-CN" w:bidi="ar-SA"/>
        </w:rPr>
        <w:t>责任单位：人行张掖市分行、县民政局、县卫健局、县农业农村局、县工信和商务局、县公安局、县信访局、县政务服务中心、</w:t>
      </w:r>
      <w:r>
        <w:rPr>
          <w:rFonts w:hint="default" w:ascii="Times New Roman" w:hAnsi="Times New Roman" w:eastAsia="仿宋_GB2312" w:cs="Times New Roman"/>
          <w:b w:val="0"/>
          <w:bCs w:val="0"/>
          <w:snapToGrid w:val="0"/>
          <w:color w:val="auto"/>
          <w:sz w:val="32"/>
          <w:szCs w:val="32"/>
          <w:lang w:val="en-US" w:eastAsia="zh-CN"/>
        </w:rPr>
        <w:t>县域内各银行机构</w:t>
      </w:r>
      <w:r>
        <w:rPr>
          <w:rFonts w:hint="default" w:ascii="Times New Roman" w:hAnsi="Times New Roman" w:eastAsia="仿宋_GB2312" w:cs="Times New Roman"/>
          <w:b w:val="0"/>
          <w:bCs w:val="0"/>
          <w:snapToGrid w:val="0"/>
          <w:kern w:val="2"/>
          <w:sz w:val="32"/>
          <w:szCs w:val="32"/>
          <w:lang w:val="en-US" w:eastAsia="zh-CN" w:bidi="ar-SA"/>
        </w:rPr>
        <w:t>）</w:t>
      </w:r>
    </w:p>
    <w:p w14:paraId="2F059526">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textAlignment w:val="auto"/>
        <w:rPr>
          <w:rFonts w:hint="default" w:ascii="Times New Roman" w:hAnsi="Times New Roman" w:eastAsia="仿宋_GB2312" w:cs="Times New Roman"/>
          <w:b w:val="0"/>
          <w:bCs w:val="0"/>
          <w:snapToGrid w:val="0"/>
          <w:kern w:val="2"/>
          <w:sz w:val="32"/>
          <w:szCs w:val="32"/>
          <w:lang w:val="en-US" w:eastAsia="zh-CN" w:bidi="ar-SA"/>
        </w:rPr>
      </w:pPr>
      <w:r>
        <w:rPr>
          <w:rFonts w:hint="default" w:ascii="Times New Roman" w:hAnsi="Times New Roman" w:eastAsia="仿宋_GB2312" w:cs="Times New Roman"/>
          <w:b/>
          <w:bCs/>
          <w:snapToGrid w:val="0"/>
          <w:sz w:val="32"/>
          <w:szCs w:val="32"/>
          <w:lang w:val="en-US" w:eastAsia="zh-CN"/>
        </w:rPr>
        <w:t>11.严厉打击洗钱犯罪，筑牢反洗钱防线。</w:t>
      </w:r>
      <w:r>
        <w:rPr>
          <w:rFonts w:hint="default" w:ascii="Times New Roman" w:hAnsi="Times New Roman" w:eastAsia="仿宋_GB2312" w:cs="Times New Roman"/>
          <w:b w:val="0"/>
          <w:bCs w:val="0"/>
          <w:snapToGrid w:val="0"/>
          <w:sz w:val="32"/>
          <w:szCs w:val="32"/>
          <w:lang w:val="en-US" w:eastAsia="zh-CN"/>
        </w:rPr>
        <w:t>县财政局督促相关部门落实常态化反洗钱责任，力争年内洗钱入罪“零突破”，纪委监委、法院、检察院、公安局等积极推进，强化线索核查、案件审理、侦查打击，相关部门落实特定行业反洗钱监管职责，市场监管、税务部门协助做好受益所有人备案、贵宝行业反洗钱监管等工作，将反洗钱成效纳入平安单位建设考核，压实义务机构主体责任。（</w:t>
      </w:r>
      <w:r>
        <w:rPr>
          <w:rFonts w:hint="eastAsia" w:eastAsia="仿宋_GB2312" w:cs="Times New Roman"/>
          <w:b w:val="0"/>
          <w:bCs w:val="0"/>
          <w:snapToGrid w:val="0"/>
          <w:sz w:val="32"/>
          <w:szCs w:val="32"/>
          <w:lang w:val="en-US" w:eastAsia="zh-CN"/>
        </w:rPr>
        <w:t>牵头单位：</w:t>
      </w:r>
      <w:r>
        <w:rPr>
          <w:rFonts w:hint="default" w:ascii="Times New Roman" w:hAnsi="Times New Roman" w:eastAsia="仿宋_GB2312" w:cs="Times New Roman"/>
          <w:b w:val="0"/>
          <w:bCs w:val="0"/>
          <w:snapToGrid w:val="0"/>
          <w:sz w:val="32"/>
          <w:szCs w:val="32"/>
          <w:lang w:val="en-US" w:eastAsia="zh-CN"/>
        </w:rPr>
        <w:t>县财政局</w:t>
      </w:r>
      <w:r>
        <w:rPr>
          <w:rFonts w:hint="eastAsia" w:eastAsia="仿宋_GB2312" w:cs="Times New Roman"/>
          <w:b w:val="0"/>
          <w:bCs w:val="0"/>
          <w:snapToGrid w:val="0"/>
          <w:sz w:val="32"/>
          <w:szCs w:val="32"/>
          <w:lang w:val="en-US" w:eastAsia="zh-CN"/>
        </w:rPr>
        <w:t>；</w:t>
      </w:r>
      <w:r>
        <w:rPr>
          <w:rFonts w:hint="default" w:ascii="Times New Roman" w:hAnsi="Times New Roman" w:eastAsia="仿宋_GB2312" w:cs="Times New Roman"/>
          <w:b w:val="0"/>
          <w:bCs w:val="0"/>
          <w:snapToGrid w:val="0"/>
          <w:sz w:val="32"/>
          <w:szCs w:val="32"/>
          <w:lang w:val="en-US" w:eastAsia="zh-CN"/>
        </w:rPr>
        <w:t>责任单位：县纪委监委、县法院、县检察院、县公安局、县司法局、县住建局、县民政局、县市场监管局、县税务局、人行张掖市分行、</w:t>
      </w:r>
      <w:r>
        <w:rPr>
          <w:rFonts w:hint="default" w:ascii="Times New Roman" w:hAnsi="Times New Roman" w:eastAsia="仿宋_GB2312" w:cs="Times New Roman"/>
          <w:b w:val="0"/>
          <w:bCs w:val="0"/>
          <w:snapToGrid w:val="0"/>
          <w:color w:val="auto"/>
          <w:sz w:val="32"/>
          <w:szCs w:val="32"/>
          <w:lang w:val="en-US" w:eastAsia="zh-CN"/>
        </w:rPr>
        <w:t>县域内各银行机构</w:t>
      </w:r>
      <w:r>
        <w:rPr>
          <w:rFonts w:hint="default" w:ascii="Times New Roman" w:hAnsi="Times New Roman" w:eastAsia="仿宋_GB2312" w:cs="Times New Roman"/>
          <w:b w:val="0"/>
          <w:bCs w:val="0"/>
          <w:snapToGrid w:val="0"/>
          <w:sz w:val="32"/>
          <w:szCs w:val="32"/>
          <w:lang w:val="en-US" w:eastAsia="zh-CN"/>
        </w:rPr>
        <w:t>）</w:t>
      </w:r>
    </w:p>
    <w:p w14:paraId="0214DD6A">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snapToGrid w:val="0"/>
          <w:sz w:val="32"/>
          <w:szCs w:val="32"/>
          <w:lang w:val="en-US" w:eastAsia="zh-CN"/>
        </w:rPr>
      </w:pPr>
      <w:r>
        <w:rPr>
          <w:rFonts w:hint="default" w:ascii="Times New Roman" w:hAnsi="Times New Roman" w:eastAsia="仿宋_GB2312" w:cs="Times New Roman"/>
          <w:b/>
          <w:bCs/>
          <w:snapToGrid w:val="0"/>
          <w:sz w:val="32"/>
          <w:szCs w:val="32"/>
          <w:lang w:val="en-US" w:eastAsia="zh-CN"/>
        </w:rPr>
        <w:t>12.设立外汇直联点，开展企业服务专项行动。</w:t>
      </w:r>
      <w:r>
        <w:rPr>
          <w:rFonts w:hint="default" w:ascii="Times New Roman" w:hAnsi="Times New Roman" w:eastAsia="仿宋_GB2312" w:cs="Times New Roman"/>
          <w:b w:val="0"/>
          <w:bCs w:val="0"/>
          <w:snapToGrid w:val="0"/>
          <w:sz w:val="32"/>
          <w:szCs w:val="32"/>
          <w:lang w:val="en-US" w:eastAsia="zh-CN"/>
        </w:rPr>
        <w:t>设立工商银行民乐支行为县域外汇重点直联点，配备专职人员、设置专属窗口，建立政策传导、跨境结算、诉求反馈、风险监测“四位一体”服务机制。联合银行走访涉外企业，开展政策宣讲和操作演示，协助符合条件企业完成贸易便利化申报，推动县域企业享受外汇政策红利。（</w:t>
      </w:r>
      <w:r>
        <w:rPr>
          <w:rFonts w:hint="eastAsia" w:eastAsia="仿宋_GB2312" w:cs="Times New Roman"/>
          <w:b w:val="0"/>
          <w:bCs w:val="0"/>
          <w:snapToGrid w:val="0"/>
          <w:sz w:val="32"/>
          <w:szCs w:val="32"/>
          <w:lang w:val="en-US" w:eastAsia="zh-CN"/>
        </w:rPr>
        <w:t>牵头单位：</w:t>
      </w:r>
      <w:r>
        <w:rPr>
          <w:rFonts w:hint="default" w:ascii="Times New Roman" w:hAnsi="Times New Roman" w:eastAsia="仿宋_GB2312" w:cs="Times New Roman"/>
          <w:b w:val="0"/>
          <w:bCs w:val="0"/>
          <w:snapToGrid w:val="0"/>
          <w:sz w:val="32"/>
          <w:szCs w:val="32"/>
          <w:lang w:val="en-US" w:eastAsia="zh-CN"/>
        </w:rPr>
        <w:t>人行张掖市分行</w:t>
      </w:r>
      <w:r>
        <w:rPr>
          <w:rFonts w:hint="eastAsia" w:eastAsia="仿宋_GB2312" w:cs="Times New Roman"/>
          <w:b w:val="0"/>
          <w:bCs w:val="0"/>
          <w:snapToGrid w:val="0"/>
          <w:sz w:val="32"/>
          <w:szCs w:val="32"/>
          <w:lang w:val="en-US" w:eastAsia="zh-CN"/>
        </w:rPr>
        <w:t>；</w:t>
      </w:r>
      <w:r>
        <w:rPr>
          <w:rFonts w:hint="default" w:ascii="Times New Roman" w:hAnsi="Times New Roman" w:eastAsia="仿宋_GB2312" w:cs="Times New Roman"/>
          <w:b w:val="0"/>
          <w:bCs w:val="0"/>
          <w:snapToGrid w:val="0"/>
          <w:sz w:val="32"/>
          <w:szCs w:val="32"/>
          <w:lang w:val="en-US" w:eastAsia="zh-CN"/>
        </w:rPr>
        <w:t>责任单位：</w:t>
      </w:r>
      <w:r>
        <w:rPr>
          <w:rFonts w:hint="default" w:ascii="Times New Roman" w:hAnsi="Times New Roman" w:eastAsia="仿宋_GB2312" w:cs="Times New Roman"/>
          <w:b w:val="0"/>
          <w:bCs w:val="0"/>
          <w:snapToGrid w:val="0"/>
          <w:color w:val="auto"/>
          <w:sz w:val="32"/>
          <w:szCs w:val="32"/>
          <w:lang w:val="en-US" w:eastAsia="zh-CN"/>
        </w:rPr>
        <w:t>县域内各银行机构</w:t>
      </w:r>
      <w:r>
        <w:rPr>
          <w:rFonts w:hint="default" w:ascii="Times New Roman" w:hAnsi="Times New Roman" w:eastAsia="仿宋_GB2312" w:cs="Times New Roman"/>
          <w:b w:val="0"/>
          <w:bCs w:val="0"/>
          <w:snapToGrid w:val="0"/>
          <w:sz w:val="32"/>
          <w:szCs w:val="32"/>
          <w:lang w:val="en-US" w:eastAsia="zh-CN"/>
        </w:rPr>
        <w:t>）</w:t>
      </w:r>
    </w:p>
    <w:p w14:paraId="5F6F7C26">
      <w:pPr>
        <w:keepNext w:val="0"/>
        <w:keepLines w:val="0"/>
        <w:pageBreakBefore w:val="0"/>
        <w:widowControl w:val="0"/>
        <w:kinsoku/>
        <w:wordWrap/>
        <w:overflowPunct w:val="0"/>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b w:val="0"/>
          <w:bCs w:val="0"/>
          <w:snapToGrid w:val="0"/>
          <w:sz w:val="32"/>
          <w:szCs w:val="32"/>
          <w:lang w:val="en-US" w:eastAsia="zh-CN"/>
        </w:rPr>
      </w:pPr>
      <w:r>
        <w:rPr>
          <w:rFonts w:hint="default" w:ascii="Times New Roman" w:hAnsi="Times New Roman" w:eastAsia="仿宋_GB2312" w:cs="Times New Roman"/>
          <w:b/>
          <w:bCs/>
          <w:snapToGrid w:val="0"/>
          <w:sz w:val="32"/>
          <w:szCs w:val="32"/>
          <w:lang w:val="en-US" w:eastAsia="zh-CN"/>
        </w:rPr>
        <w:t>13.畅通银政企信息共享渠道，深化经济金融研究合作。</w:t>
      </w:r>
      <w:r>
        <w:rPr>
          <w:rFonts w:hint="default" w:ascii="Times New Roman" w:hAnsi="Times New Roman" w:eastAsia="仿宋_GB2312" w:cs="Times New Roman"/>
          <w:b w:val="0"/>
          <w:bCs w:val="0"/>
          <w:snapToGrid w:val="0"/>
          <w:sz w:val="32"/>
          <w:szCs w:val="32"/>
          <w:lang w:val="en-US" w:eastAsia="zh-CN"/>
        </w:rPr>
        <w:t>常态化共享金融统计数据，通过传真等安全方式，合规满足县域政企金融统计数据需求，银政企相互配合，加大实地调研频度与力度，深入了解实体经济与金融服务的供需诉求，促进县域经济金融协同高效发展。（</w:t>
      </w:r>
      <w:r>
        <w:rPr>
          <w:rFonts w:hint="eastAsia" w:eastAsia="仿宋_GB2312" w:cs="Times New Roman"/>
          <w:b w:val="0"/>
          <w:bCs w:val="0"/>
          <w:snapToGrid w:val="0"/>
          <w:sz w:val="32"/>
          <w:szCs w:val="32"/>
          <w:lang w:val="en-US" w:eastAsia="zh-CN"/>
        </w:rPr>
        <w:t>牵头单位：</w:t>
      </w:r>
      <w:r>
        <w:rPr>
          <w:rFonts w:hint="default" w:ascii="Times New Roman" w:hAnsi="Times New Roman" w:eastAsia="仿宋_GB2312" w:cs="Times New Roman"/>
          <w:b w:val="0"/>
          <w:bCs w:val="0"/>
          <w:snapToGrid w:val="0"/>
          <w:sz w:val="32"/>
          <w:szCs w:val="32"/>
          <w:lang w:val="en-US" w:eastAsia="zh-CN"/>
        </w:rPr>
        <w:t>县财政局</w:t>
      </w:r>
      <w:r>
        <w:rPr>
          <w:rFonts w:hint="eastAsia" w:eastAsia="仿宋_GB2312" w:cs="Times New Roman"/>
          <w:b w:val="0"/>
          <w:bCs w:val="0"/>
          <w:snapToGrid w:val="0"/>
          <w:sz w:val="32"/>
          <w:szCs w:val="32"/>
          <w:lang w:val="en-US" w:eastAsia="zh-CN"/>
        </w:rPr>
        <w:t>；</w:t>
      </w:r>
      <w:r>
        <w:rPr>
          <w:rFonts w:hint="default" w:ascii="Times New Roman" w:hAnsi="Times New Roman" w:eastAsia="仿宋_GB2312" w:cs="Times New Roman"/>
          <w:b w:val="0"/>
          <w:bCs w:val="0"/>
          <w:snapToGrid w:val="0"/>
          <w:sz w:val="32"/>
          <w:szCs w:val="32"/>
          <w:lang w:val="en-US" w:eastAsia="zh-CN"/>
        </w:rPr>
        <w:t>责任单位：人行张掖市分行、县统计局、</w:t>
      </w:r>
      <w:r>
        <w:rPr>
          <w:rFonts w:hint="default" w:ascii="Times New Roman" w:hAnsi="Times New Roman" w:eastAsia="仿宋_GB2312" w:cs="Times New Roman"/>
          <w:b w:val="0"/>
          <w:bCs w:val="0"/>
          <w:snapToGrid w:val="0"/>
          <w:color w:val="auto"/>
          <w:sz w:val="32"/>
          <w:szCs w:val="32"/>
          <w:lang w:val="en-US" w:eastAsia="zh-CN"/>
        </w:rPr>
        <w:t>县域内各银行机构</w:t>
      </w:r>
      <w:r>
        <w:rPr>
          <w:rFonts w:hint="default" w:ascii="Times New Roman" w:hAnsi="Times New Roman" w:eastAsia="仿宋_GB2312" w:cs="Times New Roman"/>
          <w:b w:val="0"/>
          <w:bCs w:val="0"/>
          <w:snapToGrid w:val="0"/>
          <w:sz w:val="32"/>
          <w:szCs w:val="32"/>
          <w:lang w:val="en-US" w:eastAsia="zh-CN"/>
        </w:rPr>
        <w:t>）</w:t>
      </w:r>
    </w:p>
    <w:p w14:paraId="46A44BAA">
      <w:pPr>
        <w:keepNext w:val="0"/>
        <w:keepLines w:val="0"/>
        <w:pageBreakBefore w:val="0"/>
        <w:widowControl w:val="0"/>
        <w:kinsoku/>
        <w:wordWrap/>
        <w:overflowPunct w:val="0"/>
        <w:topLinePunct w:val="0"/>
        <w:autoSpaceDE/>
        <w:autoSpaceDN/>
        <w:bidi w:val="0"/>
        <w:adjustRightInd/>
        <w:snapToGrid/>
        <w:spacing w:line="560" w:lineRule="exact"/>
        <w:ind w:firstLine="643"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eastAsia="仿宋_GB2312" w:cs="Times New Roman"/>
          <w:b/>
          <w:bCs/>
          <w:snapToGrid w:val="0"/>
          <w:color w:val="auto"/>
          <w:sz w:val="32"/>
          <w:szCs w:val="32"/>
          <w:highlight w:val="none"/>
          <w:lang w:val="en-US" w:eastAsia="zh-CN"/>
        </w:rPr>
        <w:t>14.深化县域对接联系机制，探索金融干部互派机制。</w:t>
      </w:r>
      <w:r>
        <w:rPr>
          <w:rFonts w:hint="default" w:ascii="Times New Roman" w:hAnsi="Times New Roman" w:eastAsia="仿宋_GB2312" w:cs="Times New Roman"/>
          <w:b w:val="0"/>
          <w:bCs w:val="0"/>
          <w:snapToGrid w:val="0"/>
          <w:color w:val="auto"/>
          <w:sz w:val="32"/>
          <w:szCs w:val="32"/>
          <w:highlight w:val="none"/>
          <w:lang w:val="en-US" w:eastAsia="zh-CN"/>
        </w:rPr>
        <w:t>深入践行扁平化工作理念，整合政策传导、重要会议、业务培训等工作内容，到金融政策市县两级政府同传达，重点工作市县两级机构同部署。细化完善包抓联系制度安排，定期下沉县域走访调研，派员参加县级重要会议，推动政策直达、诉求直通、信息直送。加强县域经济金融运行分析研判，定期向县级党政通报相关情况，充分融入县域治理体系。探索建立常态化干部互派机制，争取形成“人才互派、资源互通、工作互融、发展共赢”的双向奔赴局面。（</w:t>
      </w:r>
      <w:r>
        <w:rPr>
          <w:rFonts w:hint="eastAsia" w:eastAsia="仿宋_GB2312" w:cs="Times New Roman"/>
          <w:b w:val="0"/>
          <w:bCs w:val="0"/>
          <w:snapToGrid w:val="0"/>
          <w:color w:val="auto"/>
          <w:sz w:val="32"/>
          <w:szCs w:val="32"/>
          <w:highlight w:val="none"/>
          <w:lang w:val="en-US" w:eastAsia="zh-CN"/>
        </w:rPr>
        <w:t>牵头单位：</w:t>
      </w:r>
      <w:r>
        <w:rPr>
          <w:rFonts w:hint="default" w:ascii="Times New Roman" w:hAnsi="Times New Roman" w:eastAsia="仿宋_GB2312" w:cs="Times New Roman"/>
          <w:b w:val="0"/>
          <w:bCs w:val="0"/>
          <w:snapToGrid w:val="0"/>
          <w:color w:val="auto"/>
          <w:sz w:val="32"/>
          <w:szCs w:val="32"/>
          <w:highlight w:val="none"/>
          <w:lang w:val="en-US" w:eastAsia="zh-CN"/>
        </w:rPr>
        <w:t>人行张掖市分行</w:t>
      </w:r>
      <w:r>
        <w:rPr>
          <w:rFonts w:hint="eastAsia" w:eastAsia="仿宋_GB2312" w:cs="Times New Roman"/>
          <w:b w:val="0"/>
          <w:bCs w:val="0"/>
          <w:snapToGrid w:val="0"/>
          <w:color w:val="auto"/>
          <w:sz w:val="32"/>
          <w:szCs w:val="32"/>
          <w:highlight w:val="none"/>
          <w:lang w:val="en-US" w:eastAsia="zh-CN"/>
        </w:rPr>
        <w:t>；</w:t>
      </w:r>
      <w:r>
        <w:rPr>
          <w:rFonts w:hint="default" w:ascii="Times New Roman" w:hAnsi="Times New Roman" w:eastAsia="仿宋_GB2312" w:cs="Times New Roman"/>
          <w:b w:val="0"/>
          <w:bCs w:val="0"/>
          <w:snapToGrid w:val="0"/>
          <w:color w:val="auto"/>
          <w:sz w:val="32"/>
          <w:szCs w:val="32"/>
          <w:highlight w:val="none"/>
          <w:lang w:val="en-US" w:eastAsia="zh-CN"/>
        </w:rPr>
        <w:t>责任单位：县财政局）</w:t>
      </w:r>
    </w:p>
    <w:p w14:paraId="422CBC35">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楷体_GB2312" w:cs="Times New Roman"/>
          <w:b/>
          <w:bCs/>
          <w:snapToGrid w:val="0"/>
          <w:sz w:val="32"/>
          <w:szCs w:val="32"/>
          <w:lang w:val="en-US" w:eastAsia="zh-CN"/>
        </w:rPr>
      </w:pPr>
      <w:r>
        <w:rPr>
          <w:rFonts w:hint="default" w:ascii="Times New Roman" w:hAnsi="Times New Roman" w:eastAsia="楷体_GB2312" w:cs="Times New Roman"/>
          <w:b/>
          <w:bCs/>
          <w:snapToGrid w:val="0"/>
          <w:sz w:val="32"/>
          <w:szCs w:val="32"/>
          <w:lang w:val="en-US" w:eastAsia="zh-CN"/>
        </w:rPr>
        <w:t>（四）强化县域金融宣传教育，提升公众风险意识与从业者服务水平</w:t>
      </w:r>
    </w:p>
    <w:p w14:paraId="2F76C34A">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snapToGrid w:val="0"/>
          <w:sz w:val="32"/>
          <w:szCs w:val="32"/>
          <w:lang w:val="en-US" w:eastAsia="zh-CN"/>
        </w:rPr>
      </w:pPr>
      <w:r>
        <w:rPr>
          <w:rFonts w:hint="default" w:ascii="Times New Roman" w:hAnsi="Times New Roman" w:eastAsia="仿宋_GB2312" w:cs="Times New Roman"/>
          <w:b/>
          <w:bCs/>
          <w:snapToGrid w:val="0"/>
          <w:sz w:val="32"/>
          <w:szCs w:val="32"/>
          <w:lang w:val="en-US" w:eastAsia="zh-CN"/>
        </w:rPr>
        <w:t>15.普及金融知识，夯实服务根基。</w:t>
      </w:r>
      <w:r>
        <w:rPr>
          <w:rFonts w:hint="default" w:ascii="Times New Roman" w:hAnsi="Times New Roman" w:eastAsia="仿宋_GB2312" w:cs="Times New Roman"/>
          <w:b w:val="0"/>
          <w:bCs w:val="0"/>
          <w:snapToGrid w:val="0"/>
          <w:sz w:val="32"/>
          <w:szCs w:val="32"/>
          <w:lang w:val="en-US" w:eastAsia="zh-CN"/>
        </w:rPr>
        <w:t>统筹推进存款保险、反假货币、国债下乡、征信、反洗钱、支付安全、反诈防骗、外汇政策等宣传及金融知识普及工作，依托各镇政务大厅、银行网点、助农服务点、便民服务中心、乡村集市等阵地，采用接地气的宣传形式，开展金融知识宣传普及活动。重点面向农户、新型农业经营主体、小微企业、老年人、青少年等群体，普及征信修复风险防范、存款保险、反电诈、支付安全、贷款合规使用等知识，提升各类主体的防范意识与风险识别能力。同步加强县域金融机构从业人员政策培训、业务培训和技能培训，覆盖信贷服务、风险防控、现金管理、国库业务、征信服务、反洗钱、账户管理、支付结算、外汇服务、金融统计等全链条业务，提升基层一线人员履职能力和服务水平。（</w:t>
      </w:r>
      <w:r>
        <w:rPr>
          <w:rFonts w:hint="eastAsia" w:eastAsia="仿宋_GB2312" w:cs="Times New Roman"/>
          <w:b w:val="0"/>
          <w:bCs w:val="0"/>
          <w:snapToGrid w:val="0"/>
          <w:sz w:val="32"/>
          <w:szCs w:val="32"/>
          <w:lang w:val="en-US" w:eastAsia="zh-CN"/>
        </w:rPr>
        <w:t>牵头单位：</w:t>
      </w:r>
      <w:r>
        <w:rPr>
          <w:rFonts w:hint="default" w:ascii="Times New Roman" w:hAnsi="Times New Roman" w:eastAsia="仿宋_GB2312" w:cs="Times New Roman"/>
          <w:b w:val="0"/>
          <w:bCs w:val="0"/>
          <w:snapToGrid w:val="0"/>
          <w:sz w:val="32"/>
          <w:szCs w:val="32"/>
          <w:lang w:val="en-US" w:eastAsia="zh-CN"/>
        </w:rPr>
        <w:t>县财政局</w:t>
      </w:r>
      <w:r>
        <w:rPr>
          <w:rFonts w:hint="eastAsia" w:eastAsia="仿宋_GB2312" w:cs="Times New Roman"/>
          <w:b w:val="0"/>
          <w:bCs w:val="0"/>
          <w:snapToGrid w:val="0"/>
          <w:sz w:val="32"/>
          <w:szCs w:val="32"/>
          <w:lang w:val="en-US" w:eastAsia="zh-CN"/>
        </w:rPr>
        <w:t>；</w:t>
      </w:r>
      <w:bookmarkStart w:id="0" w:name="_GoBack"/>
      <w:bookmarkEnd w:id="0"/>
      <w:r>
        <w:rPr>
          <w:rFonts w:hint="default" w:ascii="Times New Roman" w:hAnsi="Times New Roman" w:eastAsia="仿宋_GB2312" w:cs="Times New Roman"/>
          <w:b w:val="0"/>
          <w:bCs w:val="0"/>
          <w:snapToGrid w:val="0"/>
          <w:sz w:val="32"/>
          <w:szCs w:val="32"/>
          <w:lang w:val="en-US" w:eastAsia="zh-CN"/>
        </w:rPr>
        <w:t>责任单位：各镇、人行张掖市分行、县公安局、县市场监管局、县司法局、人行张掖市分行、</w:t>
      </w:r>
      <w:r>
        <w:rPr>
          <w:rFonts w:hint="default" w:ascii="Times New Roman" w:hAnsi="Times New Roman" w:eastAsia="仿宋_GB2312" w:cs="Times New Roman"/>
          <w:b w:val="0"/>
          <w:bCs w:val="0"/>
          <w:snapToGrid w:val="0"/>
          <w:color w:val="auto"/>
          <w:sz w:val="32"/>
          <w:szCs w:val="32"/>
          <w:lang w:val="en-US" w:eastAsia="zh-CN"/>
        </w:rPr>
        <w:t>县域内各银行机构</w:t>
      </w:r>
      <w:r>
        <w:rPr>
          <w:rFonts w:hint="default" w:ascii="Times New Roman" w:hAnsi="Times New Roman" w:eastAsia="仿宋_GB2312" w:cs="Times New Roman"/>
          <w:b w:val="0"/>
          <w:bCs w:val="0"/>
          <w:snapToGrid w:val="0"/>
          <w:sz w:val="32"/>
          <w:szCs w:val="32"/>
          <w:lang w:val="en-US" w:eastAsia="zh-CN"/>
        </w:rPr>
        <w:t>）</w:t>
      </w:r>
    </w:p>
    <w:p w14:paraId="68FE5D3B">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napToGrid w:val="0"/>
          <w:sz w:val="32"/>
          <w:szCs w:val="32"/>
          <w:lang w:eastAsia="zh-CN"/>
        </w:rPr>
      </w:pPr>
      <w:r>
        <w:rPr>
          <w:rFonts w:hint="default" w:ascii="Times New Roman" w:hAnsi="Times New Roman" w:eastAsia="黑体" w:cs="Times New Roman"/>
          <w:snapToGrid w:val="0"/>
          <w:sz w:val="32"/>
          <w:szCs w:val="32"/>
          <w:lang w:val="en-US" w:eastAsia="zh-CN"/>
        </w:rPr>
        <w:t>三、保障措施</w:t>
      </w:r>
    </w:p>
    <w:p w14:paraId="5F7FC40B">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snapToGrid w:val="0"/>
          <w:sz w:val="32"/>
          <w:szCs w:val="32"/>
          <w:lang w:val="en-US" w:eastAsia="zh-CN"/>
        </w:rPr>
      </w:pPr>
      <w:r>
        <w:rPr>
          <w:rFonts w:hint="default" w:ascii="Times New Roman" w:hAnsi="Times New Roman" w:eastAsia="楷体_GB2312" w:cs="Times New Roman"/>
          <w:b/>
          <w:bCs/>
          <w:snapToGrid w:val="0"/>
          <w:sz w:val="32"/>
          <w:szCs w:val="32"/>
          <w:lang w:val="en-US" w:eastAsia="zh-CN"/>
        </w:rPr>
        <w:t>（一）强化统筹组织保障。</w:t>
      </w:r>
      <w:r>
        <w:rPr>
          <w:rFonts w:hint="default" w:ascii="Times New Roman" w:hAnsi="Times New Roman" w:eastAsia="仿宋_GB2312" w:cs="Times New Roman"/>
          <w:b w:val="0"/>
          <w:bCs w:val="0"/>
          <w:snapToGrid w:val="0"/>
          <w:sz w:val="32"/>
          <w:szCs w:val="32"/>
          <w:lang w:val="en-US" w:eastAsia="zh-CN"/>
        </w:rPr>
        <w:t>建立由县政府分管领导牵头、县财政局设办公室统筹，与人行张掖市分行常态化联络协调机制，明确专人负责日常对接，统筹推进重点任务落地。各相关部门各司其职、密切协作，县域各银行机构提高政治站位、压实工作责任，严格落实各项部署要求，确保各项工作落地见效。</w:t>
      </w:r>
    </w:p>
    <w:p w14:paraId="38BF6723">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snapToGrid w:val="0"/>
          <w:sz w:val="32"/>
          <w:szCs w:val="32"/>
          <w:lang w:val="en-US" w:eastAsia="zh-CN"/>
        </w:rPr>
      </w:pPr>
      <w:r>
        <w:rPr>
          <w:rFonts w:hint="default" w:ascii="Times New Roman" w:hAnsi="Times New Roman" w:eastAsia="楷体_GB2312" w:cs="Times New Roman"/>
          <w:b/>
          <w:bCs/>
          <w:snapToGrid w:val="0"/>
          <w:sz w:val="32"/>
          <w:szCs w:val="32"/>
          <w:lang w:val="en-US" w:eastAsia="zh-CN"/>
        </w:rPr>
        <w:t>（二）细化部门职责分工。</w:t>
      </w:r>
      <w:r>
        <w:rPr>
          <w:rFonts w:hint="default" w:ascii="Times New Roman" w:hAnsi="Times New Roman" w:eastAsia="仿宋_GB2312" w:cs="Times New Roman"/>
          <w:b w:val="0"/>
          <w:bCs w:val="0"/>
          <w:snapToGrid w:val="0"/>
          <w:sz w:val="32"/>
          <w:szCs w:val="32"/>
          <w:lang w:val="en-US" w:eastAsia="zh-CN"/>
        </w:rPr>
        <w:t>县政府统筹推进县域金融生态建设，制定配套扶持政策，协调破解跨部门、跨领域堵点难点问题。人行张掖市分行抓好货币政策传导、业务</w:t>
      </w:r>
      <w:r>
        <w:rPr>
          <w:rFonts w:hint="default" w:ascii="Times New Roman" w:hAnsi="Times New Roman" w:eastAsia="仿宋_GB2312" w:cs="Times New Roman"/>
          <w:b w:val="0"/>
          <w:bCs w:val="0"/>
          <w:snapToGrid w:val="0"/>
          <w:sz w:val="32"/>
          <w:szCs w:val="32"/>
          <w:highlight w:val="none"/>
          <w:lang w:val="en-US" w:eastAsia="zh-CN"/>
        </w:rPr>
        <w:t>指导、风险监测、金融服务监督评价，推动金融</w:t>
      </w:r>
      <w:r>
        <w:rPr>
          <w:rFonts w:hint="default" w:ascii="Times New Roman" w:hAnsi="Times New Roman" w:eastAsia="仿宋_GB2312" w:cs="Times New Roman"/>
          <w:b w:val="0"/>
          <w:bCs w:val="0"/>
          <w:snapToGrid w:val="0"/>
          <w:sz w:val="32"/>
          <w:szCs w:val="32"/>
          <w:lang w:val="en-US" w:eastAsia="zh-CN"/>
        </w:rPr>
        <w:t>产品服务创新。县财政局牵头抓好工作落地，统筹财政资金、落实奖补政策，强化财政与金融政策联动。各相关部门按职责做好融资对接、政策宣传等配合工作。</w:t>
      </w:r>
    </w:p>
    <w:p w14:paraId="052B172C">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snapToGrid w:val="0"/>
          <w:sz w:val="32"/>
          <w:szCs w:val="32"/>
          <w:lang w:val="en-US" w:eastAsia="zh-CN"/>
        </w:rPr>
      </w:pPr>
      <w:r>
        <w:rPr>
          <w:rFonts w:hint="default" w:ascii="Times New Roman" w:hAnsi="Times New Roman" w:eastAsia="楷体_GB2312" w:cs="Times New Roman"/>
          <w:b/>
          <w:bCs/>
          <w:snapToGrid w:val="0"/>
          <w:sz w:val="32"/>
          <w:szCs w:val="32"/>
          <w:lang w:val="en-US" w:eastAsia="zh-CN"/>
        </w:rPr>
        <w:t>（三）加大宣传引导力度。</w:t>
      </w:r>
      <w:r>
        <w:rPr>
          <w:rFonts w:hint="default" w:ascii="Times New Roman" w:hAnsi="Times New Roman" w:eastAsia="仿宋_GB2312" w:cs="Times New Roman"/>
          <w:b w:val="0"/>
          <w:bCs w:val="0"/>
          <w:snapToGrid w:val="0"/>
          <w:sz w:val="32"/>
          <w:szCs w:val="32"/>
          <w:lang w:val="en-US" w:eastAsia="zh-CN"/>
        </w:rPr>
        <w:t>深耕擦亮民乐“县域金融管理与服务创新样板县”名片，通过政策宣讲、成果展示等方式，提升社会各界对创建工作的知晓度和认同感。畅通市场主体评价反馈渠道，广泛收集吸纳意见诉求，持续提升创建质效。依托各类媒体平台，多形式宣传推广创新做法和典型案例，营造共建优良县域金融生态的良好氛围。</w:t>
      </w:r>
    </w:p>
    <w:p w14:paraId="2058A442">
      <w:pPr>
        <w:pStyle w:val="17"/>
        <w:rPr>
          <w:rFonts w:hint="default" w:ascii="Times New Roman" w:hAnsi="Times New Roman" w:eastAsia="仿宋_GB2312" w:cs="Times New Roman"/>
          <w:b w:val="0"/>
          <w:bCs w:val="0"/>
          <w:snapToGrid w:val="0"/>
          <w:sz w:val="32"/>
          <w:szCs w:val="32"/>
          <w:lang w:val="en-US" w:eastAsia="zh-CN"/>
        </w:rPr>
      </w:pPr>
    </w:p>
    <w:p w14:paraId="47178FD0">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b w:val="0"/>
          <w:bCs w:val="0"/>
          <w:snapToGrid w:val="0"/>
          <w:sz w:val="32"/>
          <w:szCs w:val="32"/>
          <w:lang w:val="en-US" w:eastAsia="zh-CN"/>
        </w:rPr>
      </w:pPr>
      <w:r>
        <w:rPr>
          <w:rFonts w:hint="default" w:ascii="Times New Roman" w:hAnsi="Times New Roman" w:eastAsia="仿宋_GB2312" w:cs="Times New Roman"/>
          <w:b w:val="0"/>
          <w:bCs w:val="0"/>
          <w:snapToGrid w:val="0"/>
          <w:sz w:val="32"/>
          <w:szCs w:val="32"/>
          <w:lang w:val="en-US" w:eastAsia="zh-CN"/>
        </w:rPr>
        <w:t>附件：民乐县推进金融管理与服务创新工作任务清单</w:t>
      </w:r>
    </w:p>
    <w:p w14:paraId="4B527C71">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b w:val="0"/>
          <w:bCs w:val="0"/>
          <w:snapToGrid w:val="0"/>
          <w:sz w:val="32"/>
          <w:szCs w:val="32"/>
          <w:lang w:val="en-US" w:eastAsia="zh-CN"/>
        </w:rPr>
        <w:sectPr>
          <w:footerReference r:id="rId3" w:type="default"/>
          <w:pgSz w:w="11906" w:h="16838"/>
          <w:pgMar w:top="2098" w:right="1474" w:bottom="1984" w:left="1587" w:header="851" w:footer="1304" w:gutter="0"/>
          <w:pgNumType w:fmt="numberInDash"/>
          <w:cols w:space="0" w:num="1"/>
          <w:rtlGutter w:val="0"/>
          <w:docGrid w:type="lines" w:linePitch="312" w:charSpace="0"/>
        </w:sectPr>
      </w:pPr>
    </w:p>
    <w:p w14:paraId="2B5D5BE3">
      <w:pPr>
        <w:pStyle w:val="17"/>
        <w:keepNext w:val="0"/>
        <w:keepLines w:val="0"/>
        <w:pageBreakBefore w:val="0"/>
        <w:widowControl w:val="0"/>
        <w:kinsoku/>
        <w:wordWrap/>
        <w:overflowPunct/>
        <w:topLinePunct w:val="0"/>
        <w:autoSpaceDE/>
        <w:autoSpaceDN/>
        <w:bidi w:val="0"/>
        <w:adjustRightInd/>
        <w:snapToGrid/>
        <w:spacing w:before="0" w:after="200" w:line="560" w:lineRule="exact"/>
        <w:jc w:val="center"/>
        <w:textAlignment w:val="baseline"/>
        <w:rPr>
          <w:rFonts w:hint="default" w:ascii="Times New Roman" w:hAnsi="Times New Roman" w:eastAsia="宋体" w:cs="Times New Roman"/>
          <w:lang w:val="en-US" w:eastAsia="zh-CN"/>
        </w:rPr>
      </w:pPr>
      <w:r>
        <w:rPr>
          <w:rFonts w:hint="default" w:ascii="Times New Roman" w:hAnsi="Times New Roman" w:eastAsia="方正小标宋简体" w:cs="Times New Roman"/>
          <w:b w:val="0"/>
          <w:bCs w:val="0"/>
          <w:i w:val="0"/>
          <w:iCs w:val="0"/>
          <w:sz w:val="44"/>
          <w:szCs w:val="44"/>
          <w:lang w:val="en-US" w:eastAsia="zh-CN"/>
        </w:rPr>
        <w:t>民乐县推进金融管理与服务创新工作任务清单</w:t>
      </w:r>
    </w:p>
    <w:tbl>
      <w:tblPr>
        <w:tblStyle w:val="13"/>
        <w:tblW w:w="146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964"/>
        <w:gridCol w:w="2282"/>
        <w:gridCol w:w="7219"/>
        <w:gridCol w:w="3194"/>
      </w:tblGrid>
      <w:tr w14:paraId="2FA14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6" w:hRule="atLeast"/>
          <w:tblHeader/>
          <w:jc w:val="center"/>
        </w:trPr>
        <w:tc>
          <w:tcPr>
            <w:tcW w:w="1146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38837C">
            <w:pPr>
              <w:keepNext w:val="0"/>
              <w:keepLines w:val="0"/>
              <w:widowControl/>
              <w:suppressLineNumbers w:val="0"/>
              <w:jc w:val="center"/>
              <w:textAlignment w:val="center"/>
              <w:rPr>
                <w:rFonts w:hint="default" w:ascii="Times New Roman" w:hAnsi="Times New Roman" w:eastAsia="黑体" w:cs="Times New Roman"/>
                <w:b w:val="0"/>
                <w:bCs w:val="0"/>
                <w:i w:val="0"/>
                <w:iCs w:val="0"/>
                <w:color w:val="000000"/>
                <w:sz w:val="28"/>
                <w:szCs w:val="28"/>
                <w:u w:val="none"/>
              </w:rPr>
            </w:pPr>
            <w:r>
              <w:rPr>
                <w:rFonts w:hint="default" w:ascii="Times New Roman" w:hAnsi="Times New Roman" w:eastAsia="黑体" w:cs="Times New Roman"/>
                <w:b w:val="0"/>
                <w:bCs w:val="0"/>
                <w:i w:val="0"/>
                <w:iCs w:val="0"/>
                <w:color w:val="000000"/>
                <w:kern w:val="0"/>
                <w:sz w:val="28"/>
                <w:szCs w:val="28"/>
                <w:u w:val="none"/>
                <w:lang w:val="en-US" w:eastAsia="zh-CN" w:bidi="ar"/>
              </w:rPr>
              <w:t>主要任务</w:t>
            </w:r>
          </w:p>
        </w:tc>
        <w:tc>
          <w:tcPr>
            <w:tcW w:w="31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EF7084">
            <w:pPr>
              <w:keepNext w:val="0"/>
              <w:keepLines w:val="0"/>
              <w:widowControl/>
              <w:suppressLineNumbers w:val="0"/>
              <w:jc w:val="center"/>
              <w:textAlignment w:val="center"/>
              <w:rPr>
                <w:rFonts w:hint="default" w:ascii="Times New Roman" w:hAnsi="Times New Roman" w:eastAsia="黑体" w:cs="Times New Roman"/>
                <w:b w:val="0"/>
                <w:bCs w:val="0"/>
                <w:i w:val="0"/>
                <w:iCs w:val="0"/>
                <w:color w:val="000000"/>
                <w:sz w:val="28"/>
                <w:szCs w:val="28"/>
                <w:u w:val="none"/>
              </w:rPr>
            </w:pPr>
            <w:r>
              <w:rPr>
                <w:rFonts w:hint="default" w:ascii="Times New Roman" w:hAnsi="Times New Roman" w:eastAsia="黑体" w:cs="Times New Roman"/>
                <w:b w:val="0"/>
                <w:bCs w:val="0"/>
                <w:i w:val="0"/>
                <w:iCs w:val="0"/>
                <w:color w:val="000000"/>
                <w:kern w:val="0"/>
                <w:sz w:val="28"/>
                <w:szCs w:val="28"/>
                <w:u w:val="none"/>
                <w:lang w:val="en-US" w:eastAsia="zh-CN" w:bidi="ar"/>
              </w:rPr>
              <w:t>责任单位</w:t>
            </w:r>
          </w:p>
        </w:tc>
      </w:tr>
      <w:tr w14:paraId="40138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 w:hRule="atLeast"/>
          <w:tblHeader/>
          <w:jc w:val="center"/>
        </w:trPr>
        <w:tc>
          <w:tcPr>
            <w:tcW w:w="1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9D22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b w:val="0"/>
                <w:bCs w:val="0"/>
                <w:i w:val="0"/>
                <w:iCs w:val="0"/>
                <w:color w:val="000000"/>
                <w:sz w:val="28"/>
                <w:szCs w:val="28"/>
                <w:u w:val="none"/>
              </w:rPr>
            </w:pPr>
            <w:r>
              <w:rPr>
                <w:rFonts w:hint="default" w:ascii="Times New Roman" w:hAnsi="Times New Roman" w:eastAsia="黑体" w:cs="Times New Roman"/>
                <w:b w:val="0"/>
                <w:bCs w:val="0"/>
                <w:i w:val="0"/>
                <w:iCs w:val="0"/>
                <w:color w:val="000000"/>
                <w:kern w:val="0"/>
                <w:sz w:val="28"/>
                <w:szCs w:val="28"/>
                <w:u w:val="none"/>
                <w:lang w:val="en-US" w:eastAsia="zh-CN" w:bidi="ar"/>
              </w:rPr>
              <w:t>一级任务</w:t>
            </w:r>
          </w:p>
        </w:tc>
        <w:tc>
          <w:tcPr>
            <w:tcW w:w="2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F36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b w:val="0"/>
                <w:bCs w:val="0"/>
                <w:i w:val="0"/>
                <w:iCs w:val="0"/>
                <w:color w:val="000000"/>
                <w:sz w:val="28"/>
                <w:szCs w:val="28"/>
                <w:u w:val="none"/>
              </w:rPr>
            </w:pPr>
            <w:r>
              <w:rPr>
                <w:rFonts w:hint="default" w:ascii="Times New Roman" w:hAnsi="Times New Roman" w:eastAsia="黑体" w:cs="Times New Roman"/>
                <w:b w:val="0"/>
                <w:bCs w:val="0"/>
                <w:i w:val="0"/>
                <w:iCs w:val="0"/>
                <w:color w:val="000000"/>
                <w:kern w:val="0"/>
                <w:sz w:val="28"/>
                <w:szCs w:val="28"/>
                <w:u w:val="none"/>
                <w:lang w:val="en-US" w:eastAsia="zh-CN" w:bidi="ar"/>
              </w:rPr>
              <w:t>二级任务</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87CE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b w:val="0"/>
                <w:bCs w:val="0"/>
                <w:i w:val="0"/>
                <w:iCs w:val="0"/>
                <w:color w:val="000000"/>
                <w:sz w:val="28"/>
                <w:szCs w:val="28"/>
                <w:u w:val="none"/>
              </w:rPr>
            </w:pPr>
            <w:r>
              <w:rPr>
                <w:rFonts w:hint="default" w:ascii="Times New Roman" w:hAnsi="Times New Roman" w:eastAsia="黑体" w:cs="Times New Roman"/>
                <w:b w:val="0"/>
                <w:bCs w:val="0"/>
                <w:i w:val="0"/>
                <w:iCs w:val="0"/>
                <w:color w:val="000000"/>
                <w:kern w:val="0"/>
                <w:sz w:val="28"/>
                <w:szCs w:val="28"/>
                <w:u w:val="none"/>
                <w:lang w:val="en-US" w:eastAsia="zh-CN" w:bidi="ar"/>
              </w:rPr>
              <w:t>具体工作内容</w:t>
            </w:r>
          </w:p>
        </w:tc>
        <w:tc>
          <w:tcPr>
            <w:tcW w:w="31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8FF44">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黑体" w:cs="Times New Roman"/>
                <w:b w:val="0"/>
                <w:bCs w:val="0"/>
                <w:i w:val="0"/>
                <w:iCs w:val="0"/>
                <w:color w:val="000000"/>
                <w:sz w:val="28"/>
                <w:szCs w:val="28"/>
                <w:u w:val="none"/>
              </w:rPr>
            </w:pPr>
          </w:p>
        </w:tc>
      </w:tr>
      <w:tr w14:paraId="2A96E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7" w:hRule="atLeast"/>
          <w:jc w:val="center"/>
        </w:trPr>
        <w:tc>
          <w:tcPr>
            <w:tcW w:w="19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7B793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r>
              <w:rPr>
                <w:rFonts w:hint="default" w:ascii="Times New Roman" w:hAnsi="Times New Roman" w:eastAsia="仿宋_GB2312" w:cs="Times New Roman"/>
                <w:b/>
                <w:bCs/>
                <w:i w:val="0"/>
                <w:iCs w:val="0"/>
                <w:color w:val="000000"/>
                <w:kern w:val="0"/>
                <w:sz w:val="24"/>
                <w:szCs w:val="24"/>
                <w:u w:val="none"/>
                <w:lang w:val="en-US" w:eastAsia="zh-CN" w:bidi="ar"/>
              </w:rPr>
              <w:t>（一）强化金融赋能实体经济，激活县域发展内生动力</w:t>
            </w:r>
          </w:p>
        </w:tc>
        <w:tc>
          <w:tcPr>
            <w:tcW w:w="22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381BF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1.多方合力做优金融“五篇大文章”</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A3437">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1.畅通货币信贷政策传导渠道，采取“现场+视频”形式将各项金融政策、重点工作传导至县域金融机构，打通政策传递“最后一公里”。</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30D3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县财政局、人行张掖市分行、县域内各银行机构</w:t>
            </w:r>
          </w:p>
        </w:tc>
      </w:tr>
      <w:tr w14:paraId="5465A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10"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3E192">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BED0B">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1653D">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2.结合辖区实际出台财政奖补、担保分险、产业支持等政策，加强与支农支小再贷款、民营企业再贷款、科技创新和技术改造再贷款等结构性货币政策工具搭配使用，强化“财政+金融”政策协同。</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A069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县财政局、人行张掖市分行、县域内各银行机构</w:t>
            </w:r>
          </w:p>
        </w:tc>
      </w:tr>
      <w:tr w14:paraId="3D461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5"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36A6D">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BAC14">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D5B4">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3.定期梳理金融“五篇大文章”分领域市场主体名单，配合人民银行做好融资对接、工作督导、政策评估等工作，深化“五本台账做好五篇大文章”实践。</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2400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县工信和商务局、县科技局、县发改局、县农业农村局、县文旅局、人行张掖市分行、县域内各银行机构</w:t>
            </w:r>
          </w:p>
        </w:tc>
      </w:tr>
      <w:tr w14:paraId="0F55D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7"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6BF6A">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8B268">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93048">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4.用好4.83亿元支农支小再贷款、民营企业再贷款授信额度，持续加大涉农、民营小微等领域信贷投放。</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8C1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民乐农商银行、人行张掖市分行</w:t>
            </w:r>
          </w:p>
        </w:tc>
      </w:tr>
      <w:tr w14:paraId="43552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2"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6D010">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20028">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517AF">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5.加强金融产品与服务政策宣传，提升金融服务覆盖面与满意度，提升重点领域和薄弱环节金融服务覆盖面和满意度，保持县域信贷合理增长、均衡投放。</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0740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县财政局、人行张掖市分行、县域内各银行机构</w:t>
            </w:r>
          </w:p>
        </w:tc>
      </w:tr>
      <w:tr w14:paraId="5DC3A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jc w:val="center"/>
        </w:trPr>
        <w:tc>
          <w:tcPr>
            <w:tcW w:w="19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F9E22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r>
              <w:rPr>
                <w:rFonts w:hint="default" w:ascii="Times New Roman" w:hAnsi="Times New Roman" w:eastAsia="仿宋_GB2312" w:cs="Times New Roman"/>
                <w:b/>
                <w:bCs/>
                <w:i w:val="0"/>
                <w:iCs w:val="0"/>
                <w:color w:val="000000"/>
                <w:kern w:val="0"/>
                <w:sz w:val="24"/>
                <w:szCs w:val="24"/>
                <w:u w:val="none"/>
                <w:lang w:val="en-US" w:eastAsia="zh-CN" w:bidi="ar"/>
              </w:rPr>
              <w:t>（一）强化金融赋能实体经济，激活县域发展内生动力</w:t>
            </w:r>
          </w:p>
        </w:tc>
        <w:tc>
          <w:tcPr>
            <w:tcW w:w="22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5C272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2.加力推动涉农领域重点工作</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11C7E">
            <w:pPr>
              <w:keepNext w:val="0"/>
              <w:keepLines w:val="0"/>
              <w:pageBreakBefore w:val="0"/>
              <w:widowControl/>
              <w:suppressLineNumbers w:val="0"/>
              <w:kinsoku/>
              <w:wordWrap/>
              <w:overflowPunct/>
              <w:topLinePunct w:val="0"/>
              <w:autoSpaceDE/>
              <w:autoSpaceDN/>
              <w:bidi w:val="0"/>
              <w:adjustRightInd/>
              <w:snapToGrid/>
              <w:spacing w:line="34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1.建立健全确权颁证、抵押物流转等配套机制建设，支持农业设施、禽畜活体抵押融资业务做大做强，政银合力解决农业设施、禽畜活体抵押融资涉及的抵押物管理、流转、处置等环节堵点。</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E1B9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县农业农村局、人行张掖市分行、县域内各银行机构</w:t>
            </w:r>
          </w:p>
        </w:tc>
      </w:tr>
      <w:tr w14:paraId="6D449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6DDA6">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B2E26">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AF200">
            <w:pPr>
              <w:keepNext w:val="0"/>
              <w:keepLines w:val="0"/>
              <w:pageBreakBefore w:val="0"/>
              <w:widowControl/>
              <w:suppressLineNumbers w:val="0"/>
              <w:kinsoku/>
              <w:wordWrap/>
              <w:overflowPunct/>
              <w:topLinePunct w:val="0"/>
              <w:autoSpaceDE/>
              <w:autoSpaceDN/>
              <w:bidi w:val="0"/>
              <w:adjustRightInd/>
              <w:snapToGrid/>
              <w:spacing w:line="34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充分发挥行业主管部门信息优势，围绕中药材、大蒜等民乐优势特色产业筛选建立农业经营主体重点企业名单库，强化“一县一业一品”工作实效，以优势产业、重点企业、种养大户为融资突破口，加强融资对接有效推动涉农领域融资业务增量扩面。</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1CC8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县农业农村局、人行张掖市分行、县域内各银行机构</w:t>
            </w:r>
          </w:p>
        </w:tc>
      </w:tr>
      <w:tr w14:paraId="5D68C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6"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3D360">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C90BA">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2CB0E">
            <w:pPr>
              <w:keepNext w:val="0"/>
              <w:keepLines w:val="0"/>
              <w:pageBreakBefore w:val="0"/>
              <w:widowControl/>
              <w:suppressLineNumbers w:val="0"/>
              <w:kinsoku/>
              <w:wordWrap/>
              <w:overflowPunct/>
              <w:topLinePunct w:val="0"/>
              <w:autoSpaceDE/>
              <w:autoSpaceDN/>
              <w:bidi w:val="0"/>
              <w:adjustRightInd/>
              <w:snapToGrid/>
              <w:spacing w:line="34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3.及时总结实践经验，配合编制农业设施和禽畜活体抵押业务“确权--颁证--抵押--获得融资”全流程业务办理指南，打造可复制的金融服务样板，做好产品与政策宣传。</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37D0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县农业农村局、人行张掖市分行、县域内各银行机构</w:t>
            </w:r>
          </w:p>
        </w:tc>
      </w:tr>
      <w:tr w14:paraId="485E1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0"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EEC29">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1341F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3.做好县域金融支持提振消费、科创企业工作</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9836E">
            <w:pPr>
              <w:keepNext w:val="0"/>
              <w:keepLines w:val="0"/>
              <w:pageBreakBefore w:val="0"/>
              <w:widowControl/>
              <w:suppressLineNumbers w:val="0"/>
              <w:kinsoku/>
              <w:wordWrap/>
              <w:overflowPunct/>
              <w:topLinePunct w:val="0"/>
              <w:autoSpaceDE/>
              <w:autoSpaceDN/>
              <w:bidi w:val="0"/>
              <w:adjustRightInd/>
              <w:snapToGrid/>
              <w:spacing w:line="34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1.实施“乐享消费 陇金相伴”金融促消费专项行动。供给端，梳理本地区文旅景区、星级酒店、地方特色餐饮“老字号”、大型商贸流通企业、县域综合商业体、社区便民服务连锁商店、养老托育机构等企业和项目，建立经营主体名单库主动推送金融机构；需求端，加强银政合作，充分利用行业主管部门共享的信息，以专业市场、整体商圈等为载体，推出专门方案、专场活动，及时提供专业金融服务，积极满足消费行业经营主体和居民消费合理资金需求，配合编制消费信贷产品及服务消费与养老再贷款、个人消费贷款和服务业经营主体贷款贴息等政策汇编，通过相关网站、公众号等加大宣传力度，推动民乐县消费领域金融服务水平持续提升。</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DB1F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县工信和商务局、县文广旅游局、县发改局、人行张掖市分行、县域内各银行机构</w:t>
            </w:r>
          </w:p>
        </w:tc>
      </w:tr>
      <w:tr w14:paraId="64354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8"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15D17">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1B4C4">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7FBAF">
            <w:pPr>
              <w:keepNext w:val="0"/>
              <w:keepLines w:val="0"/>
              <w:pageBreakBefore w:val="0"/>
              <w:widowControl/>
              <w:suppressLineNumbers w:val="0"/>
              <w:kinsoku/>
              <w:wordWrap/>
              <w:overflowPunct/>
              <w:topLinePunct w:val="0"/>
              <w:autoSpaceDE/>
              <w:autoSpaceDN/>
              <w:bidi w:val="0"/>
              <w:adjustRightInd/>
              <w:snapToGrid/>
              <w:spacing w:line="34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2.建立民乐县科技和创新型企业重点名单库，多部门联动做好银企对接工作。加强政银企日常工作对接，及时掌握融资堵点难点，分类处置解决，对县级层面无法解决问题通过市级层面协商破解。</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A2F2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县科技局、县工信和商务局、人行张掖市分行、县域内各银行机构</w:t>
            </w:r>
          </w:p>
        </w:tc>
      </w:tr>
      <w:tr w14:paraId="6687F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0" w:hRule="atLeast"/>
          <w:jc w:val="center"/>
        </w:trPr>
        <w:tc>
          <w:tcPr>
            <w:tcW w:w="19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525C0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r>
              <w:rPr>
                <w:rFonts w:hint="default" w:ascii="Times New Roman" w:hAnsi="Times New Roman" w:eastAsia="仿宋_GB2312" w:cs="Times New Roman"/>
                <w:b/>
                <w:bCs/>
                <w:i w:val="0"/>
                <w:iCs w:val="0"/>
                <w:color w:val="000000"/>
                <w:kern w:val="0"/>
                <w:sz w:val="24"/>
                <w:szCs w:val="24"/>
                <w:u w:val="none"/>
                <w:lang w:val="en-US" w:eastAsia="zh-CN" w:bidi="ar"/>
              </w:rPr>
              <w:t>（一）强化金融赋能实体经济，激活县域发展内生动力</w:t>
            </w:r>
          </w:p>
        </w:tc>
        <w:tc>
          <w:tcPr>
            <w:tcW w:w="22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D1D2B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4.持续创新绿色金融产品，激活县域绿色金融发展动能</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2E66A">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1.建立生物多样性金融项目融资对接常态化机制，梳理项目清单并按季度推送金融机构。</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E4C8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人行张掖市分行、县自然资源局、生态环境局民乐分局、县域内各银行机构</w:t>
            </w:r>
          </w:p>
        </w:tc>
      </w:tr>
      <w:tr w14:paraId="6BCE5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04125">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8BEDC">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DAE2">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themeColor="text1"/>
                <w:sz w:val="24"/>
                <w:szCs w:val="24"/>
                <w:u w:val="none"/>
                <w14:textFill>
                  <w14:solidFill>
                    <w14:schemeClr w14:val="tx1"/>
                  </w14:solidFill>
                </w14:textFill>
              </w:rPr>
            </w:pPr>
            <w:r>
              <w:rPr>
                <w:rFonts w:hint="default" w:ascii="Times New Roman" w:hAnsi="Times New Roman" w:eastAsia="仿宋_GB2312" w:cs="Times New Roman"/>
                <w:i w:val="0"/>
                <w:iCs w:val="0"/>
                <w:color w:val="000000" w:themeColor="text1"/>
                <w:kern w:val="0"/>
                <w:sz w:val="24"/>
                <w:szCs w:val="24"/>
                <w:u w:val="none"/>
                <w:lang w:val="en-US" w:eastAsia="zh-CN" w:bidi="ar"/>
                <w14:textFill>
                  <w14:solidFill>
                    <w14:schemeClr w14:val="tx1"/>
                  </w14:solidFill>
                </w14:textFill>
              </w:rPr>
              <w:t>2.依托民乐县经济发展特色，推动县域生物多样性金融发展，扩大《生物多样性金融目录（试用版）》试用范围，鼓励金融机构加大县域生物多样性领域支持力度。</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CE8C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themeColor="text1"/>
                <w:sz w:val="24"/>
                <w:szCs w:val="24"/>
                <w:u w:val="none"/>
                <w14:textFill>
                  <w14:solidFill>
                    <w14:schemeClr w14:val="tx1"/>
                  </w14:solidFill>
                </w14:textFill>
              </w:rPr>
            </w:pPr>
            <w:r>
              <w:rPr>
                <w:rFonts w:hint="default" w:ascii="Times New Roman" w:hAnsi="Times New Roman" w:eastAsia="仿宋_GB2312" w:cs="Times New Roman"/>
                <w:i w:val="0"/>
                <w:iCs w:val="0"/>
                <w:color w:val="000000" w:themeColor="text1"/>
                <w:kern w:val="0"/>
                <w:sz w:val="24"/>
                <w:szCs w:val="24"/>
                <w:u w:val="none"/>
                <w:lang w:val="en-US" w:eastAsia="zh-CN" w:bidi="ar"/>
                <w14:textFill>
                  <w14:solidFill>
                    <w14:schemeClr w14:val="tx1"/>
                  </w14:solidFill>
                </w14:textFill>
              </w:rPr>
              <w:t>人行张掖市分行、县自然资源局、生态环境局民乐分局、县域内各银行机构</w:t>
            </w:r>
          </w:p>
        </w:tc>
      </w:tr>
      <w:tr w14:paraId="7A8CB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7ED51">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F664A">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BCC2">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themeColor="text1"/>
                <w:sz w:val="24"/>
                <w:szCs w:val="24"/>
                <w:u w:val="none"/>
                <w:lang w:val="en-US"/>
                <w14:textFill>
                  <w14:solidFill>
                    <w14:schemeClr w14:val="tx1"/>
                  </w14:solidFill>
                </w14:textFill>
              </w:rPr>
            </w:pPr>
            <w:r>
              <w:rPr>
                <w:rFonts w:hint="default" w:ascii="Times New Roman" w:hAnsi="Times New Roman" w:eastAsia="仿宋_GB2312" w:cs="Times New Roman"/>
                <w:i w:val="0"/>
                <w:iCs w:val="0"/>
                <w:color w:val="000000" w:themeColor="text1"/>
                <w:kern w:val="0"/>
                <w:sz w:val="24"/>
                <w:szCs w:val="24"/>
                <w:u w:val="none"/>
                <w:lang w:val="en-US" w:eastAsia="zh-CN" w:bidi="ar"/>
                <w14:textFill>
                  <w14:solidFill>
                    <w14:schemeClr w14:val="tx1"/>
                  </w14:solidFill>
                </w14:textFill>
              </w:rPr>
              <w:t>3.把握全省契机，推动“绿色燃料零碳产业园”建设，鼓励金融机构加大支持力度。</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5801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themeColor="text1"/>
                <w:sz w:val="24"/>
                <w:szCs w:val="24"/>
                <w:u w:val="none"/>
                <w14:textFill>
                  <w14:solidFill>
                    <w14:schemeClr w14:val="tx1"/>
                  </w14:solidFill>
                </w14:textFill>
              </w:rPr>
            </w:pPr>
            <w:r>
              <w:rPr>
                <w:rFonts w:hint="default" w:ascii="Times New Roman" w:hAnsi="Times New Roman" w:eastAsia="仿宋_GB2312" w:cs="Times New Roman"/>
                <w:i w:val="0"/>
                <w:iCs w:val="0"/>
                <w:color w:val="000000" w:themeColor="text1"/>
                <w:kern w:val="0"/>
                <w:sz w:val="24"/>
                <w:szCs w:val="24"/>
                <w:u w:val="none"/>
                <w:lang w:val="en-US" w:eastAsia="zh-CN" w:bidi="ar"/>
                <w14:textFill>
                  <w14:solidFill>
                    <w14:schemeClr w14:val="tx1"/>
                  </w14:solidFill>
                </w14:textFill>
              </w:rPr>
              <w:t>人行张掖市分行、县自然资源局、生态环境局民乐分局、县域内各银行机构</w:t>
            </w:r>
          </w:p>
        </w:tc>
      </w:tr>
      <w:tr w14:paraId="0475E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5"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40316">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3DF8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5.保持社会融资成本低位运行</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BCB28">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构建“行业自律+行政管理”利率管理框架，充分发挥自律机制作用，加强利率执行巡查工作，有效维护县域利率市场秩序；有序做好融资成本明示工作，开展“明成本·降负担”明示企业贷款综合融资成本系列活动，加强网点宣传布置和员工培训，调动客户参与积极性，推动明示工作持续走实走深；严格执行存贷款利率政策，守住净息差合理区间；加强两项净收入分析，推动其稳步增长。</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FCC5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人行张掖市分行、县域内各银行机构</w:t>
            </w:r>
          </w:p>
        </w:tc>
      </w:tr>
      <w:tr w14:paraId="0F55F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8" w:hRule="atLeast"/>
          <w:jc w:val="center"/>
        </w:trPr>
        <w:tc>
          <w:tcPr>
            <w:tcW w:w="19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A4B16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r>
              <w:rPr>
                <w:rFonts w:hint="default" w:ascii="Times New Roman" w:hAnsi="Times New Roman" w:eastAsia="仿宋_GB2312" w:cs="Times New Roman"/>
                <w:b/>
                <w:bCs/>
                <w:i w:val="0"/>
                <w:iCs w:val="0"/>
                <w:color w:val="000000"/>
                <w:kern w:val="0"/>
                <w:sz w:val="24"/>
                <w:szCs w:val="24"/>
                <w:u w:val="none"/>
                <w:lang w:val="en-US" w:eastAsia="zh-CN" w:bidi="ar"/>
              </w:rPr>
              <w:t>（二）健全风险防控体系，筑牢县域金融安全底线</w:t>
            </w:r>
          </w:p>
        </w:tc>
        <w:tc>
          <w:tcPr>
            <w:tcW w:w="22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BC341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6.筑牢县域金融安全防线，提升金融管理质效</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EAFFB">
            <w:pPr>
              <w:keepNext w:val="0"/>
              <w:keepLines w:val="0"/>
              <w:pageBreakBefore w:val="0"/>
              <w:widowControl/>
              <w:suppressLineNumbers w:val="0"/>
              <w:kinsoku/>
              <w:wordWrap/>
              <w:overflowPunct/>
              <w:topLinePunct w:val="0"/>
              <w:autoSpaceDE/>
              <w:autoSpaceDN/>
              <w:bidi w:val="0"/>
              <w:adjustRightInd/>
              <w:snapToGrid/>
              <w:spacing w:line="34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健全风险会商研判机制，构建“季度会商＋动态监测”双轨模式，县财政局牵头每季度组织多部门分析金融风险，人民银行按月监测预警，各金融机构落实风险自查与处置责任。将县域金融机构纳入人民银行综合评价工作范畴。</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29291">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县财政局、人行张掖市分行、金融监管局民乐支局、县域内各银行机构</w:t>
            </w:r>
          </w:p>
        </w:tc>
      </w:tr>
      <w:tr w14:paraId="29894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6"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13BFA">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BDDC8">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212EA">
            <w:pPr>
              <w:keepNext w:val="0"/>
              <w:keepLines w:val="0"/>
              <w:pageBreakBefore w:val="0"/>
              <w:widowControl/>
              <w:suppressLineNumbers w:val="0"/>
              <w:kinsoku/>
              <w:wordWrap/>
              <w:overflowPunct/>
              <w:topLinePunct w:val="0"/>
              <w:autoSpaceDE/>
              <w:autoSpaceDN/>
              <w:bidi w:val="0"/>
              <w:adjustRightInd/>
              <w:snapToGrid/>
              <w:spacing w:line="34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2.完善突发事件应急体系，制定分级响应预案，稳妥、快速处置突发事</w:t>
            </w:r>
            <w:r>
              <w:rPr>
                <w:rFonts w:hint="default" w:ascii="Times New Roman" w:hAnsi="Times New Roman" w:eastAsia="仿宋_GB2312" w:cs="Times New Roman"/>
                <w:i w:val="0"/>
                <w:iCs w:val="0"/>
                <w:color w:val="000000"/>
                <w:spacing w:val="-6"/>
                <w:kern w:val="0"/>
                <w:sz w:val="24"/>
                <w:szCs w:val="24"/>
                <w:u w:val="none"/>
                <w:lang w:val="en-US" w:eastAsia="zh-CN" w:bidi="ar"/>
              </w:rPr>
              <w:t>件。建立“一对一”联络专员制度和7×24小时重大事项直报通道，确保30分钟内核实通报突发事件。按年开展联合应急演练与培训。</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10646">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县财政局、人行张掖市分行、金融监管局民乐支局、县公安局、县网信办、县域内各银行机构</w:t>
            </w:r>
          </w:p>
        </w:tc>
      </w:tr>
      <w:tr w14:paraId="182E4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5" w:hRule="atLeast"/>
          <w:jc w:val="center"/>
        </w:trPr>
        <w:tc>
          <w:tcPr>
            <w:tcW w:w="19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80138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r>
              <w:rPr>
                <w:rFonts w:hint="default" w:ascii="Times New Roman" w:hAnsi="Times New Roman" w:eastAsia="仿宋_GB2312" w:cs="Times New Roman"/>
                <w:b/>
                <w:bCs/>
                <w:i w:val="0"/>
                <w:iCs w:val="0"/>
                <w:color w:val="000000"/>
                <w:kern w:val="0"/>
                <w:sz w:val="24"/>
                <w:szCs w:val="24"/>
                <w:u w:val="none"/>
                <w:lang w:val="en-US" w:eastAsia="zh-CN" w:bidi="ar"/>
              </w:rPr>
              <w:t>（三）深化县域金融监管，提升县域金融服务水平</w:t>
            </w:r>
          </w:p>
        </w:tc>
        <w:tc>
          <w:tcPr>
            <w:tcW w:w="22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C2A39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7.强化县域现金管理和服务能力，推动现金收付新规落地</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E0DCC">
            <w:pPr>
              <w:keepNext w:val="0"/>
              <w:keepLines w:val="0"/>
              <w:pageBreakBefore w:val="0"/>
              <w:widowControl/>
              <w:suppressLineNumbers w:val="0"/>
              <w:kinsoku/>
              <w:wordWrap/>
              <w:overflowPunct/>
              <w:topLinePunct w:val="0"/>
              <w:autoSpaceDE/>
              <w:autoSpaceDN/>
              <w:bidi w:val="0"/>
              <w:adjustRightInd/>
              <w:snapToGrid/>
              <w:spacing w:line="34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将现金服务便利化纳入民生实事、优化营商环境建设领域，按照“管行业必须管现金收付”的要求，各行业主管部门督促本行业、本系统经营服务单位严格执行《人民币现金收付及服务规定》，人民银行对涉民生场景现金收付服务开展常态化监督检查，营造安全顺畅的现金使用环境。</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EF93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人行张掖市分行、县财政局、县发改局</w:t>
            </w:r>
          </w:p>
        </w:tc>
      </w:tr>
      <w:tr w14:paraId="6B991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5"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E8E9F">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BEFCB">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FB019">
            <w:pPr>
              <w:keepNext w:val="0"/>
              <w:keepLines w:val="0"/>
              <w:pageBreakBefore w:val="0"/>
              <w:widowControl/>
              <w:suppressLineNumbers w:val="0"/>
              <w:kinsoku/>
              <w:wordWrap/>
              <w:overflowPunct/>
              <w:topLinePunct w:val="0"/>
              <w:autoSpaceDE/>
              <w:autoSpaceDN/>
              <w:bidi w:val="0"/>
              <w:adjustRightInd/>
              <w:snapToGrid/>
              <w:spacing w:line="34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依法整治拒收现金行为，人民银行联合发改、市场监管、交通运输、文旅等部门建立联合检查、线索移送、约谈通报机制。综合运用日常监管、抽查暗访、舆情监测等方式主动监管，认真做好涉及“拒收现金”问题投诉举报的处理，按照“首违不罚、抓大放小、应罚尽罚”的原则，依法依规处置民生等重点领域拒收现金行为。</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3E16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人行张掖市分行、县发改局、县市场监管局、县交通局、县文旅局</w:t>
            </w:r>
          </w:p>
        </w:tc>
      </w:tr>
      <w:tr w14:paraId="38B63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AC4D0">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87630">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57EDC">
            <w:pPr>
              <w:keepNext w:val="0"/>
              <w:keepLines w:val="0"/>
              <w:pageBreakBefore w:val="0"/>
              <w:widowControl/>
              <w:suppressLineNumbers w:val="0"/>
              <w:kinsoku/>
              <w:wordWrap/>
              <w:overflowPunct/>
              <w:topLinePunct w:val="0"/>
              <w:autoSpaceDE/>
              <w:autoSpaceDN/>
              <w:bidi w:val="0"/>
              <w:adjustRightInd/>
              <w:snapToGrid/>
              <w:spacing w:line="34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3.推动现金收付新规落地见效，打造政务窗口示范，行政事业性收费、公共服务收费单位应依法收取现金，保留人工现金通道，备足零钞；无人值守、“一卡通”等场景须在醒目位置公示现金转换渠道及联系方式，不得设障碍、不得加收费用。县域金融机构须向政务大厅、行政事业收费单位提供上门收款、上门兑零、残损币集中回收、现金整点清分等个性化现金服务。</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4E71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县财政局、人行张掖市分行、县域内各银行机构</w:t>
            </w:r>
          </w:p>
        </w:tc>
      </w:tr>
      <w:tr w14:paraId="15FE9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10" w:hRule="atLeast"/>
          <w:jc w:val="center"/>
        </w:trPr>
        <w:tc>
          <w:tcPr>
            <w:tcW w:w="19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95D27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r>
              <w:rPr>
                <w:rFonts w:hint="default" w:ascii="Times New Roman" w:hAnsi="Times New Roman" w:eastAsia="仿宋_GB2312" w:cs="Times New Roman"/>
                <w:b/>
                <w:bCs/>
                <w:i w:val="0"/>
                <w:iCs w:val="0"/>
                <w:color w:val="000000"/>
                <w:kern w:val="0"/>
                <w:sz w:val="24"/>
                <w:szCs w:val="24"/>
                <w:u w:val="none"/>
                <w:lang w:val="en-US" w:eastAsia="zh-CN" w:bidi="ar"/>
              </w:rPr>
              <w:t>（三）深化县域金融监管，提升县域金融服务水平</w:t>
            </w:r>
          </w:p>
        </w:tc>
        <w:tc>
          <w:tcPr>
            <w:tcW w:w="22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0A8E4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7.强化县域现金管理和服务能力，推动现金收付新规落地</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861CA">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4.完善县域反假货币综合治理，建成政银警一体联动的反假货币工作机制，继续推进“乡镇反假货币协同治理工作站”建设。深入开展重点区域和农村假币危害综合治理，探索推进“无假币乡镇”“无假币村社”创建，将反假货币工作纳入平安建设、乡村治理考核评价内容。</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29D1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县财政局、县公安局、人行张掖市分行、各镇</w:t>
            </w:r>
          </w:p>
        </w:tc>
      </w:tr>
      <w:tr w14:paraId="17437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30"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AC419">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EB561">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11F47">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5.联合市场监管等部门持续开展互联网平台违规销售人民币类商品、违规使用人民币图样和制售“人民币版”冥币等问题线上线下摸排，加大联合整治力度，切实维护县域人民币流通秩序。</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C479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县市场监管局、人行张掖市分行</w:t>
            </w:r>
          </w:p>
        </w:tc>
      </w:tr>
      <w:tr w14:paraId="4EE24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0"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C8A8D">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45F9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8.强化财政收支管理，提升国库业务规范化水平</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8AEA7">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推动财政部门加强财政收支管理，尤其是非税收入管理，杜绝人为调节收支进度和虚增（减）财政收支行为，确保财政收支数据的真实性、准确性、完整性；将非税收入汇缴专户资金及时划缴国库，杜绝非税收入资金长期滞留汇缴专户或转入其他账户，提高非税资金入库效率，确保非税收入的完整性；保障国库库款余额充足，避免因库款余额不足造成集中支付代理银行垫付资金，形成政府财政隐性债务；推动尚未实现非税收入电子化直缴入库的预算单位尽快实现直缴入库，提高非税资金入库的便捷性和效率性；畅通财税库信息数据共享通道，实现数据共享无障碍，发挥财税库综合联动分析对政府决策的数据支撑和参谋服务作用。</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5683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县财政局、县税务局、县域内各银行机构</w:t>
            </w:r>
          </w:p>
        </w:tc>
      </w:tr>
      <w:tr w14:paraId="29EFA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15" w:hRule="atLeast"/>
          <w:jc w:val="center"/>
        </w:trPr>
        <w:tc>
          <w:tcPr>
            <w:tcW w:w="1964" w:type="dxa"/>
            <w:vMerge w:val="restart"/>
            <w:tcBorders>
              <w:top w:val="single" w:color="000000" w:sz="4" w:space="0"/>
              <w:left w:val="single" w:color="000000" w:sz="4" w:space="0"/>
              <w:right w:val="single" w:color="000000" w:sz="4" w:space="0"/>
            </w:tcBorders>
            <w:shd w:val="clear" w:color="auto" w:fill="auto"/>
            <w:vAlign w:val="center"/>
          </w:tcPr>
          <w:p w14:paraId="611EAC9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r>
              <w:rPr>
                <w:rFonts w:hint="default" w:ascii="Times New Roman" w:hAnsi="Times New Roman" w:eastAsia="仿宋_GB2312" w:cs="Times New Roman"/>
                <w:b/>
                <w:bCs/>
                <w:i w:val="0"/>
                <w:iCs w:val="0"/>
                <w:color w:val="000000"/>
                <w:kern w:val="0"/>
                <w:sz w:val="24"/>
                <w:szCs w:val="24"/>
                <w:u w:val="none"/>
                <w:lang w:val="en-US" w:eastAsia="zh-CN" w:bidi="ar"/>
              </w:rPr>
              <w:t>（三）深化县域金融监管，提升县域金融服务水平</w:t>
            </w:r>
          </w:p>
        </w:tc>
        <w:tc>
          <w:tcPr>
            <w:tcW w:w="2282" w:type="dxa"/>
            <w:vMerge w:val="restart"/>
            <w:tcBorders>
              <w:top w:val="single" w:color="000000" w:sz="4" w:space="0"/>
              <w:left w:val="single" w:color="000000" w:sz="4" w:space="0"/>
              <w:right w:val="single" w:color="000000" w:sz="4" w:space="0"/>
            </w:tcBorders>
            <w:shd w:val="clear" w:color="auto" w:fill="auto"/>
            <w:vAlign w:val="center"/>
          </w:tcPr>
          <w:p w14:paraId="1FD68F5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8.强化财政收支管理，提升国库业务规范化水平</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850F5">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人民银行积极配合财税体制改革政策落地实施，准确维护各类收入分成比例参数，准确及时办理政府预算收入的收纳、划分和留解，杜绝擅自变更各级财政之间收入划分范围、分成留解比例、随意调整库款账户之间存款余额的行为；强化对财政存款的开户和财政库款的支拨监督，杜绝违规给非预算单位借款或办理无预算、超预算支出行为，及时准确办理符合规定的预算支出的拨付；提升国库服务规范化水平，对所有国库业务，按业务种类，分别从财政、税务、代理银行办理国库业务的工作流程、业务办结时间、需提供的资料、业务需知等方面以清单列表的方式详细说明，形成《国库管理与服务标准化手册》，为财税银单位办理国库业务提供详细的“路线图”和“说明书”，便于县域财税银部门精准掌握国库业务办理的完整流程和标准化要求，提升县域财税银部门办理国库业务的规范性、准确性和高效性；强化对地方党政部门国库信息服务供给，为地方政府领导决策提供数据支撑和信息参考；加强对商业银行代理国库业务的现场监管和非现场监管，督促及时纠正各种违法违规行为，为政府财政预算顺利执行和财政资金风险防范提供有效支持。</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F268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人行张掖市分行、县财政局、县税务局、县域内各银行机构</w:t>
            </w:r>
          </w:p>
        </w:tc>
      </w:tr>
      <w:tr w14:paraId="20357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0" w:hRule="atLeast"/>
          <w:jc w:val="center"/>
        </w:trPr>
        <w:tc>
          <w:tcPr>
            <w:tcW w:w="1964" w:type="dxa"/>
            <w:vMerge w:val="continue"/>
            <w:tcBorders>
              <w:left w:val="single" w:color="000000" w:sz="4" w:space="0"/>
              <w:bottom w:val="single" w:color="000000" w:sz="4" w:space="0"/>
              <w:right w:val="single" w:color="000000" w:sz="4" w:space="0"/>
            </w:tcBorders>
            <w:shd w:val="clear" w:color="auto" w:fill="auto"/>
            <w:vAlign w:val="center"/>
          </w:tcPr>
          <w:p w14:paraId="76C79EC7">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left w:val="single" w:color="000000" w:sz="4" w:space="0"/>
              <w:bottom w:val="single" w:color="000000" w:sz="4" w:space="0"/>
              <w:right w:val="single" w:color="000000" w:sz="4" w:space="0"/>
            </w:tcBorders>
            <w:shd w:val="clear" w:color="auto" w:fill="auto"/>
            <w:vAlign w:val="center"/>
          </w:tcPr>
          <w:p w14:paraId="7793DF5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AC758">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themeColor="text1"/>
                <w:kern w:val="0"/>
                <w:sz w:val="24"/>
                <w:szCs w:val="24"/>
                <w:u w:val="none"/>
                <w:lang w:val="en-US" w:eastAsia="zh-CN" w:bidi="ar"/>
                <w14:textFill>
                  <w14:solidFill>
                    <w14:schemeClr w14:val="tx1"/>
                  </w14:solidFill>
                </w14:textFill>
              </w:rPr>
            </w:pPr>
            <w:r>
              <w:rPr>
                <w:rFonts w:hint="default" w:ascii="Times New Roman" w:hAnsi="Times New Roman" w:eastAsia="仿宋_GB2312" w:cs="Times New Roman"/>
                <w:i w:val="0"/>
                <w:iCs w:val="0"/>
                <w:color w:val="000000" w:themeColor="text1"/>
                <w:kern w:val="0"/>
                <w:sz w:val="24"/>
                <w:szCs w:val="24"/>
                <w:u w:val="none"/>
                <w:lang w:val="en-US" w:eastAsia="zh-CN" w:bidi="ar"/>
                <w14:textFill>
                  <w14:solidFill>
                    <w14:schemeClr w14:val="tx1"/>
                  </w14:solidFill>
                </w14:textFill>
              </w:rPr>
              <w:t>3.深入推进国债下乡工作，有效拓宽农民群众安全投资渠道，加强“国债下乡服务点”建设，做好“国债下乡服务点”电子地图标记工作，切实提升农村地区购买国债的便利性。</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8489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themeColor="text1"/>
                <w:kern w:val="0"/>
                <w:sz w:val="24"/>
                <w:szCs w:val="24"/>
                <w:u w:val="none"/>
                <w:lang w:val="en-US" w:eastAsia="zh-CN" w:bidi="ar"/>
                <w14:textFill>
                  <w14:solidFill>
                    <w14:schemeClr w14:val="tx1"/>
                  </w14:solidFill>
                </w14:textFill>
              </w:rPr>
            </w:pPr>
            <w:r>
              <w:rPr>
                <w:rFonts w:hint="default" w:ascii="Times New Roman" w:hAnsi="Times New Roman" w:eastAsia="仿宋_GB2312" w:cs="Times New Roman"/>
                <w:i w:val="0"/>
                <w:iCs w:val="0"/>
                <w:color w:val="000000" w:themeColor="text1"/>
                <w:kern w:val="0"/>
                <w:sz w:val="24"/>
                <w:szCs w:val="24"/>
                <w:u w:val="none"/>
                <w:lang w:val="en-US" w:eastAsia="zh-CN" w:bidi="ar"/>
                <w14:textFill>
                  <w14:solidFill>
                    <w14:schemeClr w14:val="tx1"/>
                  </w14:solidFill>
                </w14:textFill>
              </w:rPr>
              <w:t>县域内国债承销银行</w:t>
            </w:r>
          </w:p>
        </w:tc>
      </w:tr>
      <w:tr w14:paraId="673DF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0" w:hRule="atLeast"/>
          <w:jc w:val="center"/>
        </w:trPr>
        <w:tc>
          <w:tcPr>
            <w:tcW w:w="1964" w:type="dxa"/>
            <w:vMerge w:val="continue"/>
            <w:tcBorders>
              <w:left w:val="single" w:color="000000" w:sz="4" w:space="0"/>
              <w:bottom w:val="single" w:color="auto" w:sz="4" w:space="0"/>
              <w:right w:val="single" w:color="000000" w:sz="4" w:space="0"/>
            </w:tcBorders>
            <w:shd w:val="clear" w:color="auto" w:fill="auto"/>
            <w:vAlign w:val="center"/>
          </w:tcPr>
          <w:p w14:paraId="2D310839">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tcBorders>
              <w:top w:val="single" w:color="000000" w:sz="4" w:space="0"/>
              <w:left w:val="single" w:color="000000" w:sz="4" w:space="0"/>
              <w:bottom w:val="single" w:color="auto" w:sz="4" w:space="0"/>
              <w:right w:val="single" w:color="000000" w:sz="4" w:space="0"/>
            </w:tcBorders>
            <w:shd w:val="clear" w:color="auto" w:fill="auto"/>
            <w:vAlign w:val="center"/>
          </w:tcPr>
          <w:p w14:paraId="3500DE9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9.深化信用体系建设，推动征信提质扩面</w:t>
            </w:r>
          </w:p>
        </w:tc>
        <w:tc>
          <w:tcPr>
            <w:tcW w:w="7219" w:type="dxa"/>
            <w:tcBorders>
              <w:top w:val="single" w:color="000000" w:sz="4" w:space="0"/>
              <w:left w:val="single" w:color="000000" w:sz="4" w:space="0"/>
              <w:bottom w:val="single" w:color="auto" w:sz="4" w:space="0"/>
              <w:right w:val="single" w:color="000000" w:sz="4" w:space="0"/>
            </w:tcBorders>
            <w:shd w:val="clear" w:color="auto" w:fill="auto"/>
            <w:vAlign w:val="center"/>
          </w:tcPr>
          <w:p w14:paraId="644DA391">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启动“促进乡村振兴·共建信用工程”行动，持续开展“三信”评定。在已实现辖区所有行政村授信服务全覆盖的基础上，统筹推动各乡镇开展信用户新增与退出动态监测，消除县域农村信用主体迁入或流出造成的授信盲区，推动金融服务从“被动响应”向“主动供给”转变，中小微企业和农户融资可得性、便利度明显增强。</w:t>
            </w:r>
          </w:p>
        </w:tc>
        <w:tc>
          <w:tcPr>
            <w:tcW w:w="3194" w:type="dxa"/>
            <w:tcBorders>
              <w:top w:val="single" w:color="000000" w:sz="4" w:space="0"/>
              <w:left w:val="single" w:color="000000" w:sz="4" w:space="0"/>
              <w:bottom w:val="single" w:color="auto" w:sz="4" w:space="0"/>
              <w:right w:val="single" w:color="000000" w:sz="4" w:space="0"/>
            </w:tcBorders>
            <w:shd w:val="clear" w:color="auto" w:fill="auto"/>
            <w:vAlign w:val="center"/>
          </w:tcPr>
          <w:p w14:paraId="2C49718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人行张掖市分行、各镇、县域内各银行机构</w:t>
            </w:r>
          </w:p>
        </w:tc>
      </w:tr>
      <w:tr w14:paraId="7FECB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0" w:hRule="atLeast"/>
          <w:jc w:val="center"/>
        </w:trPr>
        <w:tc>
          <w:tcPr>
            <w:tcW w:w="196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391419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r>
              <w:rPr>
                <w:rFonts w:hint="default" w:ascii="Times New Roman" w:hAnsi="Times New Roman" w:eastAsia="仿宋_GB2312" w:cs="Times New Roman"/>
                <w:b/>
                <w:bCs/>
                <w:i w:val="0"/>
                <w:iCs w:val="0"/>
                <w:color w:val="000000"/>
                <w:kern w:val="0"/>
                <w:sz w:val="24"/>
                <w:szCs w:val="24"/>
                <w:u w:val="none"/>
                <w:lang w:val="en-US" w:eastAsia="zh-CN" w:bidi="ar"/>
              </w:rPr>
              <w:t>（三）深化县域金融监管，提升县域金融服务水平</w:t>
            </w:r>
          </w:p>
        </w:tc>
        <w:tc>
          <w:tcPr>
            <w:tcW w:w="22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80C32D7">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9.深化信用体系建设，推动征信提质扩面</w:t>
            </w: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598236AF">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持续拓宽动产融资统一登记公示系统、中征应收账款融资服务平台、全国中小微企业资金流信用信息共享平台等融资平台的运用渠道，重点推广现代农业设施和畜禽活体抵押、收费权质押、交易信用等创新融资模式，形成“政府引导、央行主导、部门协同、社会参与”的县域征信管理与服务格局，使征信助融平台在支持乡村振兴、服务实体经济中的核心作用充分发挥。</w:t>
            </w:r>
          </w:p>
        </w:tc>
        <w:tc>
          <w:tcPr>
            <w:tcW w:w="3194" w:type="dxa"/>
            <w:tcBorders>
              <w:top w:val="single" w:color="auto" w:sz="4" w:space="0"/>
              <w:left w:val="single" w:color="auto" w:sz="4" w:space="0"/>
              <w:bottom w:val="single" w:color="auto" w:sz="4" w:space="0"/>
              <w:right w:val="single" w:color="auto" w:sz="4" w:space="0"/>
            </w:tcBorders>
            <w:shd w:val="clear" w:color="auto" w:fill="auto"/>
            <w:vAlign w:val="center"/>
          </w:tcPr>
          <w:p w14:paraId="246F274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人行张掖市分行、县农业农村局、县财政局、金融监管局民乐支局、县工信和商务局、县域内各银行机构</w:t>
            </w:r>
          </w:p>
        </w:tc>
      </w:tr>
      <w:tr w14:paraId="2CBB8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5" w:hRule="atLeast"/>
          <w:jc w:val="center"/>
        </w:trPr>
        <w:tc>
          <w:tcPr>
            <w:tcW w:w="1964" w:type="dxa"/>
            <w:vMerge w:val="continue"/>
            <w:tcBorders>
              <w:top w:val="single" w:color="auto" w:sz="4" w:space="0"/>
              <w:left w:val="single" w:color="auto" w:sz="4" w:space="0"/>
              <w:right w:val="single" w:color="000000" w:sz="4" w:space="0"/>
            </w:tcBorders>
            <w:shd w:val="clear" w:color="auto" w:fill="auto"/>
            <w:vAlign w:val="center"/>
          </w:tcPr>
          <w:p w14:paraId="3F7031AB">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3D1B33D0">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auto" w:sz="4" w:space="0"/>
              <w:left w:val="single" w:color="000000" w:sz="4" w:space="0"/>
              <w:bottom w:val="single" w:color="000000" w:sz="4" w:space="0"/>
              <w:right w:val="single" w:color="000000" w:sz="4" w:space="0"/>
            </w:tcBorders>
            <w:shd w:val="clear" w:color="auto" w:fill="auto"/>
            <w:vAlign w:val="center"/>
          </w:tcPr>
          <w:p w14:paraId="62EDA97B">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3.推动建立人民银行、市场监督管理局、公安局、网信办等多部门参与的“征信修复”非法中介治理联席会议制度，明确排查标准、处置流程与责任分工，定期研判治理形势、通报问题线索，有效遏制“征信修复”非法中介滋生蔓延态势，逐步清除信用领域风险隐患，切实维护金融消费者合法权益与县域金融稳定。</w:t>
            </w:r>
          </w:p>
        </w:tc>
        <w:tc>
          <w:tcPr>
            <w:tcW w:w="3194" w:type="dxa"/>
            <w:tcBorders>
              <w:top w:val="single" w:color="auto" w:sz="4" w:space="0"/>
              <w:left w:val="single" w:color="000000" w:sz="4" w:space="0"/>
              <w:bottom w:val="single" w:color="000000" w:sz="4" w:space="0"/>
              <w:right w:val="single" w:color="000000" w:sz="4" w:space="0"/>
            </w:tcBorders>
            <w:shd w:val="clear" w:color="auto" w:fill="auto"/>
            <w:vAlign w:val="center"/>
          </w:tcPr>
          <w:p w14:paraId="5435170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人行张掖市分行、县市场监督管理局、县公安局、网信办</w:t>
            </w:r>
          </w:p>
        </w:tc>
      </w:tr>
      <w:tr w14:paraId="6CC51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3" w:hRule="atLeast"/>
          <w:jc w:val="center"/>
        </w:trPr>
        <w:tc>
          <w:tcPr>
            <w:tcW w:w="1964" w:type="dxa"/>
            <w:vMerge w:val="continue"/>
            <w:tcBorders>
              <w:left w:val="single" w:color="auto" w:sz="4" w:space="0"/>
              <w:right w:val="single" w:color="000000" w:sz="4" w:space="0"/>
            </w:tcBorders>
            <w:shd w:val="clear" w:color="auto" w:fill="auto"/>
            <w:vAlign w:val="center"/>
          </w:tcPr>
          <w:p w14:paraId="1D66102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p>
        </w:tc>
        <w:tc>
          <w:tcPr>
            <w:tcW w:w="2282" w:type="dxa"/>
            <w:vMerge w:val="restart"/>
            <w:tcBorders>
              <w:top w:val="single" w:color="000000" w:sz="4" w:space="0"/>
              <w:left w:val="single" w:color="000000" w:sz="4" w:space="0"/>
              <w:right w:val="single" w:color="000000" w:sz="4" w:space="0"/>
            </w:tcBorders>
            <w:shd w:val="clear" w:color="auto" w:fill="auto"/>
            <w:vAlign w:val="center"/>
          </w:tcPr>
          <w:p w14:paraId="6BEE7DE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10.提升支付治理能力，优化支付服务水平</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ABEDD">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做好“高效办成一件事”涉及企业银行账户相关工作。积极对接市场监管部门尽快落地企业授权功能，实现企业自主选择银行行别及银行账户开立、变更、撤销等预约信息及时、准确推送。组织银行机构实现“一件事”联办账户信息实时反馈。</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457B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县市场监管局、人行张掖市分行、县域内各银行机构</w:t>
            </w:r>
          </w:p>
        </w:tc>
      </w:tr>
      <w:tr w14:paraId="70B2A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0" w:hRule="atLeast"/>
          <w:jc w:val="center"/>
        </w:trPr>
        <w:tc>
          <w:tcPr>
            <w:tcW w:w="1964" w:type="dxa"/>
            <w:vMerge w:val="continue"/>
            <w:tcBorders>
              <w:left w:val="single" w:color="auto" w:sz="4" w:space="0"/>
              <w:bottom w:val="single" w:color="auto" w:sz="4" w:space="0"/>
              <w:right w:val="single" w:color="000000" w:sz="4" w:space="0"/>
            </w:tcBorders>
            <w:shd w:val="clear" w:color="auto" w:fill="auto"/>
            <w:vAlign w:val="center"/>
          </w:tcPr>
          <w:p w14:paraId="4C4F63EE">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left w:val="single" w:color="000000" w:sz="4" w:space="0"/>
              <w:bottom w:val="single" w:color="auto" w:sz="4" w:space="0"/>
              <w:right w:val="single" w:color="000000" w:sz="4" w:space="0"/>
            </w:tcBorders>
            <w:shd w:val="clear" w:color="auto" w:fill="auto"/>
            <w:vAlign w:val="center"/>
          </w:tcPr>
          <w:p w14:paraId="1EE43827">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auto" w:sz="4" w:space="0"/>
              <w:right w:val="single" w:color="000000" w:sz="4" w:space="0"/>
            </w:tcBorders>
            <w:shd w:val="clear" w:color="auto" w:fill="auto"/>
            <w:vAlign w:val="center"/>
          </w:tcPr>
          <w:p w14:paraId="717C5392">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常态长效做好优化支付服务工作。推动做好金融服务适老化，在适老化常规改造基础上，不断提高标准化网点、全功能网点占比。巩固支付便利化服务，开展外籍来华人员离境退税业务建设工作。持续改善农村支付环境，针对特色农业产业不断提升支付服务适配性，打造“一站多能”银行卡助农取款服务点。金融支付协同大力提振消费，积极参与促消费活动，进一步提高人民群众消费意愿、拉动社会消费增长。</w:t>
            </w:r>
          </w:p>
        </w:tc>
        <w:tc>
          <w:tcPr>
            <w:tcW w:w="3194" w:type="dxa"/>
            <w:tcBorders>
              <w:top w:val="single" w:color="000000" w:sz="4" w:space="0"/>
              <w:left w:val="single" w:color="000000" w:sz="4" w:space="0"/>
              <w:bottom w:val="single" w:color="auto" w:sz="4" w:space="0"/>
              <w:right w:val="single" w:color="000000" w:sz="4" w:space="0"/>
            </w:tcBorders>
            <w:shd w:val="clear" w:color="auto" w:fill="auto"/>
            <w:vAlign w:val="center"/>
          </w:tcPr>
          <w:p w14:paraId="446D8DE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县民政局、县卫健局、县农业农村局、县工信和商务局、人行张掖市分行、县域内各银行机构</w:t>
            </w:r>
          </w:p>
        </w:tc>
      </w:tr>
      <w:tr w14:paraId="293CA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8" w:hRule="atLeast"/>
          <w:jc w:val="center"/>
        </w:trPr>
        <w:tc>
          <w:tcPr>
            <w:tcW w:w="196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B56220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r>
              <w:rPr>
                <w:rFonts w:hint="default" w:ascii="Times New Roman" w:hAnsi="Times New Roman" w:eastAsia="仿宋_GB2312" w:cs="Times New Roman"/>
                <w:b/>
                <w:bCs/>
                <w:i w:val="0"/>
                <w:iCs w:val="0"/>
                <w:color w:val="000000"/>
                <w:kern w:val="0"/>
                <w:sz w:val="24"/>
                <w:szCs w:val="24"/>
                <w:u w:val="none"/>
                <w:lang w:val="en-US" w:eastAsia="zh-CN" w:bidi="ar"/>
              </w:rPr>
              <w:t>（三）深化县域金融监管，提升县域金融服务水平</w:t>
            </w:r>
          </w:p>
        </w:tc>
        <w:tc>
          <w:tcPr>
            <w:tcW w:w="22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21EA205">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10.提升支付治理能力，优化支付服务水平</w:t>
            </w: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71953273">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3.深化涉赌涉诈“资金链”精准无感治理。健全警银协同工作机制，强化多部门联防联控，巩固2025“溯源断链”专项行动成效，严守便民利民和风险防控底线。</w:t>
            </w:r>
          </w:p>
        </w:tc>
        <w:tc>
          <w:tcPr>
            <w:tcW w:w="3194" w:type="dxa"/>
            <w:tcBorders>
              <w:top w:val="single" w:color="auto" w:sz="4" w:space="0"/>
              <w:left w:val="single" w:color="auto" w:sz="4" w:space="0"/>
              <w:bottom w:val="single" w:color="auto" w:sz="4" w:space="0"/>
              <w:right w:val="single" w:color="auto" w:sz="4" w:space="0"/>
            </w:tcBorders>
            <w:shd w:val="clear" w:color="auto" w:fill="auto"/>
            <w:vAlign w:val="center"/>
          </w:tcPr>
          <w:p w14:paraId="4275893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县公安局、人行张掖市分行、县域内各银行机构</w:t>
            </w:r>
          </w:p>
        </w:tc>
      </w:tr>
      <w:tr w14:paraId="66E90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4"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B4393DC">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6CF11C2">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54D85035">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4.持续深化支付业务监管与投诉举报处置。强化县域受理终端和特约商户管理，规范县域支付市场健康发展。畅通县域支付结算领域举报信访和咨询渠道，加强跨部门协同处置能力，及时化解矛盾纠纷，保护人民群众合法权益。</w:t>
            </w:r>
          </w:p>
        </w:tc>
        <w:tc>
          <w:tcPr>
            <w:tcW w:w="3194" w:type="dxa"/>
            <w:tcBorders>
              <w:top w:val="single" w:color="auto" w:sz="4" w:space="0"/>
              <w:left w:val="single" w:color="auto" w:sz="4" w:space="0"/>
              <w:bottom w:val="single" w:color="auto" w:sz="4" w:space="0"/>
              <w:right w:val="single" w:color="auto" w:sz="4" w:space="0"/>
            </w:tcBorders>
            <w:shd w:val="clear" w:color="auto" w:fill="auto"/>
            <w:vAlign w:val="center"/>
          </w:tcPr>
          <w:p w14:paraId="3CC0EF5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县政务服务中心、县信访局、人行张掖市分行、县域内各银行机构</w:t>
            </w:r>
          </w:p>
        </w:tc>
      </w:tr>
      <w:tr w14:paraId="2DA42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1"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4DA40CF">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37B8E41">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5540330A">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5.联合市场监管部门持续开展线上线下线索摸排、联合执法，重点关注违规使用人民币图样、互联网平台违规销售人民币类商品等问题，加强爱护人民币、正确使用人民币图样等人民币知识普法宣传。</w:t>
            </w:r>
          </w:p>
        </w:tc>
        <w:tc>
          <w:tcPr>
            <w:tcW w:w="3194" w:type="dxa"/>
            <w:tcBorders>
              <w:top w:val="single" w:color="auto" w:sz="4" w:space="0"/>
              <w:left w:val="single" w:color="auto" w:sz="4" w:space="0"/>
              <w:bottom w:val="single" w:color="auto" w:sz="4" w:space="0"/>
              <w:right w:val="single" w:color="auto" w:sz="4" w:space="0"/>
            </w:tcBorders>
            <w:shd w:val="clear" w:color="auto" w:fill="auto"/>
            <w:vAlign w:val="center"/>
          </w:tcPr>
          <w:p w14:paraId="58B1A0E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人行张掖市分行、县民政局、县市场监管局</w:t>
            </w:r>
          </w:p>
        </w:tc>
      </w:tr>
      <w:tr w14:paraId="26B22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0"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7EA0C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p>
        </w:tc>
        <w:tc>
          <w:tcPr>
            <w:tcW w:w="22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33A258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11.严厉打击洗钱犯罪，筑牢反洗钱防线</w:t>
            </w: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18E02644">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督促协调、纪委监委、法院、检察院、公安局、司法局、住建局、民政局、市场监管局、税务局等部门落实常态化打击洗钱犯罪工作责任，每季度向人行张掖市分行通报相关情况，力争年内实现洗钱入罪“零突破”。</w:t>
            </w:r>
          </w:p>
        </w:tc>
        <w:tc>
          <w:tcPr>
            <w:tcW w:w="3194" w:type="dxa"/>
            <w:tcBorders>
              <w:top w:val="single" w:color="auto" w:sz="4" w:space="0"/>
              <w:left w:val="single" w:color="auto" w:sz="4" w:space="0"/>
              <w:bottom w:val="single" w:color="auto" w:sz="4" w:space="0"/>
              <w:right w:val="single" w:color="auto" w:sz="4" w:space="0"/>
            </w:tcBorders>
            <w:shd w:val="clear" w:color="auto" w:fill="auto"/>
            <w:vAlign w:val="center"/>
          </w:tcPr>
          <w:p w14:paraId="5318033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县财政局</w:t>
            </w:r>
          </w:p>
        </w:tc>
      </w:tr>
      <w:tr w14:paraId="56C67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3ED6C52">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4A47FF3">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05550BE5">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2.在职务犯罪案件调查中同步审查洗钱行为，对发现的洗钱犯罪线索及时依法办理。</w:t>
            </w:r>
          </w:p>
        </w:tc>
        <w:tc>
          <w:tcPr>
            <w:tcW w:w="3194" w:type="dxa"/>
            <w:tcBorders>
              <w:top w:val="single" w:color="auto" w:sz="4" w:space="0"/>
              <w:left w:val="single" w:color="auto" w:sz="4" w:space="0"/>
              <w:bottom w:val="single" w:color="auto" w:sz="4" w:space="0"/>
              <w:right w:val="single" w:color="auto" w:sz="4" w:space="0"/>
            </w:tcBorders>
            <w:shd w:val="clear" w:color="auto" w:fill="auto"/>
            <w:vAlign w:val="center"/>
          </w:tcPr>
          <w:p w14:paraId="1CB25F9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县纪委监委</w:t>
            </w:r>
          </w:p>
        </w:tc>
      </w:tr>
      <w:tr w14:paraId="7A466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8" w:hRule="atLeast"/>
          <w:jc w:val="center"/>
        </w:trPr>
        <w:tc>
          <w:tcPr>
            <w:tcW w:w="1964"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14:paraId="1EAED86C">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ED6FEA1">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auto" w:sz="4" w:space="0"/>
              <w:left w:val="single" w:color="000000" w:sz="4" w:space="0"/>
              <w:bottom w:val="single" w:color="auto" w:sz="4" w:space="0"/>
              <w:right w:val="single" w:color="000000" w:sz="4" w:space="0"/>
            </w:tcBorders>
            <w:shd w:val="clear" w:color="auto" w:fill="auto"/>
            <w:vAlign w:val="center"/>
          </w:tcPr>
          <w:p w14:paraId="7187750B">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3.加强对洗钱犯罪相关法律规定的研究和把握，协调解决洗钱犯罪案件审理中遇到的法律适用等问题。</w:t>
            </w:r>
          </w:p>
        </w:tc>
        <w:tc>
          <w:tcPr>
            <w:tcW w:w="3194" w:type="dxa"/>
            <w:tcBorders>
              <w:top w:val="single" w:color="auto" w:sz="4" w:space="0"/>
              <w:left w:val="single" w:color="000000" w:sz="4" w:space="0"/>
              <w:bottom w:val="single" w:color="auto" w:sz="4" w:space="0"/>
              <w:right w:val="single" w:color="000000" w:sz="4" w:space="0"/>
            </w:tcBorders>
            <w:shd w:val="clear" w:color="auto" w:fill="auto"/>
            <w:vAlign w:val="center"/>
          </w:tcPr>
          <w:p w14:paraId="37C0B88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县法院</w:t>
            </w:r>
          </w:p>
        </w:tc>
      </w:tr>
      <w:tr w14:paraId="480F0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5" w:hRule="atLeast"/>
          <w:jc w:val="center"/>
        </w:trPr>
        <w:tc>
          <w:tcPr>
            <w:tcW w:w="196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8CE455E">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r>
              <w:rPr>
                <w:rFonts w:hint="default" w:ascii="Times New Roman" w:hAnsi="Times New Roman" w:eastAsia="仿宋_GB2312" w:cs="Times New Roman"/>
                <w:b/>
                <w:bCs/>
                <w:i w:val="0"/>
                <w:iCs w:val="0"/>
                <w:color w:val="000000"/>
                <w:kern w:val="0"/>
                <w:sz w:val="24"/>
                <w:szCs w:val="24"/>
                <w:u w:val="none"/>
                <w:lang w:val="en-US" w:eastAsia="zh-CN" w:bidi="ar"/>
              </w:rPr>
              <w:t>（三）深化县域金融监管，提升县域金融服务水平</w:t>
            </w:r>
          </w:p>
        </w:tc>
        <w:tc>
          <w:tcPr>
            <w:tcW w:w="22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788016B">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11.严厉打击洗钱犯罪，筑牢反洗钱防线</w:t>
            </w: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71CD8DD7">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4.依法履行批捕、起诉职责，从严惩治洗钱违法犯罪；对重大、疑难、复杂洗钱案件，提前介入、引导侦查；加强洗钱案件立案监督，提升洗钱犯罪起诉率</w:t>
            </w:r>
          </w:p>
        </w:tc>
        <w:tc>
          <w:tcPr>
            <w:tcW w:w="3194" w:type="dxa"/>
            <w:tcBorders>
              <w:top w:val="single" w:color="auto" w:sz="4" w:space="0"/>
              <w:left w:val="single" w:color="auto" w:sz="4" w:space="0"/>
              <w:bottom w:val="single" w:color="auto" w:sz="4" w:space="0"/>
              <w:right w:val="single" w:color="auto" w:sz="4" w:space="0"/>
            </w:tcBorders>
            <w:shd w:val="clear" w:color="auto" w:fill="auto"/>
            <w:vAlign w:val="center"/>
          </w:tcPr>
          <w:p w14:paraId="7B9625F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县检察院</w:t>
            </w:r>
          </w:p>
        </w:tc>
      </w:tr>
      <w:tr w14:paraId="4A159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0"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1F7B9E">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716190">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1335AE6A">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5.积极组织各警种之间的沟通协调和信息共享，严格落实“一案双查”工作机制，依法严厉查处涉赌、涉诈、涉毒、涉恐、地下钱庄等方面的洗钱犯罪活动，积极推动洗钱犯罪的立案、侦查；对人行张掖市分行移送的可疑交易线索和金融机构报案情况开展核查，及时反馈核查情况；及时将洗钱犯罪案件立案侦破情况向人行张掖市分行通报；根据需要协助开展贵宝行业相关反洗钱工作。</w:t>
            </w:r>
          </w:p>
        </w:tc>
        <w:tc>
          <w:tcPr>
            <w:tcW w:w="3194" w:type="dxa"/>
            <w:tcBorders>
              <w:top w:val="single" w:color="auto" w:sz="4" w:space="0"/>
              <w:left w:val="single" w:color="auto" w:sz="4" w:space="0"/>
              <w:bottom w:val="single" w:color="auto" w:sz="4" w:space="0"/>
              <w:right w:val="single" w:color="auto" w:sz="4" w:space="0"/>
            </w:tcBorders>
            <w:shd w:val="clear" w:color="auto" w:fill="auto"/>
            <w:vAlign w:val="center"/>
          </w:tcPr>
          <w:p w14:paraId="7A61188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县公安局</w:t>
            </w:r>
          </w:p>
        </w:tc>
      </w:tr>
      <w:tr w14:paraId="20706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EB8ADE">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BF6EDF7">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149F1C4B">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6.分别落实好对律师、公证、房地产行业社会组织及会计师事务所等的反洗钱监管，及时向人行张掖市分行通报相关情况，必要时与人行张掖市分行开展联合监管。</w:t>
            </w:r>
          </w:p>
        </w:tc>
        <w:tc>
          <w:tcPr>
            <w:tcW w:w="3194" w:type="dxa"/>
            <w:tcBorders>
              <w:top w:val="single" w:color="auto" w:sz="4" w:space="0"/>
              <w:left w:val="single" w:color="auto" w:sz="4" w:space="0"/>
              <w:bottom w:val="single" w:color="auto" w:sz="4" w:space="0"/>
              <w:right w:val="single" w:color="auto" w:sz="4" w:space="0"/>
            </w:tcBorders>
            <w:shd w:val="clear" w:color="auto" w:fill="auto"/>
            <w:vAlign w:val="center"/>
          </w:tcPr>
          <w:p w14:paraId="53130EF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县司法局、县住建局、县民政局、县财政局</w:t>
            </w:r>
          </w:p>
        </w:tc>
      </w:tr>
      <w:tr w14:paraId="622FC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F7081E3">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DA6D03A">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787CDC72">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7.协助配合人行张掖市分行做好受益所有人备案及贵金属和宝石行业反洗钱监管工作，开展数据核验、信息共享、联合执法等。</w:t>
            </w:r>
          </w:p>
        </w:tc>
        <w:tc>
          <w:tcPr>
            <w:tcW w:w="3194" w:type="dxa"/>
            <w:tcBorders>
              <w:top w:val="single" w:color="auto" w:sz="4" w:space="0"/>
              <w:left w:val="single" w:color="auto" w:sz="4" w:space="0"/>
              <w:bottom w:val="single" w:color="auto" w:sz="4" w:space="0"/>
              <w:right w:val="single" w:color="auto" w:sz="4" w:space="0"/>
            </w:tcBorders>
            <w:shd w:val="clear" w:color="auto" w:fill="auto"/>
            <w:vAlign w:val="center"/>
          </w:tcPr>
          <w:p w14:paraId="26F7928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县市场监管局、县税务局</w:t>
            </w:r>
          </w:p>
        </w:tc>
      </w:tr>
      <w:tr w14:paraId="0FBDA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jc w:val="center"/>
        </w:trPr>
        <w:tc>
          <w:tcPr>
            <w:tcW w:w="1964" w:type="dxa"/>
            <w:vMerge w:val="continue"/>
            <w:tcBorders>
              <w:top w:val="single" w:color="auto" w:sz="4" w:space="0"/>
              <w:left w:val="single" w:color="auto" w:sz="4" w:space="0"/>
              <w:right w:val="single" w:color="000000" w:sz="4" w:space="0"/>
            </w:tcBorders>
            <w:shd w:val="clear" w:color="auto" w:fill="auto"/>
            <w:vAlign w:val="center"/>
          </w:tcPr>
          <w:p w14:paraId="0FF3A3D3">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auto" w:sz="4" w:space="0"/>
              <w:left w:val="single" w:color="000000" w:sz="4" w:space="0"/>
              <w:right w:val="single" w:color="000000" w:sz="4" w:space="0"/>
            </w:tcBorders>
            <w:shd w:val="clear" w:color="auto" w:fill="auto"/>
            <w:vAlign w:val="center"/>
          </w:tcPr>
          <w:p w14:paraId="29486343">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auto" w:sz="4" w:space="0"/>
              <w:left w:val="single" w:color="000000" w:sz="4" w:space="0"/>
              <w:bottom w:val="single" w:color="000000" w:sz="4" w:space="0"/>
              <w:right w:val="single" w:color="000000" w:sz="4" w:space="0"/>
            </w:tcBorders>
            <w:shd w:val="clear" w:color="auto" w:fill="auto"/>
            <w:vAlign w:val="center"/>
          </w:tcPr>
          <w:p w14:paraId="399BD2B7">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8.将打击洗钱犯罪成效纳入平安单位建设考核，促进打击洗钱犯罪成效。</w:t>
            </w:r>
          </w:p>
        </w:tc>
        <w:tc>
          <w:tcPr>
            <w:tcW w:w="3194" w:type="dxa"/>
            <w:tcBorders>
              <w:top w:val="single" w:color="auto" w:sz="4" w:space="0"/>
              <w:left w:val="single" w:color="000000" w:sz="4" w:space="0"/>
              <w:bottom w:val="single" w:color="000000" w:sz="4" w:space="0"/>
              <w:right w:val="single" w:color="000000" w:sz="4" w:space="0"/>
            </w:tcBorders>
            <w:shd w:val="clear" w:color="auto" w:fill="auto"/>
            <w:vAlign w:val="center"/>
          </w:tcPr>
          <w:p w14:paraId="5CFAA32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县政法委</w:t>
            </w:r>
          </w:p>
        </w:tc>
      </w:tr>
      <w:tr w14:paraId="19602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jc w:val="center"/>
        </w:trPr>
        <w:tc>
          <w:tcPr>
            <w:tcW w:w="1964" w:type="dxa"/>
            <w:vMerge w:val="continue"/>
            <w:tcBorders>
              <w:left w:val="single" w:color="auto" w:sz="4" w:space="0"/>
              <w:bottom w:val="single" w:color="auto" w:sz="4" w:space="0"/>
              <w:right w:val="single" w:color="000000" w:sz="4" w:space="0"/>
            </w:tcBorders>
            <w:shd w:val="clear" w:color="auto" w:fill="auto"/>
            <w:vAlign w:val="center"/>
          </w:tcPr>
          <w:p w14:paraId="007BB040">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left w:val="single" w:color="000000" w:sz="4" w:space="0"/>
              <w:bottom w:val="single" w:color="auto" w:sz="4" w:space="0"/>
              <w:right w:val="single" w:color="000000" w:sz="4" w:space="0"/>
            </w:tcBorders>
            <w:shd w:val="clear" w:color="auto" w:fill="auto"/>
            <w:vAlign w:val="center"/>
          </w:tcPr>
          <w:p w14:paraId="30E6A5D7">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000000" w:sz="4" w:space="0"/>
              <w:left w:val="single" w:color="000000" w:sz="4" w:space="0"/>
              <w:bottom w:val="single" w:color="auto" w:sz="4" w:space="0"/>
              <w:right w:val="single" w:color="000000" w:sz="4" w:space="0"/>
            </w:tcBorders>
            <w:shd w:val="clear" w:color="auto" w:fill="auto"/>
            <w:vAlign w:val="center"/>
          </w:tcPr>
          <w:p w14:paraId="4B9010EA">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9.压实义务机构主体责任，全力配合案件协查、强化可疑交易监测并及时上报报告，协助开展受益所有人备案等工作，切实筑牢反洗钱第一道防线（责任单位：人行张掖市分行、县域各义务机构）。</w:t>
            </w:r>
          </w:p>
        </w:tc>
        <w:tc>
          <w:tcPr>
            <w:tcW w:w="3194" w:type="dxa"/>
            <w:tcBorders>
              <w:top w:val="single" w:color="000000" w:sz="4" w:space="0"/>
              <w:left w:val="single" w:color="000000" w:sz="4" w:space="0"/>
              <w:bottom w:val="single" w:color="auto" w:sz="4" w:space="0"/>
              <w:right w:val="single" w:color="000000" w:sz="4" w:space="0"/>
            </w:tcBorders>
            <w:shd w:val="clear" w:color="auto" w:fill="auto"/>
            <w:vAlign w:val="center"/>
          </w:tcPr>
          <w:p w14:paraId="0D85D2C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人行张掖市分行、县域内各银行机构</w:t>
            </w:r>
          </w:p>
        </w:tc>
      </w:tr>
      <w:tr w14:paraId="634C7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0" w:hRule="atLeast"/>
          <w:jc w:val="center"/>
        </w:trPr>
        <w:tc>
          <w:tcPr>
            <w:tcW w:w="196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CE63E2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r>
              <w:rPr>
                <w:rFonts w:hint="default" w:ascii="Times New Roman" w:hAnsi="Times New Roman" w:eastAsia="仿宋_GB2312" w:cs="Times New Roman"/>
                <w:b/>
                <w:bCs/>
                <w:i w:val="0"/>
                <w:iCs w:val="0"/>
                <w:color w:val="000000"/>
                <w:kern w:val="0"/>
                <w:sz w:val="24"/>
                <w:szCs w:val="24"/>
                <w:u w:val="none"/>
                <w:lang w:val="en-US" w:eastAsia="zh-CN" w:bidi="ar"/>
              </w:rPr>
              <w:t>（三）深化县域金融监管，提升县域金融服务水平</w:t>
            </w:r>
          </w:p>
        </w:tc>
        <w:tc>
          <w:tcPr>
            <w:tcW w:w="22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FB4763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12.设立外汇直联点，开展企业服务专项行动</w:t>
            </w: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585CFC7F">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设立工商银行民乐支行为汇银重点直联点1个。直联点工作坚持“惠企利民”原则，充分发挥县域银行网点地处一线、贴近经营主体的特点和优势，建立并完善政策传导、跨境结算、诉求反馈、风险监测“四位一体”县域外汇银行服务机制，畅通政策传导“末梢”，延伸外汇服务“触角”，搭建诉求反馈“桥梁”，构建发现苗头性问题及趋势性风险的“探头”，通过重点带动、共同发力、全面辐射，增强县域外汇服务可得性，整体提升全市外汇服务能力。要求直联点银行配备专职外汇业务人员1名，设置“外汇业务专属窗口”。</w:t>
            </w:r>
          </w:p>
        </w:tc>
        <w:tc>
          <w:tcPr>
            <w:tcW w:w="3194" w:type="dxa"/>
            <w:tcBorders>
              <w:top w:val="single" w:color="auto" w:sz="4" w:space="0"/>
              <w:left w:val="single" w:color="auto" w:sz="4" w:space="0"/>
              <w:bottom w:val="single" w:color="auto" w:sz="4" w:space="0"/>
              <w:right w:val="single" w:color="auto" w:sz="4" w:space="0"/>
            </w:tcBorders>
            <w:shd w:val="clear" w:color="auto" w:fill="auto"/>
            <w:vAlign w:val="center"/>
          </w:tcPr>
          <w:p w14:paraId="26613A7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人行张掖市分行、工行民乐支行</w:t>
            </w:r>
          </w:p>
        </w:tc>
      </w:tr>
      <w:tr w14:paraId="6B011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5"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810D1B0">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8EB3CE">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7FB5CEB0">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与银行联合，实地走访辖内县域重点涉外企业，宣讲外汇业务政策，现场演示便利化业务操作流程，协助符合申报优质企业贸易便利化条件的企业完成申报，争取应纳尽纳，让县域企业享受外汇便利化政策红利，实现便利化试点企业贸易外汇资金线上汇入汇出，无需提交单证。</w:t>
            </w:r>
          </w:p>
        </w:tc>
        <w:tc>
          <w:tcPr>
            <w:tcW w:w="3194" w:type="dxa"/>
            <w:tcBorders>
              <w:top w:val="single" w:color="auto" w:sz="4" w:space="0"/>
              <w:left w:val="single" w:color="auto" w:sz="4" w:space="0"/>
              <w:bottom w:val="single" w:color="000000" w:sz="4" w:space="0"/>
              <w:right w:val="single" w:color="000000" w:sz="4" w:space="0"/>
            </w:tcBorders>
            <w:shd w:val="clear" w:color="auto" w:fill="auto"/>
            <w:vAlign w:val="center"/>
          </w:tcPr>
          <w:p w14:paraId="25054BD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人行张掖市分行、县域内各银行机构</w:t>
            </w:r>
          </w:p>
        </w:tc>
      </w:tr>
      <w:tr w14:paraId="70D27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2"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82EF11">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575519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13.畅通银政企信息共享渠道，深化经济金融研究合作</w:t>
            </w: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42E9E6F2">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1.常态化共享金融统计数据，通过传真等安全方式，合规满足县域政企金融统计数据需求。</w:t>
            </w:r>
          </w:p>
        </w:tc>
        <w:tc>
          <w:tcPr>
            <w:tcW w:w="3194" w:type="dxa"/>
            <w:tcBorders>
              <w:top w:val="single" w:color="000000" w:sz="4" w:space="0"/>
              <w:left w:val="single" w:color="auto" w:sz="4" w:space="0"/>
              <w:bottom w:val="single" w:color="000000" w:sz="4" w:space="0"/>
              <w:right w:val="single" w:color="000000" w:sz="4" w:space="0"/>
            </w:tcBorders>
            <w:shd w:val="clear" w:color="auto" w:fill="auto"/>
            <w:vAlign w:val="center"/>
          </w:tcPr>
          <w:p w14:paraId="037F6BC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人行张掖市分行、县统计局、县财政局、县域内各银行机构</w:t>
            </w:r>
          </w:p>
        </w:tc>
      </w:tr>
      <w:tr w14:paraId="0C7F4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3"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BE541FB">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70ED967">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sz w:val="24"/>
                <w:szCs w:val="24"/>
                <w:u w:val="none"/>
              </w:rPr>
            </w:pP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00AD72B3">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2.银政企相互配合，加大实地调研频度与力度，深入了解实体经济与金融服务的供需诉求，促进县域经济金融协同高效发展。</w:t>
            </w:r>
          </w:p>
        </w:tc>
        <w:tc>
          <w:tcPr>
            <w:tcW w:w="3194" w:type="dxa"/>
            <w:tcBorders>
              <w:top w:val="single" w:color="000000" w:sz="4" w:space="0"/>
              <w:left w:val="single" w:color="auto" w:sz="4" w:space="0"/>
              <w:bottom w:val="single" w:color="000000" w:sz="4" w:space="0"/>
              <w:right w:val="single" w:color="000000" w:sz="4" w:space="0"/>
            </w:tcBorders>
            <w:shd w:val="clear" w:color="auto" w:fill="auto"/>
            <w:vAlign w:val="center"/>
          </w:tcPr>
          <w:p w14:paraId="5394BD8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人行张掖市分行、县统计局、县财政局、县域内各银行机构</w:t>
            </w:r>
          </w:p>
        </w:tc>
      </w:tr>
      <w:tr w14:paraId="64834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3"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5D36BE">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E2629BF">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仿宋_GB2312" w:cs="Times New Roman"/>
                <w:i w:val="0"/>
                <w:iCs w:val="0"/>
                <w:color w:val="000000" w:themeColor="text1"/>
                <w:sz w:val="24"/>
                <w:szCs w:val="24"/>
                <w:highlight w:val="none"/>
                <w:u w:val="none"/>
                <w:lang w:val="en-US" w:eastAsia="zh-CN"/>
                <w14:textFill>
                  <w14:solidFill>
                    <w14:schemeClr w14:val="tx1"/>
                  </w14:solidFill>
                </w14:textFill>
              </w:rPr>
              <w:t>14.深化县域对接联系机制，探索金融干部互派机制</w:t>
            </w:r>
          </w:p>
        </w:tc>
        <w:tc>
          <w:tcPr>
            <w:tcW w:w="7219" w:type="dxa"/>
            <w:tcBorders>
              <w:top w:val="single" w:color="auto" w:sz="4" w:space="0"/>
              <w:left w:val="single" w:color="auto" w:sz="4" w:space="0"/>
              <w:bottom w:val="single" w:color="auto" w:sz="4" w:space="0"/>
              <w:right w:val="single" w:color="auto" w:sz="4" w:space="0"/>
            </w:tcBorders>
            <w:shd w:val="clear" w:color="auto" w:fill="auto"/>
            <w:vAlign w:val="center"/>
          </w:tcPr>
          <w:p w14:paraId="33E4EAF4">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themeColor="text1"/>
                <w:kern w:val="0"/>
                <w:sz w:val="24"/>
                <w:szCs w:val="24"/>
                <w:highlight w:val="none"/>
                <w:u w:val="none"/>
                <w:lang w:val="en-US" w:eastAsia="zh-CN" w:bidi="ar"/>
                <w14:textFill>
                  <w14:solidFill>
                    <w14:schemeClr w14:val="tx1"/>
                  </w14:solidFill>
                </w14:textFill>
              </w:rPr>
            </w:pPr>
            <w:r>
              <w:rPr>
                <w:rFonts w:hint="default" w:ascii="Times New Roman" w:hAnsi="Times New Roman" w:eastAsia="仿宋_GB2312" w:cs="Times New Roman"/>
                <w:i w:val="0"/>
                <w:iCs w:val="0"/>
                <w:color w:val="000000" w:themeColor="text1"/>
                <w:kern w:val="0"/>
                <w:sz w:val="24"/>
                <w:szCs w:val="24"/>
                <w:highlight w:val="none"/>
                <w:u w:val="none"/>
                <w:lang w:val="en-US" w:eastAsia="zh-CN" w:bidi="ar"/>
                <w14:textFill>
                  <w14:solidFill>
                    <w14:schemeClr w14:val="tx1"/>
                  </w14:solidFill>
                </w14:textFill>
              </w:rPr>
              <w:t>1.整合政策传导、重要会议、业务培训等工作内容，到金融政策市县两级政府同传达，重点工作市县两级机构同部署。细化完善包抓联系制度安排，定期下沉县域走访调研，派员参加县级重要会议，推动政策直达、诉求直通、信息直送。加强县域经济金融运行分析研判，定期向县级党政通报相关情况，充分融入县域治理体系。</w:t>
            </w:r>
          </w:p>
        </w:tc>
        <w:tc>
          <w:tcPr>
            <w:tcW w:w="3194" w:type="dxa"/>
            <w:tcBorders>
              <w:top w:val="single" w:color="000000" w:sz="4" w:space="0"/>
              <w:left w:val="single" w:color="auto" w:sz="4" w:space="0"/>
              <w:bottom w:val="single" w:color="000000" w:sz="4" w:space="0"/>
              <w:right w:val="single" w:color="000000" w:sz="4" w:space="0"/>
            </w:tcBorders>
            <w:shd w:val="clear" w:color="auto" w:fill="auto"/>
            <w:vAlign w:val="center"/>
          </w:tcPr>
          <w:p w14:paraId="4FE5088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themeColor="text1"/>
                <w:kern w:val="0"/>
                <w:sz w:val="24"/>
                <w:szCs w:val="24"/>
                <w:highlight w:val="none"/>
                <w:u w:val="none"/>
                <w:lang w:val="en-US" w:eastAsia="zh-CN" w:bidi="ar"/>
                <w14:textFill>
                  <w14:solidFill>
                    <w14:schemeClr w14:val="tx1"/>
                  </w14:solidFill>
                </w14:textFill>
              </w:rPr>
            </w:pPr>
            <w:r>
              <w:rPr>
                <w:rFonts w:hint="default" w:ascii="Times New Roman" w:hAnsi="Times New Roman" w:eastAsia="仿宋_GB2312" w:cs="Times New Roman"/>
                <w:i w:val="0"/>
                <w:iCs w:val="0"/>
                <w:color w:val="000000" w:themeColor="text1"/>
                <w:kern w:val="0"/>
                <w:sz w:val="24"/>
                <w:szCs w:val="24"/>
                <w:highlight w:val="none"/>
                <w:u w:val="none"/>
                <w:lang w:val="en-US" w:eastAsia="zh-CN" w:bidi="ar"/>
                <w14:textFill>
                  <w14:solidFill>
                    <w14:schemeClr w14:val="tx1"/>
                  </w14:solidFill>
                </w14:textFill>
              </w:rPr>
              <w:t>人行张掖市分行</w:t>
            </w:r>
          </w:p>
        </w:tc>
      </w:tr>
      <w:tr w14:paraId="4FF34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3" w:hRule="atLeast"/>
          <w:jc w:val="center"/>
        </w:trPr>
        <w:tc>
          <w:tcPr>
            <w:tcW w:w="1964" w:type="dxa"/>
            <w:vMerge w:val="continue"/>
            <w:tcBorders>
              <w:top w:val="single" w:color="auto" w:sz="4" w:space="0"/>
              <w:left w:val="single" w:color="auto" w:sz="4" w:space="0"/>
              <w:bottom w:val="single" w:color="000000" w:sz="4" w:space="0"/>
              <w:right w:val="single" w:color="000000" w:sz="4" w:space="0"/>
            </w:tcBorders>
            <w:shd w:val="clear" w:color="auto" w:fill="auto"/>
            <w:vAlign w:val="center"/>
          </w:tcPr>
          <w:p w14:paraId="7087ED66">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b/>
                <w:bCs/>
                <w:i w:val="0"/>
                <w:iCs w:val="0"/>
                <w:color w:val="000000"/>
                <w:sz w:val="24"/>
                <w:szCs w:val="24"/>
                <w:u w:val="none"/>
              </w:rPr>
            </w:pPr>
          </w:p>
        </w:tc>
        <w:tc>
          <w:tcPr>
            <w:tcW w:w="2282" w:type="dxa"/>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1BB83EF6">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i w:val="0"/>
                <w:iCs w:val="0"/>
                <w:color w:val="000000" w:themeColor="text1"/>
                <w:sz w:val="24"/>
                <w:szCs w:val="24"/>
                <w:highlight w:val="none"/>
                <w:u w:val="none"/>
                <w14:textFill>
                  <w14:solidFill>
                    <w14:schemeClr w14:val="tx1"/>
                  </w14:solidFill>
                </w14:textFill>
              </w:rPr>
            </w:pPr>
          </w:p>
        </w:tc>
        <w:tc>
          <w:tcPr>
            <w:tcW w:w="7219" w:type="dxa"/>
            <w:tcBorders>
              <w:top w:val="single" w:color="auto" w:sz="4" w:space="0"/>
              <w:left w:val="single" w:color="000000" w:sz="4" w:space="0"/>
              <w:bottom w:val="single" w:color="000000" w:sz="4" w:space="0"/>
              <w:right w:val="single" w:color="000000" w:sz="4" w:space="0"/>
            </w:tcBorders>
            <w:shd w:val="clear" w:color="auto" w:fill="auto"/>
            <w:vAlign w:val="center"/>
          </w:tcPr>
          <w:p w14:paraId="742D0CFB">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themeColor="text1"/>
                <w:kern w:val="0"/>
                <w:sz w:val="24"/>
                <w:szCs w:val="24"/>
                <w:highlight w:val="none"/>
                <w:u w:val="none"/>
                <w:lang w:val="en-US" w:eastAsia="zh-CN" w:bidi="ar"/>
                <w14:textFill>
                  <w14:solidFill>
                    <w14:schemeClr w14:val="tx1"/>
                  </w14:solidFill>
                </w14:textFill>
              </w:rPr>
            </w:pPr>
            <w:r>
              <w:rPr>
                <w:rFonts w:hint="default" w:ascii="Times New Roman" w:hAnsi="Times New Roman" w:eastAsia="仿宋_GB2312" w:cs="Times New Roman"/>
                <w:i w:val="0"/>
                <w:iCs w:val="0"/>
                <w:color w:val="000000" w:themeColor="text1"/>
                <w:kern w:val="0"/>
                <w:sz w:val="24"/>
                <w:szCs w:val="24"/>
                <w:highlight w:val="none"/>
                <w:u w:val="none"/>
                <w:lang w:val="en-US" w:eastAsia="zh-CN" w:bidi="ar"/>
                <w14:textFill>
                  <w14:solidFill>
                    <w14:schemeClr w14:val="tx1"/>
                  </w14:solidFill>
                </w14:textFill>
              </w:rPr>
              <w:t>2.探索建立常态化干部互派机制，争取形成“人才互派、资源互通、工作互融、发展共赢”的双向奔赴局面。</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40B2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themeColor="text1"/>
                <w:kern w:val="0"/>
                <w:sz w:val="24"/>
                <w:szCs w:val="24"/>
                <w:highlight w:val="none"/>
                <w:u w:val="none"/>
                <w:lang w:val="en-US" w:eastAsia="zh-CN" w:bidi="ar"/>
                <w14:textFill>
                  <w14:solidFill>
                    <w14:schemeClr w14:val="tx1"/>
                  </w14:solidFill>
                </w14:textFill>
              </w:rPr>
            </w:pPr>
            <w:r>
              <w:rPr>
                <w:rFonts w:hint="default" w:ascii="Times New Roman" w:hAnsi="Times New Roman" w:eastAsia="仿宋_GB2312" w:cs="Times New Roman"/>
                <w:i w:val="0"/>
                <w:iCs w:val="0"/>
                <w:color w:val="000000" w:themeColor="text1"/>
                <w:kern w:val="0"/>
                <w:sz w:val="24"/>
                <w:szCs w:val="24"/>
                <w:highlight w:val="none"/>
                <w:u w:val="none"/>
                <w:lang w:val="en-US" w:eastAsia="zh-CN" w:bidi="ar"/>
                <w14:textFill>
                  <w14:solidFill>
                    <w14:schemeClr w14:val="tx1"/>
                  </w14:solidFill>
                </w14:textFill>
              </w:rPr>
              <w:t>人行张掖市分行、县财政局</w:t>
            </w:r>
          </w:p>
        </w:tc>
      </w:tr>
      <w:tr w14:paraId="4CE9D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5" w:hRule="atLeast"/>
          <w:jc w:val="center"/>
        </w:trPr>
        <w:tc>
          <w:tcPr>
            <w:tcW w:w="19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718A6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b/>
                <w:bCs/>
                <w:i w:val="0"/>
                <w:iCs w:val="0"/>
                <w:color w:val="000000"/>
                <w:sz w:val="24"/>
                <w:szCs w:val="24"/>
                <w:u w:val="none"/>
              </w:rPr>
            </w:pPr>
            <w:r>
              <w:rPr>
                <w:rFonts w:hint="default" w:ascii="Times New Roman" w:hAnsi="Times New Roman" w:eastAsia="仿宋_GB2312" w:cs="Times New Roman"/>
                <w:b/>
                <w:bCs/>
                <w:i w:val="0"/>
                <w:iCs w:val="0"/>
                <w:color w:val="000000"/>
                <w:kern w:val="0"/>
                <w:sz w:val="24"/>
                <w:szCs w:val="24"/>
                <w:u w:val="none"/>
                <w:lang w:val="en-US" w:eastAsia="zh-CN" w:bidi="ar"/>
              </w:rPr>
              <w:t>（四）强化县域金融宣传教育，提升公众风险意识与从业者服务水平</w:t>
            </w:r>
          </w:p>
        </w:tc>
        <w:tc>
          <w:tcPr>
            <w:tcW w:w="2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2751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1.统筹县乡村宣传阵地，推进县域金融知识普及</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0BA7">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由政府统筹、人民银行牵头、金融机构主责、多部门协同，整合反假货币、整治拒收现金、国债下乡、支付安全、反诈反赌、征信知识、反洗钱、外汇管理等全条线金融宣传内容，依托乡镇政府、村委会、银行网点、助农服务点、便民服务中心、乡村集市等阵地，用好政务大屏、公告栏、公众号等平台，组建专业化宣传队伍，推动金融宣传向基层及边远地区延伸。聚焦“3.15”“6.14”等重要节点，围绕农户、新型农业经营主体、小微企业、老年人、青少年等群体，结合民乐县“古城+文旅”地方特色开展“播撒式”宣传，强化信用环境建设与风险防范意识提升，营造“守信受益、失信受限”的良好县域金融生态，助力各项惠民金融政策落地见效。</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3B0C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各镇、人行张掖市分行、县财政局、县公安局、县市场监管局、县司法局、县域内各银行机构</w:t>
            </w:r>
          </w:p>
        </w:tc>
      </w:tr>
      <w:tr w14:paraId="0AAA9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19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BF670">
            <w:pPr>
              <w:keepNext w:val="0"/>
              <w:keepLines w:val="0"/>
              <w:pageBreakBefore w:val="0"/>
              <w:kinsoku/>
              <w:wordWrap/>
              <w:overflowPunct/>
              <w:topLinePunct w:val="0"/>
              <w:autoSpaceDE/>
              <w:autoSpaceDN/>
              <w:bidi w:val="0"/>
              <w:adjustRightInd/>
              <w:snapToGrid/>
              <w:spacing w:line="360" w:lineRule="exact"/>
              <w:jc w:val="left"/>
              <w:rPr>
                <w:rFonts w:hint="default" w:ascii="Times New Roman" w:hAnsi="Times New Roman" w:eastAsia="仿宋_GB2312" w:cs="Times New Roman"/>
                <w:b/>
                <w:bCs/>
                <w:i w:val="0"/>
                <w:iCs w:val="0"/>
                <w:color w:val="000000"/>
                <w:sz w:val="24"/>
                <w:szCs w:val="24"/>
                <w:u w:val="none"/>
              </w:rPr>
            </w:pPr>
          </w:p>
        </w:tc>
        <w:tc>
          <w:tcPr>
            <w:tcW w:w="2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2E4E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2.强化县域金融从业人员技能培训，夯实基层金融服务根基</w:t>
            </w:r>
          </w:p>
        </w:tc>
        <w:tc>
          <w:tcPr>
            <w:tcW w:w="7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8955B">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加强县域金融机构从业人员政策培训、业务培训和技能培训，覆盖信贷服务、风险防控、现金管理、代理国库、征信服务、反洗钱、账户管理、支付结算、外汇服务、金融统计等全链条业务，提升基层一线人员履职能力和服务水平。</w:t>
            </w:r>
          </w:p>
        </w:tc>
        <w:tc>
          <w:tcPr>
            <w:tcW w:w="3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BB16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人行张掖市分行、县域内各银行机构</w:t>
            </w:r>
          </w:p>
        </w:tc>
      </w:tr>
    </w:tbl>
    <w:p w14:paraId="2E1AB888">
      <w:pPr>
        <w:keepNext w:val="0"/>
        <w:keepLines w:val="0"/>
        <w:pageBreakBefore w:val="0"/>
        <w:widowControl w:val="0"/>
        <w:kinsoku/>
        <w:wordWrap/>
        <w:overflowPunct w:val="0"/>
        <w:topLinePunct w:val="0"/>
        <w:autoSpaceDE/>
        <w:autoSpaceDN/>
        <w:bidi w:val="0"/>
        <w:adjustRightInd/>
        <w:snapToGrid/>
        <w:spacing w:line="560" w:lineRule="exact"/>
        <w:ind w:right="0"/>
        <w:jc w:val="both"/>
        <w:textAlignment w:val="auto"/>
        <w:rPr>
          <w:rFonts w:hint="default" w:ascii="Times New Roman" w:hAnsi="Times New Roman" w:eastAsia="仿宋_GB2312" w:cs="Times New Roman"/>
          <w:color w:val="000000" w:themeColor="text1"/>
          <w:spacing w:val="0"/>
          <w:position w:val="0"/>
          <w:sz w:val="32"/>
          <w:szCs w:val="32"/>
          <w:lang w:val="en-US" w:eastAsia="zh-CN"/>
          <w14:textFill>
            <w14:solidFill>
              <w14:schemeClr w14:val="tx1"/>
            </w14:solidFill>
          </w14:textFill>
        </w:rPr>
      </w:pPr>
    </w:p>
    <w:sectPr>
      <w:footerReference r:id="rId4" w:type="default"/>
      <w:pgSz w:w="16838" w:h="11906" w:orient="landscape"/>
      <w:pgMar w:top="1587" w:right="2098" w:bottom="1474" w:left="1984"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国标仿宋">
    <w:altName w:val="仿宋"/>
    <w:panose1 w:val="02000500000000000000"/>
    <w:charset w:val="86"/>
    <w:family w:val="auto"/>
    <w:pitch w:val="default"/>
    <w:sig w:usb0="00000000" w:usb1="00000000" w:usb2="00000016" w:usb3="00000000" w:csb0="0004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5ECC5">
    <w:pPr>
      <w:pStyle w:val="9"/>
      <w:tabs>
        <w:tab w:val="right" w:pos="8306"/>
        <w:tab w:val="clear" w:pos="8307"/>
      </w:tabs>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552820">
                          <w:pPr>
                            <w:pStyle w:val="9"/>
                            <w:tabs>
                              <w:tab w:val="right" w:pos="8306"/>
                              <w:tab w:val="clear" w:pos="8307"/>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- 1 -</w:t>
                          </w:r>
                          <w:r>
                            <w:rPr>
                              <w:rFonts w:hint="eastAsia" w:ascii="仿宋_GB2312" w:hAnsi="仿宋_GB2312" w:eastAsia="仿宋_GB2312" w:cs="仿宋_GB2312"/>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9552820">
                    <w:pPr>
                      <w:pStyle w:val="9"/>
                      <w:tabs>
                        <w:tab w:val="right" w:pos="8306"/>
                        <w:tab w:val="clear" w:pos="8307"/>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- 1 -</w:t>
                    </w:r>
                    <w:r>
                      <w:rPr>
                        <w:rFonts w:hint="eastAsia" w:ascii="仿宋_GB2312" w:hAnsi="仿宋_GB2312" w:eastAsia="仿宋_GB2312" w:cs="仿宋_GB2312"/>
                        <w:sz w:val="28"/>
                        <w:szCs w:val="28"/>
                      </w:rP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-44450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64A50D">
                          <w:pPr>
                            <w:pStyle w:val="9"/>
                            <w:tabs>
                              <w:tab w:val="right" w:pos="8306"/>
                              <w:tab w:val="clear" w:pos="8307"/>
                            </w:tabs>
                            <w:rPr>
                              <w:rFonts w:hint="eastAsia" w:ascii="仿宋_GB2312" w:hAnsi="仿宋_GB2312" w:eastAsia="仿宋_GB2312" w:cs="仿宋_GB2312"/>
                              <w:sz w:val="28"/>
                              <w:szCs w:val="28"/>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3.5pt;height:144pt;width:144pt;mso-position-horizontal:outside;mso-position-horizontal-relative:margin;mso-wrap-style:none;z-index:251659264;mso-width-relative:page;mso-height-relative:page;" filled="f" stroked="f" coordsize="21600,21600" o:gfxdata="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EHYrYLTAAAABwEAAA8AAAAAAAAAAQAgAAAAIgAAAGRycy9kb3ducmV2LnhtbFBLAQIU&#10;ABQAAAAIAIdO4kBrhfn7MQIAAGEEAAAOAAAAAAAAAAEAIAAAACIBAABkcnMvZTJvRG9jLnhtbFBL&#10;BQYAAAAABgAGAFkBAADFBQAAAAA=&#10;">
              <v:fill on="f" focussize="0,0"/>
              <v:stroke on="f" weight="0.5pt"/>
              <v:imagedata o:title=""/>
              <o:lock v:ext="edit" aspectratio="f"/>
              <v:textbox inset="0mm,0mm,0mm,0mm" style="mso-fit-shape-to-text:t;">
                <w:txbxContent>
                  <w:p w14:paraId="3D64A50D">
                    <w:pPr>
                      <w:pStyle w:val="9"/>
                      <w:tabs>
                        <w:tab w:val="right" w:pos="8306"/>
                        <w:tab w:val="clear" w:pos="8307"/>
                      </w:tabs>
                      <w:rPr>
                        <w:rFonts w:hint="eastAsia" w:ascii="仿宋_GB2312" w:hAnsi="仿宋_GB2312" w:eastAsia="仿宋_GB2312" w:cs="仿宋_GB2312"/>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5125B">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2EA2CB">
                          <w:pPr>
                            <w:pStyle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62EA2CB">
                    <w:pPr>
                      <w:pStyle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iNWM2NzFiNGE3OTNiYzRjYzE1YzAyM2JjMGJiMzgifQ=="/>
  </w:docVars>
  <w:rsids>
    <w:rsidRoot w:val="061B5EB5"/>
    <w:rsid w:val="00292BAB"/>
    <w:rsid w:val="025739FF"/>
    <w:rsid w:val="02B50726"/>
    <w:rsid w:val="04361FAD"/>
    <w:rsid w:val="043B4E93"/>
    <w:rsid w:val="056D52E8"/>
    <w:rsid w:val="05F17CC7"/>
    <w:rsid w:val="061B5EB5"/>
    <w:rsid w:val="07CF0913"/>
    <w:rsid w:val="08631BC0"/>
    <w:rsid w:val="0DEE63E2"/>
    <w:rsid w:val="0F573296"/>
    <w:rsid w:val="1267239D"/>
    <w:rsid w:val="13A26AA4"/>
    <w:rsid w:val="14B01ADA"/>
    <w:rsid w:val="15B27B83"/>
    <w:rsid w:val="15F30D5B"/>
    <w:rsid w:val="17C452E2"/>
    <w:rsid w:val="18E331FF"/>
    <w:rsid w:val="19D43730"/>
    <w:rsid w:val="1BD73255"/>
    <w:rsid w:val="1C432171"/>
    <w:rsid w:val="1C8E5E18"/>
    <w:rsid w:val="1CAD0C9D"/>
    <w:rsid w:val="1F176795"/>
    <w:rsid w:val="20FD356C"/>
    <w:rsid w:val="211A105F"/>
    <w:rsid w:val="21BE0B17"/>
    <w:rsid w:val="231150AD"/>
    <w:rsid w:val="23714290"/>
    <w:rsid w:val="26321899"/>
    <w:rsid w:val="276B2280"/>
    <w:rsid w:val="27C60A38"/>
    <w:rsid w:val="27FF4ECA"/>
    <w:rsid w:val="28D23530"/>
    <w:rsid w:val="2B9479DB"/>
    <w:rsid w:val="2C0E6191"/>
    <w:rsid w:val="2C361F29"/>
    <w:rsid w:val="2CD24E6A"/>
    <w:rsid w:val="2DB056EA"/>
    <w:rsid w:val="2DF806AC"/>
    <w:rsid w:val="2EE25666"/>
    <w:rsid w:val="2F7B1EEE"/>
    <w:rsid w:val="305E0BE8"/>
    <w:rsid w:val="315947EF"/>
    <w:rsid w:val="31D04385"/>
    <w:rsid w:val="323B5CA2"/>
    <w:rsid w:val="32B36180"/>
    <w:rsid w:val="332735FA"/>
    <w:rsid w:val="33C9155B"/>
    <w:rsid w:val="362E1E75"/>
    <w:rsid w:val="37953F1F"/>
    <w:rsid w:val="38263A06"/>
    <w:rsid w:val="391B557F"/>
    <w:rsid w:val="39E135D3"/>
    <w:rsid w:val="3D53193B"/>
    <w:rsid w:val="3DD96E06"/>
    <w:rsid w:val="3DDC6721"/>
    <w:rsid w:val="3E7C23BD"/>
    <w:rsid w:val="3FF240EE"/>
    <w:rsid w:val="40777904"/>
    <w:rsid w:val="40CE4185"/>
    <w:rsid w:val="42ED1F8F"/>
    <w:rsid w:val="47081502"/>
    <w:rsid w:val="47D7716F"/>
    <w:rsid w:val="4A483073"/>
    <w:rsid w:val="4B5A58D2"/>
    <w:rsid w:val="4B6951F0"/>
    <w:rsid w:val="4E497E8D"/>
    <w:rsid w:val="4E734BC1"/>
    <w:rsid w:val="4EB36399"/>
    <w:rsid w:val="4FC21359"/>
    <w:rsid w:val="5092320B"/>
    <w:rsid w:val="50A13664"/>
    <w:rsid w:val="537C2C32"/>
    <w:rsid w:val="56B344D1"/>
    <w:rsid w:val="56CD1985"/>
    <w:rsid w:val="5822508B"/>
    <w:rsid w:val="59553AD8"/>
    <w:rsid w:val="59D30166"/>
    <w:rsid w:val="5B2E255B"/>
    <w:rsid w:val="5B7E04B2"/>
    <w:rsid w:val="5C742A74"/>
    <w:rsid w:val="5C961BA3"/>
    <w:rsid w:val="617A1A94"/>
    <w:rsid w:val="6220088D"/>
    <w:rsid w:val="64746C6E"/>
    <w:rsid w:val="6476245E"/>
    <w:rsid w:val="68DA5E1D"/>
    <w:rsid w:val="696E0130"/>
    <w:rsid w:val="6AFE7291"/>
    <w:rsid w:val="6CE91B4D"/>
    <w:rsid w:val="6D895BE1"/>
    <w:rsid w:val="6E6D2EA6"/>
    <w:rsid w:val="70643F23"/>
    <w:rsid w:val="70C46044"/>
    <w:rsid w:val="71445C1A"/>
    <w:rsid w:val="72E45046"/>
    <w:rsid w:val="747813DC"/>
    <w:rsid w:val="757001D3"/>
    <w:rsid w:val="761F7480"/>
    <w:rsid w:val="794B223C"/>
    <w:rsid w:val="7A4E4952"/>
    <w:rsid w:val="7B876E2F"/>
    <w:rsid w:val="7C43544C"/>
    <w:rsid w:val="7C8956BE"/>
    <w:rsid w:val="7D9E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4">
    <w:name w:val="Default Paragraph Font"/>
    <w:link w:val="15"/>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2">
    <w:name w:val="index 6"/>
    <w:basedOn w:val="1"/>
    <w:next w:val="1"/>
    <w:qFormat/>
    <w:uiPriority w:val="0"/>
    <w:pPr>
      <w:ind w:left="2100"/>
    </w:pPr>
  </w:style>
  <w:style w:type="paragraph" w:styleId="3">
    <w:name w:val="index 5"/>
    <w:basedOn w:val="1"/>
    <w:next w:val="1"/>
    <w:autoRedefine/>
    <w:qFormat/>
    <w:uiPriority w:val="0"/>
    <w:pPr>
      <w:ind w:left="1680"/>
    </w:pPr>
  </w:style>
  <w:style w:type="paragraph" w:styleId="4">
    <w:name w:val="Body Text"/>
    <w:basedOn w:val="1"/>
    <w:next w:val="5"/>
    <w:autoRedefine/>
    <w:qFormat/>
    <w:uiPriority w:val="0"/>
    <w:pPr>
      <w:spacing w:after="120"/>
    </w:pPr>
    <w:rPr>
      <w:rFonts w:eastAsia="仿宋_GB2312"/>
      <w:sz w:val="32"/>
      <w:szCs w:val="32"/>
    </w:rPr>
  </w:style>
  <w:style w:type="paragraph" w:customStyle="1" w:styleId="5">
    <w:name w:val="p0"/>
    <w:next w:val="6"/>
    <w:qFormat/>
    <w:uiPriority w:val="0"/>
    <w:pPr>
      <w:jc w:val="both"/>
    </w:pPr>
    <w:rPr>
      <w:rFonts w:ascii="Times New Roman" w:hAnsi="Times New Roman" w:eastAsia="宋体" w:cs="Times New Roman"/>
      <w:kern w:val="2"/>
      <w:sz w:val="21"/>
      <w:lang w:val="en-US" w:eastAsia="zh-CN" w:bidi="ar-SA"/>
    </w:rPr>
  </w:style>
  <w:style w:type="paragraph" w:styleId="6">
    <w:name w:val="index 9"/>
    <w:basedOn w:val="1"/>
    <w:next w:val="1"/>
    <w:qFormat/>
    <w:uiPriority w:val="0"/>
    <w:pPr>
      <w:ind w:left="3360"/>
    </w:pPr>
  </w:style>
  <w:style w:type="paragraph" w:styleId="7">
    <w:name w:val="Body Text Indent"/>
    <w:basedOn w:val="1"/>
    <w:qFormat/>
    <w:uiPriority w:val="0"/>
    <w:pPr>
      <w:spacing w:after="120"/>
      <w:ind w:left="420" w:leftChars="200"/>
    </w:pPr>
  </w:style>
  <w:style w:type="paragraph" w:styleId="8">
    <w:name w:val="Body Text Indent 2"/>
    <w:basedOn w:val="1"/>
    <w:next w:val="4"/>
    <w:qFormat/>
    <w:uiPriority w:val="0"/>
    <w:pPr>
      <w:adjustRightInd w:val="0"/>
      <w:spacing w:line="360" w:lineRule="auto"/>
      <w:ind w:firstLine="200" w:firstLineChars="200"/>
      <w:textAlignment w:val="baseline"/>
    </w:pPr>
    <w:rPr>
      <w:rFonts w:ascii="宋体"/>
      <w:sz w:val="28"/>
      <w:lang w:bidi="he-IL"/>
    </w:rPr>
  </w:style>
  <w:style w:type="paragraph" w:styleId="9">
    <w:name w:val="footer"/>
    <w:basedOn w:val="1"/>
    <w:qFormat/>
    <w:uiPriority w:val="0"/>
    <w:pPr>
      <w:tabs>
        <w:tab w:val="center" w:pos="4153"/>
        <w:tab w:val="right" w:pos="8307"/>
      </w:tabs>
      <w:snapToGrid w:val="0"/>
      <w:jc w:val="left"/>
    </w:pPr>
    <w:rPr>
      <w:sz w:val="18"/>
    </w:rPr>
  </w:style>
  <w:style w:type="paragraph" w:styleId="10">
    <w:name w:val="header"/>
    <w:basedOn w:val="1"/>
    <w:autoRedefine/>
    <w:qFormat/>
    <w:uiPriority w:val="0"/>
    <w:pPr>
      <w:pBdr>
        <w:bottom w:val="single" w:color="auto" w:sz="6" w:space="1"/>
      </w:pBdr>
      <w:tabs>
        <w:tab w:val="center" w:pos="4153"/>
        <w:tab w:val="right" w:pos="8307"/>
      </w:tabs>
      <w:snapToGrid w:val="0"/>
      <w:jc w:val="center"/>
    </w:pPr>
    <w:rPr>
      <w:sz w:val="18"/>
    </w:rPr>
  </w:style>
  <w:style w:type="paragraph" w:styleId="11">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styleId="12">
    <w:name w:val="Body Text First Indent 2"/>
    <w:basedOn w:val="7"/>
    <w:qFormat/>
    <w:uiPriority w:val="0"/>
    <w:pPr>
      <w:ind w:firstLine="420" w:firstLineChars="200"/>
    </w:pPr>
  </w:style>
  <w:style w:type="paragraph" w:customStyle="1" w:styleId="15">
    <w:name w:val=" Char Char Char Char1 Char Char Char Char"/>
    <w:basedOn w:val="1"/>
    <w:link w:val="14"/>
    <w:autoRedefine/>
    <w:qFormat/>
    <w:uiPriority w:val="0"/>
  </w:style>
  <w:style w:type="character" w:styleId="16">
    <w:name w:val="page number"/>
    <w:basedOn w:val="14"/>
    <w:autoRedefine/>
    <w:qFormat/>
    <w:uiPriority w:val="0"/>
  </w:style>
  <w:style w:type="paragraph" w:customStyle="1" w:styleId="17">
    <w:name w:val="Heading3"/>
    <w:basedOn w:val="1"/>
    <w:next w:val="1"/>
    <w:qFormat/>
    <w:uiPriority w:val="0"/>
    <w:pPr>
      <w:keepNext/>
      <w:keepLines/>
      <w:spacing w:before="260" w:after="260" w:line="416" w:lineRule="auto"/>
      <w:textAlignment w:val="baseline"/>
    </w:pPr>
    <w:rPr>
      <w:rFonts w:ascii="Times New Roman" w:hAnsi="Times New Roman" w:cs="Times New Roman"/>
      <w:b/>
      <w:bCs/>
      <w:sz w:val="32"/>
      <w:szCs w:val="32"/>
    </w:rPr>
  </w:style>
  <w:style w:type="character" w:customStyle="1" w:styleId="18">
    <w:name w:val="s2"/>
    <w:basedOn w:val="14"/>
    <w:autoRedefine/>
    <w:qFormat/>
    <w:uiPriority w:val="0"/>
  </w:style>
  <w:style w:type="paragraph" w:customStyle="1" w:styleId="19">
    <w:name w:val=" Char Char Char Char Char Char"/>
    <w:basedOn w:val="1"/>
    <w:autoRedefine/>
    <w:qFormat/>
    <w:uiPriority w:val="0"/>
    <w:pPr>
      <w:widowControl/>
      <w:spacing w:after="160" w:line="240" w:lineRule="exact"/>
      <w:jc w:val="left"/>
    </w:pPr>
    <w:rPr>
      <w:rFonts w:eastAsia="仿宋_GB2312"/>
      <w:snapToGrid w:val="0"/>
      <w:sz w:val="32"/>
      <w:szCs w:val="32"/>
    </w:rPr>
  </w:style>
  <w:style w:type="character" w:customStyle="1" w:styleId="20">
    <w:name w:val="s3"/>
    <w:basedOn w:val="14"/>
    <w:autoRedefine/>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4939</Words>
  <Characters>4970</Characters>
  <Lines>0</Lines>
  <Paragraphs>0</Paragraphs>
  <TotalTime>6</TotalTime>
  <ScaleCrop>false</ScaleCrop>
  <LinksUpToDate>false</LinksUpToDate>
  <CharactersWithSpaces>4970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2019-12-09T10:40:00Z</dcterms:created>
  <dc:creator>Administrator</dc:creator>
  <cp:lastModifiedBy>下雪了</cp:lastModifiedBy>
  <cp:lastPrinted>2026-08-31T06:42:00Z</cp:lastPrinted>
  <dcterms:modified xsi:type="dcterms:W3CDTF">2026-09-04T01:04:24Z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F01D41D01A9F42F6BFA985BB99DEA8FF_13</vt:lpwstr>
  </property>
  <property fmtid="{D5CDD505-2E9C-101B-9397-08002B2CF9AE}" pid="4" name="KSOTemplateDocerSaveRecord">
    <vt:lpwstr>eyJoZGlkIjoiZWJlYTcxMmY5OGNjMmZmNTQzMDczMjFhYmMzYzBlNWYiLCJ1c2VySWQiOiI0NjE0ODIyMTgifQ==</vt:lpwstr>
  </property>
</Properties>
</file>