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828006">
      <w:pPr>
        <w:pStyle w:val="12"/>
        <w:keepNext w:val="0"/>
        <w:keepLines w:val="0"/>
        <w:pageBreakBefore w:val="0"/>
        <w:wordWrap/>
        <w:overflowPunct/>
        <w:topLinePunct w:val="0"/>
        <w:autoSpaceDE w:val="0"/>
        <w:autoSpaceDN w:val="0"/>
        <w:bidi w:val="0"/>
        <w:adjustRightInd w:val="0"/>
        <w:spacing w:line="360" w:lineRule="auto"/>
        <w:ind w:left="0" w:right="0"/>
        <w:jc w:val="center"/>
        <w:textAlignment w:val="baseline"/>
        <w:rPr>
          <w:rFonts w:hint="eastAsia" w:ascii="Times New Roman" w:hAnsi="Times New Roman" w:eastAsia="宋体" w:cs="宋体"/>
          <w:b/>
          <w:bCs/>
          <w:color w:val="auto"/>
          <w:spacing w:val="-5"/>
          <w:sz w:val="48"/>
          <w:szCs w:val="48"/>
          <w:lang w:val="en-US" w:eastAsia="zh-CN"/>
        </w:rPr>
      </w:pPr>
    </w:p>
    <w:p w14:paraId="56D70CE4">
      <w:pPr>
        <w:pStyle w:val="12"/>
        <w:keepNext w:val="0"/>
        <w:keepLines w:val="0"/>
        <w:pageBreakBefore w:val="0"/>
        <w:wordWrap/>
        <w:overflowPunct/>
        <w:topLinePunct w:val="0"/>
        <w:autoSpaceDE w:val="0"/>
        <w:autoSpaceDN w:val="0"/>
        <w:bidi w:val="0"/>
        <w:adjustRightInd w:val="0"/>
        <w:spacing w:line="360" w:lineRule="auto"/>
        <w:ind w:left="0" w:right="0"/>
        <w:jc w:val="center"/>
        <w:textAlignment w:val="baseline"/>
        <w:rPr>
          <w:rFonts w:hint="eastAsia" w:ascii="Times New Roman" w:hAnsi="Times New Roman" w:eastAsia="宋体" w:cs="宋体"/>
          <w:b/>
          <w:bCs/>
          <w:color w:val="auto"/>
          <w:spacing w:val="-5"/>
          <w:sz w:val="44"/>
          <w:szCs w:val="44"/>
          <w:lang w:val="en-US" w:eastAsia="zh-CN"/>
        </w:rPr>
      </w:pPr>
      <w:r>
        <w:rPr>
          <w:rFonts w:hint="eastAsia" w:ascii="Times New Roman" w:hAnsi="Times New Roman" w:eastAsia="宋体" w:cs="宋体"/>
          <w:b/>
          <w:bCs/>
          <w:color w:val="auto"/>
          <w:spacing w:val="-5"/>
          <w:sz w:val="44"/>
          <w:szCs w:val="44"/>
          <w:lang w:val="en-US" w:eastAsia="zh-CN"/>
        </w:rPr>
        <w:t>甘肃亿佳源农业发展有限公司</w:t>
      </w:r>
    </w:p>
    <w:p w14:paraId="4F1EDBA9">
      <w:pPr>
        <w:pStyle w:val="12"/>
        <w:keepNext w:val="0"/>
        <w:keepLines w:val="0"/>
        <w:pageBreakBefore w:val="0"/>
        <w:wordWrap/>
        <w:overflowPunct/>
        <w:topLinePunct w:val="0"/>
        <w:autoSpaceDE w:val="0"/>
        <w:autoSpaceDN w:val="0"/>
        <w:bidi w:val="0"/>
        <w:adjustRightInd w:val="0"/>
        <w:spacing w:line="360" w:lineRule="auto"/>
        <w:ind w:left="0" w:right="0"/>
        <w:jc w:val="center"/>
        <w:textAlignment w:val="baseline"/>
        <w:rPr>
          <w:rFonts w:hint="default" w:ascii="Times New Roman" w:hAnsi="Times New Roman" w:eastAsia="宋体" w:cs="宋体"/>
          <w:b/>
          <w:bCs/>
          <w:color w:val="auto"/>
          <w:spacing w:val="-5"/>
          <w:sz w:val="40"/>
          <w:szCs w:val="40"/>
          <w:lang w:val="en-US" w:eastAsia="zh-CN"/>
        </w:rPr>
      </w:pPr>
      <w:r>
        <w:rPr>
          <w:rFonts w:hint="eastAsia" w:ascii="Times New Roman" w:hAnsi="Times New Roman" w:eastAsia="宋体" w:cs="宋体"/>
          <w:b/>
          <w:bCs/>
          <w:color w:val="auto"/>
          <w:spacing w:val="-5"/>
          <w:sz w:val="44"/>
          <w:szCs w:val="44"/>
          <w:lang w:val="en-US" w:eastAsia="zh-CN"/>
        </w:rPr>
        <w:t>马铃薯淀粉加工汁水综合利用试点工作</w:t>
      </w:r>
    </w:p>
    <w:p w14:paraId="286EDF53">
      <w:pPr>
        <w:keepNext w:val="0"/>
        <w:keepLines w:val="0"/>
        <w:pageBreakBefore w:val="0"/>
        <w:wordWrap/>
        <w:overflowPunct/>
        <w:topLinePunct w:val="0"/>
        <w:autoSpaceDE w:val="0"/>
        <w:autoSpaceDN w:val="0"/>
        <w:bidi w:val="0"/>
        <w:adjustRightInd w:val="0"/>
        <w:spacing w:line="360" w:lineRule="auto"/>
        <w:ind w:left="0" w:right="0"/>
        <w:textAlignment w:val="baseline"/>
        <w:rPr>
          <w:rFonts w:hint="eastAsia" w:ascii="Times New Roman" w:hAnsi="Times New Roman" w:eastAsia="宋体" w:cs="宋体"/>
          <w:color w:val="auto"/>
          <w:spacing w:val="8"/>
          <w:sz w:val="55"/>
          <w:szCs w:val="55"/>
          <w:lang w:val="en-US" w:eastAsia="zh-CN"/>
        </w:rPr>
      </w:pPr>
    </w:p>
    <w:p w14:paraId="37645A22">
      <w:pPr>
        <w:keepNext w:val="0"/>
        <w:keepLines w:val="0"/>
        <w:pageBreakBefore w:val="0"/>
        <w:wordWrap/>
        <w:overflowPunct/>
        <w:topLinePunct w:val="0"/>
        <w:autoSpaceDE w:val="0"/>
        <w:autoSpaceDN w:val="0"/>
        <w:bidi w:val="0"/>
        <w:adjustRightInd w:val="0"/>
        <w:spacing w:line="360" w:lineRule="auto"/>
        <w:ind w:left="0" w:right="0"/>
        <w:textAlignment w:val="baseline"/>
        <w:rPr>
          <w:rFonts w:hint="eastAsia" w:ascii="Times New Roman" w:hAnsi="Times New Roman" w:eastAsia="宋体" w:cs="宋体"/>
          <w:color w:val="auto"/>
          <w:spacing w:val="8"/>
          <w:sz w:val="55"/>
          <w:szCs w:val="55"/>
          <w:lang w:val="en-US" w:eastAsia="zh-CN"/>
        </w:rPr>
      </w:pPr>
    </w:p>
    <w:p w14:paraId="30BC2791">
      <w:pPr>
        <w:keepNext w:val="0"/>
        <w:keepLines w:val="0"/>
        <w:pageBreakBefore w:val="0"/>
        <w:wordWrap/>
        <w:overflowPunct/>
        <w:topLinePunct w:val="0"/>
        <w:autoSpaceDE w:val="0"/>
        <w:autoSpaceDN w:val="0"/>
        <w:bidi w:val="0"/>
        <w:adjustRightInd w:val="0"/>
        <w:spacing w:line="360" w:lineRule="auto"/>
        <w:ind w:left="0" w:right="0"/>
        <w:textAlignment w:val="baseline"/>
        <w:rPr>
          <w:rFonts w:hint="eastAsia" w:ascii="Times New Roman" w:hAnsi="Times New Roman" w:eastAsia="宋体" w:cs="宋体"/>
          <w:color w:val="auto"/>
          <w:spacing w:val="8"/>
          <w:sz w:val="55"/>
          <w:szCs w:val="55"/>
          <w:lang w:val="en-US" w:eastAsia="zh-CN"/>
        </w:rPr>
      </w:pPr>
    </w:p>
    <w:p w14:paraId="629236EF">
      <w:pPr>
        <w:keepNext w:val="0"/>
        <w:keepLines w:val="0"/>
        <w:pageBreakBefore w:val="0"/>
        <w:wordWrap/>
        <w:overflowPunct/>
        <w:topLinePunct w:val="0"/>
        <w:autoSpaceDE w:val="0"/>
        <w:autoSpaceDN w:val="0"/>
        <w:bidi w:val="0"/>
        <w:adjustRightInd w:val="0"/>
        <w:spacing w:line="360" w:lineRule="auto"/>
        <w:ind w:left="0" w:right="0"/>
        <w:jc w:val="center"/>
        <w:textAlignment w:val="baseline"/>
        <w:rPr>
          <w:rFonts w:hint="eastAsia" w:ascii="Times New Roman" w:hAnsi="Times New Roman" w:eastAsia="宋体" w:cs="宋体"/>
          <w:b/>
          <w:bCs/>
          <w:snapToGrid w:val="0"/>
          <w:color w:val="auto"/>
          <w:spacing w:val="-5"/>
          <w:kern w:val="0"/>
          <w:sz w:val="52"/>
          <w:szCs w:val="52"/>
          <w:lang w:val="en-US" w:eastAsia="zh-CN" w:bidi="ar-SA"/>
        </w:rPr>
      </w:pPr>
      <w:r>
        <w:rPr>
          <w:rFonts w:hint="eastAsia" w:ascii="Times New Roman" w:hAnsi="Times New Roman" w:eastAsia="宋体" w:cs="宋体"/>
          <w:b/>
          <w:bCs/>
          <w:snapToGrid w:val="0"/>
          <w:color w:val="auto"/>
          <w:spacing w:val="-5"/>
          <w:kern w:val="0"/>
          <w:sz w:val="52"/>
          <w:szCs w:val="52"/>
          <w:lang w:val="en-US" w:eastAsia="zh-CN" w:bidi="ar-SA"/>
        </w:rPr>
        <w:t>实施方案</w:t>
      </w:r>
    </w:p>
    <w:p w14:paraId="185B1FA3">
      <w:pPr>
        <w:keepNext w:val="0"/>
        <w:keepLines w:val="0"/>
        <w:pageBreakBefore w:val="0"/>
        <w:wordWrap/>
        <w:overflowPunct/>
        <w:topLinePunct w:val="0"/>
        <w:autoSpaceDE w:val="0"/>
        <w:autoSpaceDN w:val="0"/>
        <w:bidi w:val="0"/>
        <w:adjustRightInd w:val="0"/>
        <w:spacing w:line="360" w:lineRule="auto"/>
        <w:ind w:left="0" w:right="0"/>
        <w:textAlignment w:val="baseline"/>
        <w:rPr>
          <w:rFonts w:ascii="Times New Roman" w:hAnsi="Times New Roman" w:eastAsia="宋体" w:cs="宋体"/>
          <w:color w:val="auto"/>
          <w:spacing w:val="8"/>
          <w:sz w:val="55"/>
          <w:szCs w:val="55"/>
        </w:rPr>
      </w:pPr>
    </w:p>
    <w:p w14:paraId="43EB9CDA">
      <w:pPr>
        <w:keepNext w:val="0"/>
        <w:keepLines w:val="0"/>
        <w:pageBreakBefore w:val="0"/>
        <w:wordWrap/>
        <w:overflowPunct/>
        <w:topLinePunct w:val="0"/>
        <w:autoSpaceDE w:val="0"/>
        <w:autoSpaceDN w:val="0"/>
        <w:bidi w:val="0"/>
        <w:adjustRightInd w:val="0"/>
        <w:spacing w:line="360" w:lineRule="auto"/>
        <w:ind w:left="0" w:right="0"/>
        <w:textAlignment w:val="baseline"/>
        <w:rPr>
          <w:rFonts w:ascii="Times New Roman" w:hAnsi="Times New Roman" w:eastAsia="宋体" w:cs="宋体"/>
          <w:color w:val="auto"/>
          <w:spacing w:val="8"/>
          <w:sz w:val="55"/>
          <w:szCs w:val="55"/>
        </w:rPr>
      </w:pPr>
    </w:p>
    <w:p w14:paraId="53D2F775">
      <w:pPr>
        <w:keepNext w:val="0"/>
        <w:keepLines w:val="0"/>
        <w:pageBreakBefore w:val="0"/>
        <w:wordWrap/>
        <w:overflowPunct/>
        <w:topLinePunct w:val="0"/>
        <w:autoSpaceDE w:val="0"/>
        <w:autoSpaceDN w:val="0"/>
        <w:bidi w:val="0"/>
        <w:adjustRightInd w:val="0"/>
        <w:spacing w:line="360" w:lineRule="auto"/>
        <w:ind w:left="0" w:right="0"/>
        <w:textAlignment w:val="baseline"/>
        <w:rPr>
          <w:rFonts w:ascii="Times New Roman" w:hAnsi="Times New Roman" w:eastAsia="宋体" w:cs="宋体"/>
          <w:color w:val="auto"/>
          <w:spacing w:val="8"/>
          <w:sz w:val="55"/>
          <w:szCs w:val="55"/>
        </w:rPr>
      </w:pPr>
    </w:p>
    <w:p w14:paraId="725CEEE9">
      <w:pPr>
        <w:keepNext w:val="0"/>
        <w:keepLines w:val="0"/>
        <w:pageBreakBefore w:val="0"/>
        <w:wordWrap/>
        <w:overflowPunct/>
        <w:topLinePunct w:val="0"/>
        <w:autoSpaceDE w:val="0"/>
        <w:autoSpaceDN w:val="0"/>
        <w:bidi w:val="0"/>
        <w:adjustRightInd w:val="0"/>
        <w:spacing w:line="360" w:lineRule="auto"/>
        <w:ind w:left="0" w:right="0"/>
        <w:textAlignment w:val="baseline"/>
        <w:rPr>
          <w:rFonts w:ascii="Times New Roman" w:hAnsi="Times New Roman" w:eastAsia="宋体" w:cs="宋体"/>
          <w:color w:val="auto"/>
          <w:spacing w:val="8"/>
          <w:sz w:val="55"/>
          <w:szCs w:val="55"/>
        </w:r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49"/>
        <w:gridCol w:w="5573"/>
      </w:tblGrid>
      <w:tr w14:paraId="3967C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49" w:type="dxa"/>
            <w:tcBorders>
              <w:tl2br w:val="nil"/>
              <w:tr2bl w:val="nil"/>
            </w:tcBorders>
            <w:vAlign w:val="top"/>
          </w:tcPr>
          <w:p w14:paraId="73F78F7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right"/>
              <w:textAlignment w:val="baseline"/>
              <w:rPr>
                <w:rFonts w:hint="default" w:ascii="Times New Roman" w:hAnsi="Times New Roman" w:eastAsia="宋体" w:cs="宋体"/>
                <w:b/>
                <w:bCs/>
                <w:color w:val="auto"/>
                <w:spacing w:val="7"/>
                <w:sz w:val="28"/>
                <w:szCs w:val="28"/>
                <w:lang w:val="en-US" w:eastAsia="zh-CN"/>
              </w:rPr>
            </w:pPr>
            <w:r>
              <w:rPr>
                <w:rFonts w:hint="eastAsia" w:ascii="Times New Roman" w:hAnsi="Times New Roman" w:eastAsia="宋体" w:cs="宋体"/>
                <w:b/>
                <w:bCs/>
                <w:color w:val="auto"/>
                <w:spacing w:val="7"/>
                <w:sz w:val="28"/>
                <w:szCs w:val="28"/>
                <w:lang w:val="en-US" w:eastAsia="zh-CN"/>
              </w:rPr>
              <w:t>建设单位：</w:t>
            </w:r>
          </w:p>
        </w:tc>
        <w:tc>
          <w:tcPr>
            <w:tcW w:w="5573" w:type="dxa"/>
            <w:tcBorders>
              <w:tl2br w:val="nil"/>
              <w:tr2bl w:val="nil"/>
            </w:tcBorders>
            <w:vAlign w:val="top"/>
          </w:tcPr>
          <w:p w14:paraId="6FB1BA1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both"/>
              <w:textAlignment w:val="baseline"/>
              <w:rPr>
                <w:rFonts w:hint="eastAsia" w:ascii="Times New Roman" w:hAnsi="Times New Roman" w:eastAsia="宋体" w:cs="宋体"/>
                <w:b/>
                <w:bCs/>
                <w:color w:val="auto"/>
                <w:spacing w:val="7"/>
                <w:sz w:val="28"/>
                <w:szCs w:val="28"/>
                <w:lang w:val="en-US" w:eastAsia="zh-CN"/>
              </w:rPr>
            </w:pPr>
            <w:r>
              <w:rPr>
                <w:rFonts w:hint="eastAsia" w:ascii="Times New Roman" w:hAnsi="Times New Roman" w:eastAsia="宋体" w:cs="宋体"/>
                <w:b/>
                <w:bCs/>
                <w:color w:val="auto"/>
                <w:spacing w:val="7"/>
                <w:sz w:val="28"/>
                <w:szCs w:val="28"/>
                <w:lang w:val="en-US" w:eastAsia="zh-CN"/>
              </w:rPr>
              <w:t>甘肃亿佳源农业发展有限公司</w:t>
            </w:r>
          </w:p>
        </w:tc>
      </w:tr>
      <w:tr w14:paraId="2BB7C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49" w:type="dxa"/>
            <w:tcBorders>
              <w:tl2br w:val="nil"/>
              <w:tr2bl w:val="nil"/>
            </w:tcBorders>
            <w:vAlign w:val="top"/>
          </w:tcPr>
          <w:p w14:paraId="5049412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right"/>
              <w:textAlignment w:val="baseline"/>
              <w:rPr>
                <w:rFonts w:hint="default" w:ascii="Times New Roman" w:hAnsi="Times New Roman" w:eastAsia="宋体" w:cs="宋体"/>
                <w:b/>
                <w:bCs/>
                <w:color w:val="auto"/>
                <w:spacing w:val="7"/>
                <w:sz w:val="28"/>
                <w:szCs w:val="28"/>
                <w:lang w:val="en-US" w:eastAsia="zh-CN"/>
              </w:rPr>
            </w:pPr>
            <w:r>
              <w:rPr>
                <w:rFonts w:hint="eastAsia" w:ascii="Times New Roman" w:hAnsi="Times New Roman" w:eastAsia="宋体" w:cs="宋体"/>
                <w:b/>
                <w:bCs/>
                <w:color w:val="auto"/>
                <w:spacing w:val="7"/>
                <w:sz w:val="28"/>
                <w:szCs w:val="28"/>
                <w:lang w:val="en-US" w:eastAsia="zh-CN"/>
              </w:rPr>
              <w:t>编制单位：</w:t>
            </w:r>
          </w:p>
        </w:tc>
        <w:tc>
          <w:tcPr>
            <w:tcW w:w="5573" w:type="dxa"/>
            <w:tcBorders>
              <w:tl2br w:val="nil"/>
              <w:tr2bl w:val="nil"/>
            </w:tcBorders>
            <w:vAlign w:val="top"/>
          </w:tcPr>
          <w:p w14:paraId="06EA858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both"/>
              <w:textAlignment w:val="baseline"/>
              <w:rPr>
                <w:rFonts w:hint="eastAsia" w:ascii="Times New Roman" w:hAnsi="Times New Roman" w:eastAsia="宋体" w:cs="宋体"/>
                <w:b/>
                <w:bCs/>
                <w:color w:val="auto"/>
                <w:spacing w:val="7"/>
                <w:sz w:val="28"/>
                <w:szCs w:val="28"/>
                <w:lang w:val="en-US" w:eastAsia="zh-CN"/>
              </w:rPr>
            </w:pPr>
            <w:r>
              <w:rPr>
                <w:rFonts w:hint="eastAsia" w:ascii="Times New Roman" w:hAnsi="Times New Roman" w:eastAsia="宋体" w:cs="宋体"/>
                <w:b/>
                <w:bCs/>
                <w:color w:val="auto"/>
                <w:spacing w:val="7"/>
                <w:sz w:val="28"/>
                <w:szCs w:val="28"/>
                <w:lang w:val="en-US" w:eastAsia="zh-CN"/>
              </w:rPr>
              <w:t>西部（甘肃）生态环境工程有限公司</w:t>
            </w:r>
          </w:p>
        </w:tc>
      </w:tr>
      <w:tr w14:paraId="21B8A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49" w:type="dxa"/>
            <w:tcBorders>
              <w:tl2br w:val="nil"/>
              <w:tr2bl w:val="nil"/>
            </w:tcBorders>
            <w:vAlign w:val="top"/>
          </w:tcPr>
          <w:p w14:paraId="58C26B9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right"/>
              <w:textAlignment w:val="baseline"/>
              <w:rPr>
                <w:rFonts w:hint="eastAsia" w:ascii="Times New Roman" w:hAnsi="Times New Roman" w:eastAsia="宋体" w:cs="宋体"/>
                <w:b/>
                <w:bCs/>
                <w:color w:val="auto"/>
                <w:spacing w:val="7"/>
                <w:sz w:val="28"/>
                <w:szCs w:val="28"/>
                <w:lang w:val="en-US" w:eastAsia="zh-CN"/>
              </w:rPr>
            </w:pPr>
            <w:r>
              <w:rPr>
                <w:rFonts w:hint="eastAsia" w:ascii="Times New Roman" w:hAnsi="Times New Roman" w:eastAsia="宋体" w:cs="宋体"/>
                <w:b/>
                <w:bCs/>
                <w:color w:val="auto"/>
                <w:spacing w:val="7"/>
                <w:sz w:val="28"/>
                <w:szCs w:val="28"/>
                <w:lang w:val="en-US" w:eastAsia="zh-CN"/>
              </w:rPr>
              <w:t>编制日期：</w:t>
            </w:r>
          </w:p>
        </w:tc>
        <w:tc>
          <w:tcPr>
            <w:tcW w:w="5573" w:type="dxa"/>
            <w:tcBorders>
              <w:tl2br w:val="nil"/>
              <w:tr2bl w:val="nil"/>
            </w:tcBorders>
            <w:vAlign w:val="top"/>
          </w:tcPr>
          <w:p w14:paraId="25566C0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both"/>
              <w:textAlignment w:val="baseline"/>
              <w:rPr>
                <w:rFonts w:hint="eastAsia" w:ascii="Times New Roman" w:hAnsi="Times New Roman" w:eastAsia="宋体" w:cs="宋体"/>
                <w:b/>
                <w:bCs/>
                <w:color w:val="auto"/>
                <w:spacing w:val="7"/>
                <w:sz w:val="28"/>
                <w:szCs w:val="28"/>
                <w:lang w:val="en-US" w:eastAsia="zh-CN"/>
              </w:rPr>
            </w:pPr>
            <w:r>
              <w:rPr>
                <w:rFonts w:hint="eastAsia" w:ascii="Times New Roman" w:hAnsi="Times New Roman" w:eastAsia="宋体" w:cs="宋体"/>
                <w:b/>
                <w:bCs/>
                <w:color w:val="auto"/>
                <w:spacing w:val="7"/>
                <w:sz w:val="28"/>
                <w:szCs w:val="28"/>
                <w:lang w:val="en-US" w:eastAsia="zh-CN"/>
              </w:rPr>
              <w:t>二〇二五年六月</w:t>
            </w:r>
          </w:p>
        </w:tc>
      </w:tr>
    </w:tbl>
    <w:p w14:paraId="50F5812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both"/>
        <w:textAlignment w:val="baseline"/>
        <w:rPr>
          <w:rFonts w:hint="default" w:ascii="Times New Roman" w:hAnsi="Times New Roman" w:eastAsia="宋体" w:cs="宋体"/>
          <w:b/>
          <w:bCs/>
          <w:color w:val="auto"/>
          <w:spacing w:val="7"/>
          <w:sz w:val="31"/>
          <w:szCs w:val="31"/>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p>
    <w:p w14:paraId="503A3D51">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宋体"/>
          <w:b/>
          <w:bCs/>
          <w:color w:val="auto"/>
          <w:sz w:val="28"/>
          <w:szCs w:val="28"/>
          <w:lang w:val="en-US" w:eastAsia="zh-CN"/>
        </w:rPr>
      </w:pPr>
      <w:bookmarkStart w:id="0" w:name="_Toc22073"/>
      <w:r>
        <w:rPr>
          <w:rFonts w:hint="eastAsia" w:ascii="Times New Roman" w:hAnsi="Times New Roman" w:eastAsia="宋体" w:cs="宋体"/>
          <w:b/>
          <w:bCs/>
          <w:color w:val="auto"/>
          <w:sz w:val="28"/>
          <w:szCs w:val="28"/>
          <w:lang w:val="en-US" w:eastAsia="zh-CN"/>
        </w:rPr>
        <w:t>目  录</w:t>
      </w:r>
      <w:bookmarkEnd w:id="0"/>
    </w:p>
    <w:p w14:paraId="55A8193C">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TOC \o "1-2" \h \u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_Toc934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第一章 总论</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_Toc934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1</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2F671FB0">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_Toc8472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1.1、建设单位基本情况</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_Toc8472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1</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37545297">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_Toc22370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1.2、项目基本情况</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_Toc22370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1</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3D2AF563">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_Toc29648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1.3、总投资与资金筹措</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_Toc29648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3</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5DEACB6B">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_Toc24336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1.4、项目效益</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_Toc24336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3</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0ED17D3">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_Toc8292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1.5、实施方案编制依据</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_Toc8292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5</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1FDF8E82">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_Toc17693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1.6、实施方案编制原则</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_Toc17693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66C13653">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_Toc1797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1.7、</w:t>
      </w:r>
      <w:r>
        <w:rPr>
          <w:rFonts w:ascii="Times New Roman" w:hAnsi="Times New Roman" w:eastAsia="宋体" w:cs="宋体"/>
          <w:bCs/>
          <w:color w:val="auto"/>
          <w:spacing w:val="-7"/>
          <w:sz w:val="24"/>
          <w:szCs w:val="30"/>
        </w:rPr>
        <w:t>综合评价</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_Toc1797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5699CA45">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_Toc12934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第二章 项目建设背景及必要性</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_Toc12934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05A96CA2">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_Toc6147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2.1、项目建设背景</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_Toc6147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87BD07D">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_Toc15489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2.2、产业政策</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_Toc15489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9</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23B3613">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_Toc26968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2.3、行业背景</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_Toc26968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11</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529CC413">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_Toc2123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2.4、项目建设的必要性</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_Toc2123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12</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D62B6AA">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_Toc7608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第三章 项目选址与建设条件</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_Toc7608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14</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6EFCCD19">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_Toc7827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3.1、项目选址</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_Toc7827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14</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16FBB66A">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_Toc20688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3.2、总平面布置</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_Toc20688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14</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13D464A">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_Toc29467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3.3、建设条件</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_Toc29467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15</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18FCF978">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_Toc6882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第四章 工艺技术方案</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_Toc6882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18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005B16E2">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_Toc2695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4.1、主要产品及产能</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_Toc2695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18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2DBD4764">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_Toc3552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4.2、产品标准</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_Toc3552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18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2687AD75">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_Toc14188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4.3、工艺流程</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_Toc14188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18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01132555">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_Toc24750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4.4、给排水</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_Toc24750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31</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7BB83D80">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_Toc28965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4.5、沼液还田灌溉系统</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_Toc28965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34</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5ABE7239">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_Toc24891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4.6、沼气脱硫处理</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_Toc24891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36</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0B99173B">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_Toc6644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4.7、清洗废水预计处理效果分析</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_Toc6644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37</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C0FD84C">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_Toc19595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4.8、生产废水预计处理效果分析</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_Toc19595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38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59EE1818">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_Toc30578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4.9、加工废水汁水还田对土壤耕作层肥力的影响分析</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_Toc30578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38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5B36CA86">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_Toc25577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4.10、还田水质要求及还田消纳可行性分析</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_Toc25577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39</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1B3BFAD9">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_Toc30571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第五章 环保方案</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_Toc30571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44</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639C6F57">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_Toc4318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5.1、环境质量标准</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_Toc4318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44</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391CE3EF">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_Toc27789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5.2、污染物排放标准</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_Toc27789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44</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5A567492">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_Toc13723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5.3、项目施工期污染防治措施</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_Toc13723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44</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362F82D9">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_Toc2450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5.4、项目运营期污染防治措施</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_Toc2450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47</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56839A6A">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_Toc30199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5.5、安全应急措施</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_Toc30199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51</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51266F77">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_Toc22231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5.6、环境安全监测</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_Toc22231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54</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5313526B">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_Toc25916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5.7、其他监测</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_Toc25916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55</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505CA13E">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_Toc32116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5.8、环境效益分析</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_Toc32116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56</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72B2961E">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_Toc10052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5.9、小结</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_Toc10052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57</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79B443DB">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_Toc23638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第六章 电气设计说明</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_Toc23638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58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238F1BA8">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_Toc18376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6.1、设计依据</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_Toc18376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58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1734C696">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_Toc16108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6.2、设计范围</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_Toc16108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58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1A79730D">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_Toc24773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6.3、供配电系统</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_Toc24773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59</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1DEF2409">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_Toc2652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6.4、照明设计</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_Toc2652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59</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092A4036">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_Toc12641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6.5、导线选型和线路敷设</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_Toc12641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59</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7F928B94">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_Toc7527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6.6、防雷接地及安全接地系统</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_Toc7527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60</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519D046">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_Toc4288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6.7、视频监控系统</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_Toc4288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61</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3928C1E0">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_Toc16483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6.8、绿色建筑设计说明</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_Toc16483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62</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B14F423">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_Toc17568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6.9、电气设备抗震设计</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_Toc17568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62</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2506E1B8">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_Toc11755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第七章 消防设计方案</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_Toc11755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63</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377326C5">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_Toc16822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7.1、设计依据</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_Toc16822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63</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212AA02B">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_Toc16956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7.2、总平面布局</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_Toc16956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63</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054FD4EE">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_Toc19497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7.3、建筑防火设计</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_Toc19497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63</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D842576">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_Toc3673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7.4、消防设施设计</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_Toc3673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63</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06B665B4">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_Toc24725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7.5、消防管理措施</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_Toc24725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64</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702DBBA0">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_Toc13673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7.6、结论</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_Toc13673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64</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11AD2A7F">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_Toc21122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第八章 给排水方案</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_Toc21122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65</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2C49EF0F">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_Toc28143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8.1、设计依据</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_Toc28143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65</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D943A4F">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_Toc13103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8.2、室外给水设计</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_Toc13103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65</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19AE97B7">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_Toc3527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8.3、室内给水设计</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_Toc3527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65</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596E2E4E">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_Toc27685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8.4、室外排水设计</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_Toc27685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65</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CE50560">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_Toc32528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8.5、室内排水设计</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_Toc32528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66</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376E0CD5">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_Toc4843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8.6、管材</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_Toc4843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66</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8D7AB3D">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_Toc11632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8.7、节水节能措施</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_Toc11632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66</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35DEE859">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_Toc26579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8.8、环境保护措施</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_Toc26579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66</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7D8BDBA9">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_Toc13896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第九章 暖通设计方案</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_Toc13896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3C3B5ABD">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_Toc16315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9.1、设计依据</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_Toc16315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2A452ABC">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_Toc15327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9.2、设计范围</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_Toc15327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0399C402">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_Toc22828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9.3、设计参数</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_Toc22828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0DEB05A7">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_Toc31371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9.4、供暖设计</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_Toc31371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69</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2095F330">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_Toc24398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第十章 交通及节能设计方案</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_Toc24398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70</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2E551A94">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_Toc30805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10.1、设计依据</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_Toc30805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70</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5254C5DA">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_Toc12669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10.2、厂区交通方案</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_Toc12669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70</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6E3A6332">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_Toc10941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10.3、节能方案</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_Toc10941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70</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3153DEB9">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_Toc31878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第十一章 绿色建筑节能专篇</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_Toc31878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73</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388FBC2">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_Toc2940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11.1、设计依据</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_Toc2940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73</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020E233A">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_Toc23257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11.2、安全耐久</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_Toc23257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73</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868A7CC">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_Toc7288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11.3、健康舒适</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_Toc7288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74</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183981C3">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_Toc6956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11.4、资源节约</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_Toc6956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75</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77FC1317">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_Toc7242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第十二章 安全生产与劳动保护</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_Toc7242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77</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2FDA9906">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_Toc2411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12.1、工程概述</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_Toc2411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77</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338ECF92">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_Toc30729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12.2、建筑及场地布置</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_Toc30729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77</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E807031">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_Toc13283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12.3、工程安全设计</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_Toc13283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77</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5D445631">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_Toc11305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12.4、安全生产操作方案</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_Toc11305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087B7DDC">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_Toc14090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第十三章 结构设计说明</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_Toc14090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79</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617E330">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_Toc5563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13.1、设计依据</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_Toc5563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80</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65A31018">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_Toc11354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13.2、自然条件及结构安全</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_Toc11354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80</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679137AC">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_Toc32341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第十四章 项目实施进度计划</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_Toc32341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84</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5E7191E0">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_Toc32014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14.1、项目建设期限</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_Toc32014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84</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8E6B23B">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_Toc16473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14.2、项目实施进度安排</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_Toc16473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84</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5BF617E1">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_Toc8134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14.3、项目实施进度安排</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_Toc8134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84</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8D85044">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_Toc3717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第十五章 投资估算与资金来源</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_Toc3717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85</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294746E9">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_Toc16482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15.1、投资估算依据</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_Toc16482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85</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6663E3CE">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_Toc238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15.2、投资估算</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_Toc238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85</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7FB4C065">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_Toc2960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15.3、资金来源</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_Toc2960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85</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0B8EF76A">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_Toc23245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第十六章 财务评价</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_Toc23245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86</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0CA59837">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_Toc25563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16.1、投资估算依据</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_Toc25563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86</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1ED7185E">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_Toc22479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16.2、营业收入、营业税金和附加估算</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_Toc22479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86</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2EDBAD84">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_Toc13386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16.3、总成本及经营成本估算</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_Toc13386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86</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0571F8BF">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_Toc1219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bCs/>
          <w:color w:val="auto"/>
          <w:sz w:val="24"/>
          <w:szCs w:val="28"/>
          <w:lang w:val="en-US" w:eastAsia="zh-CN"/>
        </w:rPr>
        <w:t>16.4、财务效益分析</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_Toc1219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87</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0E58B224">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_Toc29896 </w:instrText>
      </w:r>
      <w:r>
        <w:rPr>
          <w:rFonts w:hint="eastAsia" w:ascii="Times New Roman" w:hAnsi="Times New Roman" w:eastAsia="宋体" w:cs="宋体"/>
          <w:color w:val="auto"/>
          <w:sz w:val="24"/>
          <w:shd w:val="clear" w:color="FFFFFF" w:fill="D9D9D9"/>
          <w:lang w:val="en-US" w:eastAsia="zh-CN"/>
        </w:rPr>
        <w:fldChar w:fldCharType="separate"/>
      </w:r>
      <w:r>
        <w:rPr>
          <w:rFonts w:ascii="Times New Roman" w:hAnsi="Times New Roman" w:eastAsia="宋体" w:cs="宋体"/>
          <w:bCs/>
          <w:color w:val="auto"/>
          <w:spacing w:val="-4"/>
          <w:sz w:val="24"/>
          <w:szCs w:val="30"/>
        </w:rPr>
        <w:t>1</w:t>
      </w:r>
      <w:r>
        <w:rPr>
          <w:rFonts w:hint="eastAsia" w:ascii="Times New Roman" w:hAnsi="Times New Roman" w:eastAsia="宋体" w:cs="宋体"/>
          <w:bCs/>
          <w:color w:val="auto"/>
          <w:spacing w:val="-4"/>
          <w:sz w:val="24"/>
          <w:szCs w:val="30"/>
          <w:lang w:val="en-US" w:eastAsia="zh-CN"/>
        </w:rPr>
        <w:t>6</w:t>
      </w:r>
      <w:r>
        <w:rPr>
          <w:rFonts w:ascii="Times New Roman" w:hAnsi="Times New Roman" w:eastAsia="宋体" w:cs="宋体"/>
          <w:bCs/>
          <w:color w:val="auto"/>
          <w:spacing w:val="-4"/>
          <w:sz w:val="24"/>
          <w:szCs w:val="30"/>
        </w:rPr>
        <w:t>.5</w:t>
      </w:r>
      <w:r>
        <w:rPr>
          <w:rFonts w:hint="eastAsia" w:ascii="Times New Roman" w:hAnsi="Times New Roman" w:eastAsia="宋体" w:cs="宋体"/>
          <w:bCs/>
          <w:color w:val="auto"/>
          <w:spacing w:val="-4"/>
          <w:sz w:val="24"/>
          <w:szCs w:val="30"/>
          <w:lang w:eastAsia="zh-CN"/>
        </w:rPr>
        <w:t>、</w:t>
      </w:r>
      <w:r>
        <w:rPr>
          <w:rFonts w:ascii="Times New Roman" w:hAnsi="Times New Roman" w:eastAsia="宋体" w:cs="宋体"/>
          <w:bCs/>
          <w:color w:val="auto"/>
          <w:spacing w:val="-4"/>
          <w:sz w:val="24"/>
          <w:szCs w:val="30"/>
        </w:rPr>
        <w:t>不确定性分析</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_Toc29896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87</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26439CB7">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_Toc1755 </w:instrText>
      </w:r>
      <w:r>
        <w:rPr>
          <w:rFonts w:hint="eastAsia" w:ascii="Times New Roman" w:hAnsi="Times New Roman" w:eastAsia="宋体" w:cs="宋体"/>
          <w:color w:val="auto"/>
          <w:sz w:val="24"/>
          <w:shd w:val="clear" w:color="FFFFFF" w:fill="D9D9D9"/>
          <w:lang w:val="en-US" w:eastAsia="zh-CN"/>
        </w:rPr>
        <w:fldChar w:fldCharType="separate"/>
      </w:r>
      <w:r>
        <w:rPr>
          <w:rFonts w:hint="default" w:ascii="Times New Roman" w:hAnsi="Times New Roman" w:eastAsia="宋体" w:cs="宋体"/>
          <w:bCs/>
          <w:color w:val="auto"/>
          <w:spacing w:val="-4"/>
          <w:sz w:val="24"/>
          <w:szCs w:val="30"/>
          <w:lang w:val="en-US" w:eastAsia="zh-CN"/>
        </w:rPr>
        <w:t>1</w:t>
      </w:r>
      <w:r>
        <w:rPr>
          <w:rFonts w:hint="eastAsia" w:ascii="Times New Roman" w:hAnsi="Times New Roman" w:eastAsia="宋体" w:cs="宋体"/>
          <w:bCs/>
          <w:color w:val="auto"/>
          <w:spacing w:val="-4"/>
          <w:sz w:val="24"/>
          <w:szCs w:val="30"/>
          <w:lang w:val="en-US" w:eastAsia="zh-CN"/>
        </w:rPr>
        <w:t>6</w:t>
      </w:r>
      <w:r>
        <w:rPr>
          <w:rFonts w:hint="default" w:ascii="Times New Roman" w:hAnsi="Times New Roman" w:eastAsia="宋体" w:cs="宋体"/>
          <w:bCs/>
          <w:color w:val="auto"/>
          <w:spacing w:val="-4"/>
          <w:sz w:val="24"/>
          <w:szCs w:val="30"/>
          <w:lang w:val="en-US" w:eastAsia="zh-CN"/>
        </w:rPr>
        <w:t>.6</w:t>
      </w:r>
      <w:r>
        <w:rPr>
          <w:rFonts w:hint="eastAsia" w:ascii="Times New Roman" w:hAnsi="Times New Roman" w:eastAsia="宋体" w:cs="宋体"/>
          <w:bCs/>
          <w:color w:val="auto"/>
          <w:spacing w:val="-4"/>
          <w:sz w:val="24"/>
          <w:szCs w:val="30"/>
          <w:lang w:val="en-US" w:eastAsia="zh-CN"/>
        </w:rPr>
        <w:t>、</w:t>
      </w:r>
      <w:r>
        <w:rPr>
          <w:rFonts w:hint="default" w:ascii="Times New Roman" w:hAnsi="Times New Roman" w:eastAsia="宋体" w:cs="宋体"/>
          <w:bCs/>
          <w:color w:val="auto"/>
          <w:spacing w:val="-4"/>
          <w:sz w:val="24"/>
          <w:szCs w:val="30"/>
          <w:lang w:val="en-US" w:eastAsia="zh-CN"/>
        </w:rPr>
        <w:t>财务评价结论</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_Toc1755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88</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79DF2491">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_Toc22248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snapToGrid w:val="0"/>
          <w:color w:val="auto"/>
          <w:kern w:val="44"/>
          <w:sz w:val="24"/>
          <w:szCs w:val="30"/>
          <w:lang w:val="en-US" w:eastAsia="zh-CN" w:bidi="ar-SA"/>
        </w:rPr>
        <w:t>第十七章 社会效益分析</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_Toc22248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90</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4998A24E">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_Toc3553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snapToGrid w:val="0"/>
          <w:color w:val="auto"/>
          <w:kern w:val="44"/>
          <w:sz w:val="24"/>
          <w:szCs w:val="30"/>
          <w:lang w:val="en-US" w:eastAsia="zh-CN" w:bidi="ar-SA"/>
        </w:rPr>
        <w:t xml:space="preserve">第十八章 </w:t>
      </w:r>
      <w:r>
        <w:rPr>
          <w:rFonts w:hint="eastAsia" w:ascii="Times New Roman" w:hAnsi="Times New Roman" w:eastAsia="宋体" w:cs="宋体"/>
          <w:color w:val="auto"/>
          <w:sz w:val="24"/>
          <w:szCs w:val="30"/>
          <w:lang w:val="en-US" w:eastAsia="zh-CN"/>
        </w:rPr>
        <w:t>结论和建议</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_Toc3553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91</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170FF96A">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_Toc1483 </w:instrText>
      </w:r>
      <w:r>
        <w:rPr>
          <w:rFonts w:hint="eastAsia" w:ascii="Times New Roman" w:hAnsi="Times New Roman" w:eastAsia="宋体" w:cs="宋体"/>
          <w:color w:val="auto"/>
          <w:sz w:val="24"/>
          <w:shd w:val="clear" w:color="FFFFFF" w:fill="D9D9D9"/>
          <w:lang w:val="en-US" w:eastAsia="zh-CN"/>
        </w:rPr>
        <w:fldChar w:fldCharType="separate"/>
      </w:r>
      <w:r>
        <w:rPr>
          <w:rFonts w:ascii="Times New Roman" w:hAnsi="Times New Roman" w:eastAsia="宋体" w:cs="宋体"/>
          <w:bCs/>
          <w:color w:val="auto"/>
          <w:spacing w:val="-4"/>
          <w:sz w:val="24"/>
          <w:szCs w:val="30"/>
        </w:rPr>
        <w:t>1</w:t>
      </w:r>
      <w:r>
        <w:rPr>
          <w:rFonts w:hint="eastAsia" w:ascii="Times New Roman" w:hAnsi="Times New Roman" w:eastAsia="宋体" w:cs="宋体"/>
          <w:bCs/>
          <w:color w:val="auto"/>
          <w:spacing w:val="-4"/>
          <w:sz w:val="24"/>
          <w:szCs w:val="30"/>
          <w:lang w:val="en-US" w:eastAsia="zh-CN"/>
        </w:rPr>
        <w:t>8</w:t>
      </w:r>
      <w:r>
        <w:rPr>
          <w:rFonts w:ascii="Times New Roman" w:hAnsi="Times New Roman" w:eastAsia="宋体" w:cs="宋体"/>
          <w:bCs/>
          <w:color w:val="auto"/>
          <w:spacing w:val="-4"/>
          <w:sz w:val="24"/>
          <w:szCs w:val="30"/>
        </w:rPr>
        <w:t>.1</w:t>
      </w:r>
      <w:r>
        <w:rPr>
          <w:rFonts w:hint="eastAsia" w:ascii="Times New Roman" w:hAnsi="Times New Roman" w:eastAsia="宋体" w:cs="宋体"/>
          <w:bCs/>
          <w:color w:val="auto"/>
          <w:spacing w:val="-4"/>
          <w:sz w:val="24"/>
          <w:szCs w:val="30"/>
          <w:lang w:eastAsia="zh-CN"/>
        </w:rPr>
        <w:t>、</w:t>
      </w:r>
      <w:r>
        <w:rPr>
          <w:rFonts w:ascii="Times New Roman" w:hAnsi="Times New Roman" w:eastAsia="宋体" w:cs="宋体"/>
          <w:bCs/>
          <w:color w:val="auto"/>
          <w:spacing w:val="-4"/>
          <w:sz w:val="24"/>
          <w:szCs w:val="30"/>
        </w:rPr>
        <w:t>结论</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_Toc1483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91</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1F673D1B">
      <w:pPr>
        <w:pStyle w:val="19"/>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rFonts w:ascii="Times New Roman" w:hAnsi="Times New Roman" w:eastAsia="宋体" w:cs="宋体"/>
          <w:color w:val="auto"/>
          <w:sz w:val="24"/>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_Toc20738 </w:instrText>
      </w:r>
      <w:r>
        <w:rPr>
          <w:rFonts w:hint="eastAsia" w:ascii="Times New Roman" w:hAnsi="Times New Roman" w:eastAsia="宋体" w:cs="宋体"/>
          <w:color w:val="auto"/>
          <w:sz w:val="24"/>
          <w:shd w:val="clear" w:color="FFFFFF" w:fill="D9D9D9"/>
          <w:lang w:val="en-US" w:eastAsia="zh-CN"/>
        </w:rPr>
        <w:fldChar w:fldCharType="separate"/>
      </w:r>
      <w:r>
        <w:rPr>
          <w:rFonts w:ascii="Times New Roman" w:hAnsi="Times New Roman" w:eastAsia="宋体" w:cs="宋体"/>
          <w:bCs/>
          <w:color w:val="auto"/>
          <w:spacing w:val="-4"/>
          <w:sz w:val="24"/>
          <w:szCs w:val="30"/>
        </w:rPr>
        <w:t>1</w:t>
      </w:r>
      <w:r>
        <w:rPr>
          <w:rFonts w:hint="eastAsia" w:ascii="Times New Roman" w:hAnsi="Times New Roman" w:eastAsia="宋体" w:cs="宋体"/>
          <w:bCs/>
          <w:color w:val="auto"/>
          <w:spacing w:val="-4"/>
          <w:sz w:val="24"/>
          <w:szCs w:val="30"/>
          <w:lang w:val="en-US" w:eastAsia="zh-CN"/>
        </w:rPr>
        <w:t>8</w:t>
      </w:r>
      <w:r>
        <w:rPr>
          <w:rFonts w:ascii="Times New Roman" w:hAnsi="Times New Roman" w:eastAsia="宋体" w:cs="宋体"/>
          <w:bCs/>
          <w:color w:val="auto"/>
          <w:spacing w:val="-4"/>
          <w:sz w:val="24"/>
          <w:szCs w:val="30"/>
        </w:rPr>
        <w:t>.2</w:t>
      </w:r>
      <w:r>
        <w:rPr>
          <w:rFonts w:hint="eastAsia" w:ascii="Times New Roman" w:hAnsi="Times New Roman" w:eastAsia="宋体" w:cs="宋体"/>
          <w:bCs/>
          <w:color w:val="auto"/>
          <w:spacing w:val="-4"/>
          <w:sz w:val="24"/>
          <w:szCs w:val="30"/>
          <w:lang w:eastAsia="zh-CN"/>
        </w:rPr>
        <w:t>、</w:t>
      </w:r>
      <w:r>
        <w:rPr>
          <w:rFonts w:ascii="Times New Roman" w:hAnsi="Times New Roman" w:eastAsia="宋体" w:cs="宋体"/>
          <w:bCs/>
          <w:color w:val="auto"/>
          <w:spacing w:val="-4"/>
          <w:sz w:val="24"/>
          <w:szCs w:val="30"/>
        </w:rPr>
        <w:t>建议</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_Toc20738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91</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234A11E7">
      <w:pPr>
        <w:pStyle w:val="1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500" w:lineRule="exact"/>
        <w:textAlignment w:val="baseline"/>
        <w:rPr>
          <w:color w:val="auto"/>
        </w:rPr>
      </w:pPr>
      <w:r>
        <w:rPr>
          <w:rFonts w:hint="eastAsia" w:ascii="Times New Roman" w:hAnsi="Times New Roman" w:eastAsia="宋体" w:cs="宋体"/>
          <w:color w:val="auto"/>
          <w:sz w:val="24"/>
          <w:shd w:val="clear" w:color="FFFFFF" w:fill="D9D9D9"/>
          <w:lang w:val="en-US" w:eastAsia="zh-CN"/>
        </w:rPr>
        <w:fldChar w:fldCharType="begin"/>
      </w:r>
      <w:r>
        <w:rPr>
          <w:rFonts w:hint="eastAsia" w:ascii="Times New Roman" w:hAnsi="Times New Roman" w:eastAsia="宋体" w:cs="宋体"/>
          <w:color w:val="auto"/>
          <w:sz w:val="24"/>
          <w:shd w:val="clear" w:color="FFFFFF" w:fill="D9D9D9"/>
          <w:lang w:val="en-US" w:eastAsia="zh-CN"/>
        </w:rPr>
        <w:instrText xml:space="preserve"> HYPERLINK \l _Toc31277 </w:instrText>
      </w:r>
      <w:r>
        <w:rPr>
          <w:rFonts w:hint="eastAsia" w:ascii="Times New Roman" w:hAnsi="Times New Roman" w:eastAsia="宋体" w:cs="宋体"/>
          <w:color w:val="auto"/>
          <w:sz w:val="24"/>
          <w:shd w:val="clear" w:color="FFFFFF" w:fill="D9D9D9"/>
          <w:lang w:val="en-US" w:eastAsia="zh-CN"/>
        </w:rPr>
        <w:fldChar w:fldCharType="separate"/>
      </w:r>
      <w:r>
        <w:rPr>
          <w:rFonts w:hint="eastAsia" w:ascii="Times New Roman" w:hAnsi="Times New Roman" w:eastAsia="宋体" w:cs="宋体"/>
          <w:color w:val="auto"/>
          <w:sz w:val="24"/>
          <w:szCs w:val="30"/>
          <w:lang w:val="en-US" w:eastAsia="zh-CN"/>
        </w:rPr>
        <w:t>附表、附图、附件</w:t>
      </w:r>
      <w:r>
        <w:rPr>
          <w:rFonts w:ascii="Times New Roman" w:hAnsi="Times New Roman" w:eastAsia="宋体" w:cs="宋体"/>
          <w:color w:val="auto"/>
          <w:sz w:val="24"/>
        </w:rPr>
        <w:tab/>
      </w: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PAGEREF _Toc31277 \h </w:instrText>
      </w:r>
      <w:r>
        <w:rPr>
          <w:rFonts w:ascii="Times New Roman" w:hAnsi="Times New Roman" w:eastAsia="宋体" w:cs="宋体"/>
          <w:color w:val="auto"/>
          <w:sz w:val="24"/>
        </w:rPr>
        <w:fldChar w:fldCharType="separate"/>
      </w:r>
      <w:r>
        <w:rPr>
          <w:rFonts w:ascii="Times New Roman" w:hAnsi="Times New Roman" w:eastAsia="宋体" w:cs="宋体"/>
          <w:color w:val="auto"/>
          <w:sz w:val="24"/>
        </w:rPr>
        <w:t>92</w:t>
      </w:r>
      <w:r>
        <w:rPr>
          <w:rFonts w:ascii="Times New Roman" w:hAnsi="Times New Roman" w:eastAsia="宋体" w:cs="宋体"/>
          <w:color w:val="auto"/>
          <w:sz w:val="24"/>
        </w:rPr>
        <w:fldChar w:fldCharType="end"/>
      </w:r>
      <w:r>
        <w:rPr>
          <w:rFonts w:hint="eastAsia" w:ascii="Times New Roman" w:hAnsi="Times New Roman" w:eastAsia="宋体" w:cs="宋体"/>
          <w:color w:val="auto"/>
          <w:sz w:val="24"/>
          <w:shd w:val="clear" w:color="FFFFFF" w:fill="D9D9D9"/>
          <w:lang w:val="en-US" w:eastAsia="zh-CN"/>
        </w:rPr>
        <w:fldChar w:fldCharType="end"/>
      </w:r>
    </w:p>
    <w:p w14:paraId="1CA1606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20" w:firstLineChars="200"/>
        <w:textAlignment w:val="baseline"/>
        <w:rPr>
          <w:rFonts w:hint="eastAsia" w:ascii="Times New Roman" w:hAnsi="Times New Roman" w:eastAsia="宋体" w:cs="宋体"/>
          <w:color w:val="auto"/>
          <w:sz w:val="24"/>
          <w:shd w:val="clear" w:color="FFFFFF" w:fill="D9D9D9"/>
          <w:lang w:val="en-US" w:eastAsia="zh-CN"/>
        </w:rPr>
      </w:pPr>
      <w:r>
        <w:rPr>
          <w:rFonts w:hint="eastAsia" w:ascii="Times New Roman" w:hAnsi="Times New Roman" w:eastAsia="宋体" w:cs="宋体"/>
          <w:color w:val="auto"/>
          <w:shd w:val="clear" w:color="FFFFFF" w:fill="D9D9D9"/>
          <w:lang w:val="en-US" w:eastAsia="zh-CN"/>
        </w:rPr>
        <w:fldChar w:fldCharType="end"/>
      </w:r>
    </w:p>
    <w:p w14:paraId="1B35EA1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Times New Roman" w:hAnsi="Times New Roman" w:eastAsia="宋体" w:cs="宋体"/>
          <w:b/>
          <w:color w:val="auto"/>
          <w:sz w:val="24"/>
          <w:szCs w:val="30"/>
          <w:lang w:val="en-US" w:eastAsia="zh-CN"/>
        </w:rPr>
        <w:sectPr>
          <w:headerReference r:id="rId5" w:type="default"/>
          <w:footerReference r:id="rId6"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upperRoman" w:start="1"/>
          <w:cols w:space="425" w:num="1"/>
          <w:docGrid w:type="lines" w:linePitch="312" w:charSpace="0"/>
        </w:sectPr>
      </w:pPr>
    </w:p>
    <w:p w14:paraId="3027FF50">
      <w:pPr>
        <w:pStyle w:val="4"/>
        <w:keepNext/>
        <w:keepLines/>
        <w:pageBreakBefore w:val="0"/>
        <w:widowControl/>
        <w:kinsoku w:val="0"/>
        <w:wordWrap/>
        <w:overflowPunct/>
        <w:topLinePunct w:val="0"/>
        <w:autoSpaceDE w:val="0"/>
        <w:autoSpaceDN w:val="0"/>
        <w:bidi w:val="0"/>
        <w:adjustRightInd w:val="0"/>
        <w:snapToGrid w:val="0"/>
        <w:spacing w:before="0" w:after="0" w:line="360" w:lineRule="auto"/>
        <w:jc w:val="center"/>
        <w:textAlignment w:val="baseline"/>
        <w:rPr>
          <w:rFonts w:hint="default" w:ascii="Times New Roman" w:hAnsi="Times New Roman" w:eastAsia="宋体" w:cs="宋体"/>
          <w:b/>
          <w:color w:val="auto"/>
          <w:sz w:val="30"/>
          <w:szCs w:val="30"/>
          <w:lang w:val="en-US" w:eastAsia="zh-CN"/>
        </w:rPr>
      </w:pPr>
      <w:bookmarkStart w:id="1" w:name="_Toc22251"/>
      <w:bookmarkStart w:id="2" w:name="_Toc934"/>
      <w:r>
        <w:rPr>
          <w:rFonts w:hint="eastAsia" w:ascii="Times New Roman" w:hAnsi="Times New Roman" w:eastAsia="宋体" w:cs="宋体"/>
          <w:b/>
          <w:color w:val="auto"/>
          <w:sz w:val="30"/>
          <w:szCs w:val="30"/>
          <w:lang w:val="en-US" w:eastAsia="zh-CN"/>
        </w:rPr>
        <w:t>第一章</w:t>
      </w:r>
      <w:bookmarkEnd w:id="1"/>
      <w:r>
        <w:rPr>
          <w:rFonts w:hint="eastAsia" w:ascii="Times New Roman" w:hAnsi="Times New Roman" w:eastAsia="宋体" w:cs="宋体"/>
          <w:b/>
          <w:color w:val="auto"/>
          <w:sz w:val="30"/>
          <w:szCs w:val="30"/>
          <w:lang w:val="en-US" w:eastAsia="zh-CN"/>
        </w:rPr>
        <w:t xml:space="preserve"> 总论</w:t>
      </w:r>
      <w:bookmarkEnd w:id="2"/>
    </w:p>
    <w:p w14:paraId="2E098887">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3" w:name="_Toc8472"/>
      <w:bookmarkStart w:id="4" w:name="_Toc3556"/>
      <w:r>
        <w:rPr>
          <w:rFonts w:hint="eastAsia" w:ascii="Times New Roman" w:hAnsi="Times New Roman" w:eastAsia="宋体" w:cs="宋体"/>
          <w:b/>
          <w:bCs/>
          <w:color w:val="auto"/>
          <w:sz w:val="28"/>
          <w:szCs w:val="28"/>
          <w:lang w:val="en-US" w:eastAsia="zh-CN"/>
        </w:rPr>
        <w:t>1.1、建设单位基本情况</w:t>
      </w:r>
      <w:bookmarkEnd w:id="3"/>
    </w:p>
    <w:p w14:paraId="43A3DE4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甘肃亿佳源农业发展有限公司成立于2024年11月11日，注册地位于甘肃省张掖市民乐县民乐生态工业园区，法定代表人为俞生林。注册资本1000万元，经营范围包括：食品生产；食品销售（依法须经批准的项目，经相关部门批准后方可开展经营活动）一般项目：食用农产品初加工；食品销售（仅销售预包装食品）；薯类种植；大豆及薯类销售；农副产品销售；初级农产品收购（除许可业务外，可自主依法经营法律法规非禁止或限制的项目）等。</w:t>
      </w:r>
    </w:p>
    <w:p w14:paraId="5545B6A8">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5" w:name="_Toc22370"/>
      <w:r>
        <w:rPr>
          <w:rFonts w:hint="eastAsia" w:ascii="Times New Roman" w:hAnsi="Times New Roman" w:eastAsia="宋体" w:cs="宋体"/>
          <w:b/>
          <w:bCs/>
          <w:color w:val="auto"/>
          <w:sz w:val="28"/>
          <w:szCs w:val="28"/>
          <w:lang w:val="en-US" w:eastAsia="zh-CN"/>
        </w:rPr>
        <w:t>1.2、项目</w:t>
      </w:r>
      <w:bookmarkEnd w:id="4"/>
      <w:r>
        <w:rPr>
          <w:rFonts w:hint="eastAsia" w:ascii="Times New Roman" w:hAnsi="Times New Roman" w:eastAsia="宋体" w:cs="宋体"/>
          <w:b/>
          <w:bCs/>
          <w:color w:val="auto"/>
          <w:sz w:val="28"/>
          <w:szCs w:val="28"/>
          <w:lang w:val="en-US" w:eastAsia="zh-CN"/>
        </w:rPr>
        <w:t>基本情况</w:t>
      </w:r>
      <w:bookmarkEnd w:id="5"/>
    </w:p>
    <w:p w14:paraId="5A61CD7F">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1.2.1、项目名称、建设性质及建设地点</w:t>
      </w:r>
    </w:p>
    <w:p w14:paraId="36D1559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项目名称：甘肃亿佳源农业发展有限公司马铃薯淀粉加工汁水综合利用试点工作实施方案</w:t>
      </w:r>
    </w:p>
    <w:p w14:paraId="717F2F7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建设性质：新建</w:t>
      </w:r>
    </w:p>
    <w:p w14:paraId="37E0F60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建设单位：</w:t>
      </w:r>
      <w:r>
        <w:rPr>
          <w:rFonts w:hint="default" w:ascii="Times New Roman" w:hAnsi="Times New Roman" w:eastAsia="宋体" w:cs="宋体"/>
          <w:snapToGrid w:val="0"/>
          <w:color w:val="auto"/>
          <w:kern w:val="0"/>
          <w:sz w:val="24"/>
          <w:szCs w:val="24"/>
          <w:lang w:val="en-US" w:eastAsia="zh-CN" w:bidi="ar"/>
        </w:rPr>
        <w:t>甘肃亿佳源农业发展有限公司</w:t>
      </w:r>
    </w:p>
    <w:p w14:paraId="6F93232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建设地点：</w:t>
      </w:r>
      <w:r>
        <w:rPr>
          <w:rFonts w:hint="default" w:ascii="Times New Roman" w:hAnsi="Times New Roman" w:eastAsia="宋体" w:cs="宋体"/>
          <w:snapToGrid w:val="0"/>
          <w:color w:val="auto"/>
          <w:kern w:val="0"/>
          <w:sz w:val="24"/>
          <w:szCs w:val="24"/>
          <w:lang w:val="en-US" w:eastAsia="zh-CN" w:bidi="ar"/>
        </w:rPr>
        <w:t>甘肃省</w:t>
      </w:r>
      <w:r>
        <w:rPr>
          <w:rFonts w:hint="eastAsia" w:ascii="Times New Roman" w:hAnsi="Times New Roman" w:eastAsia="宋体" w:cs="宋体"/>
          <w:snapToGrid w:val="0"/>
          <w:color w:val="auto"/>
          <w:kern w:val="0"/>
          <w:sz w:val="24"/>
          <w:szCs w:val="24"/>
          <w:lang w:val="en-US" w:eastAsia="zh-CN" w:bidi="ar"/>
        </w:rPr>
        <w:t>张掖市民乐县民乐生态工业园区。</w:t>
      </w:r>
    </w:p>
    <w:p w14:paraId="1B9EB9B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479" w:leftChars="228" w:right="0" w:firstLine="0" w:firstLineChars="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淀粉生产厂区中心经纬度坐标为：</w:t>
      </w:r>
      <w:r>
        <w:rPr>
          <w:rFonts w:hint="default" w:ascii="Times New Roman" w:hAnsi="Times New Roman" w:eastAsia="宋体" w:cs="宋体"/>
          <w:snapToGrid w:val="0"/>
          <w:color w:val="auto"/>
          <w:kern w:val="0"/>
          <w:sz w:val="24"/>
          <w:szCs w:val="24"/>
          <w:lang w:val="en-US" w:eastAsia="zh-CN" w:bidi="ar"/>
        </w:rPr>
        <w:t>E：100°39′22.</w:t>
      </w:r>
      <w:r>
        <w:rPr>
          <w:rFonts w:hint="eastAsia" w:ascii="Times New Roman" w:hAnsi="Times New Roman" w:eastAsia="宋体" w:cs="宋体"/>
          <w:snapToGrid w:val="0"/>
          <w:color w:val="auto"/>
          <w:kern w:val="0"/>
          <w:sz w:val="24"/>
          <w:szCs w:val="24"/>
          <w:lang w:val="en-US" w:eastAsia="zh-CN" w:bidi="ar"/>
        </w:rPr>
        <w:t>674</w:t>
      </w:r>
      <w:r>
        <w:rPr>
          <w:rFonts w:hint="default" w:ascii="Times New Roman" w:hAnsi="Times New Roman" w:eastAsia="宋体" w:cs="宋体"/>
          <w:snapToGrid w:val="0"/>
          <w:color w:val="auto"/>
          <w:kern w:val="0"/>
          <w:sz w:val="24"/>
          <w:szCs w:val="24"/>
          <w:lang w:val="en-US" w:eastAsia="zh-CN" w:bidi="ar"/>
        </w:rPr>
        <w:t>″，N：38°43′14.2</w:t>
      </w:r>
      <w:r>
        <w:rPr>
          <w:rFonts w:hint="eastAsia" w:ascii="Times New Roman" w:hAnsi="Times New Roman" w:eastAsia="宋体" w:cs="宋体"/>
          <w:snapToGrid w:val="0"/>
          <w:color w:val="auto"/>
          <w:kern w:val="0"/>
          <w:sz w:val="24"/>
          <w:szCs w:val="24"/>
          <w:lang w:val="en-US" w:eastAsia="zh-CN" w:bidi="ar"/>
        </w:rPr>
        <w:t>20</w:t>
      </w: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；配套农田中心经纬度坐标为：</w:t>
      </w:r>
      <w:r>
        <w:rPr>
          <w:rFonts w:hint="default" w:ascii="Times New Roman" w:hAnsi="Times New Roman" w:eastAsia="宋体" w:cs="宋体"/>
          <w:snapToGrid w:val="0"/>
          <w:color w:val="auto"/>
          <w:kern w:val="0"/>
          <w:sz w:val="24"/>
          <w:szCs w:val="24"/>
          <w:lang w:val="en-US" w:eastAsia="zh-CN" w:bidi="ar"/>
        </w:rPr>
        <w:t>E：100°38′36.364″N：38°43′10.212″</w:t>
      </w:r>
      <w:r>
        <w:rPr>
          <w:rFonts w:hint="eastAsia" w:ascii="Times New Roman" w:hAnsi="Times New Roman" w:eastAsia="宋体" w:cs="宋体"/>
          <w:snapToGrid w:val="0"/>
          <w:color w:val="auto"/>
          <w:kern w:val="0"/>
          <w:sz w:val="24"/>
          <w:szCs w:val="24"/>
          <w:lang w:val="en-US" w:eastAsia="zh-CN" w:bidi="ar"/>
        </w:rPr>
        <w:t>。</w:t>
      </w:r>
    </w:p>
    <w:p w14:paraId="774E5E1D">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bookmarkStart w:id="6" w:name="_Toc15828"/>
      <w:r>
        <w:rPr>
          <w:rFonts w:hint="eastAsia" w:ascii="Times New Roman" w:hAnsi="Times New Roman" w:eastAsia="宋体" w:cs="宋体"/>
          <w:b/>
          <w:color w:val="auto"/>
          <w:sz w:val="24"/>
          <w:lang w:val="en-US" w:eastAsia="zh-CN"/>
        </w:rPr>
        <w:t>1.2.2、建设内容</w:t>
      </w:r>
    </w:p>
    <w:p w14:paraId="587D5B36">
      <w:pPr>
        <w:topLinePunct/>
        <w:spacing w:line="360" w:lineRule="auto"/>
        <w:ind w:firstLine="480" w:firstLineChars="200"/>
        <w:textAlignment w:val="center"/>
        <w:rPr>
          <w:rFonts w:hint="eastAsia" w:ascii="Times New Roman" w:hAnsi="Times New Roman" w:eastAsia="宋体" w:cs="宋体"/>
          <w:bCs/>
          <w:color w:val="auto"/>
          <w:sz w:val="24"/>
        </w:rPr>
      </w:pPr>
      <w:r>
        <w:rPr>
          <w:rFonts w:hint="eastAsia" w:ascii="Times New Roman" w:hAnsi="Times New Roman" w:eastAsia="宋体" w:cs="宋体"/>
          <w:bCs/>
          <w:color w:val="auto"/>
          <w:sz w:val="24"/>
          <w:lang w:val="en-US" w:eastAsia="zh-CN"/>
        </w:rPr>
        <w:t>本项目拟</w:t>
      </w:r>
      <w:r>
        <w:rPr>
          <w:rFonts w:hint="eastAsia" w:ascii="Times New Roman" w:hAnsi="Times New Roman" w:eastAsia="宋体" w:cs="宋体"/>
          <w:bCs/>
          <w:color w:val="auto"/>
          <w:sz w:val="24"/>
          <w:lang w:eastAsia="zh-CN"/>
        </w:rPr>
        <w:t>建设年产</w:t>
      </w:r>
      <w:r>
        <w:rPr>
          <w:rFonts w:hint="default" w:ascii="Times New Roman" w:hAnsi="Times New Roman" w:eastAsia="宋体" w:cs="宋体"/>
          <w:bCs/>
          <w:color w:val="auto"/>
          <w:sz w:val="24"/>
          <w:lang w:val="en-US" w:eastAsia="zh-CN"/>
        </w:rPr>
        <w:t>10000t</w:t>
      </w:r>
      <w:r>
        <w:rPr>
          <w:rFonts w:hint="default" w:ascii="Times New Roman" w:hAnsi="Times New Roman" w:eastAsia="宋体" w:cs="宋体"/>
          <w:bCs/>
          <w:color w:val="auto"/>
          <w:sz w:val="24"/>
          <w:lang w:eastAsia="zh-CN"/>
        </w:rPr>
        <w:t>马</w:t>
      </w:r>
      <w:r>
        <w:rPr>
          <w:rFonts w:hint="eastAsia" w:ascii="Times New Roman" w:hAnsi="Times New Roman" w:eastAsia="宋体" w:cs="宋体"/>
          <w:bCs/>
          <w:color w:val="auto"/>
          <w:sz w:val="24"/>
          <w:lang w:eastAsia="zh-CN"/>
        </w:rPr>
        <w:t>铃薯淀粉生产线一条（包含碾磨、粉碎、旋流、脱水、烘干、包装及智能控制系统等），建设内容主要有原料堆场、生产车间、锅炉房、干燥及包装车间、成品库、办公区等，配套建设马铃薯清洗装置及生产废液处置系统</w:t>
      </w:r>
      <w:r>
        <w:rPr>
          <w:rFonts w:hint="eastAsia" w:ascii="Times New Roman" w:hAnsi="Times New Roman" w:eastAsia="宋体" w:cs="宋体"/>
          <w:bCs/>
          <w:color w:val="auto"/>
          <w:sz w:val="24"/>
        </w:rPr>
        <w:t>。</w:t>
      </w:r>
    </w:p>
    <w:p w14:paraId="09EEAB89">
      <w:pPr>
        <w:pStyle w:val="30"/>
        <w:keepNext w:val="0"/>
        <w:keepLines w:val="0"/>
        <w:pageBreakBefore w:val="0"/>
        <w:widowControl/>
        <w:kinsoku w:val="0"/>
        <w:wordWrap/>
        <w:overflowPunct/>
        <w:topLinePunct w:val="0"/>
        <w:autoSpaceDE w:val="0"/>
        <w:autoSpaceDN w:val="0"/>
        <w:bidi w:val="0"/>
        <w:adjustRightInd w:val="0"/>
        <w:snapToGrid w:val="0"/>
        <w:spacing w:line="360" w:lineRule="auto"/>
        <w:ind w:firstLine="198" w:firstLineChars="82"/>
        <w:jc w:val="center"/>
        <w:textAlignment w:val="baseline"/>
        <w:rPr>
          <w:rFonts w:hint="eastAsia" w:ascii="Times New Roman" w:hAnsi="Times New Roman" w:eastAsia="宋体" w:cs="宋体"/>
          <w:b/>
          <w:bCs w:val="0"/>
          <w:color w:val="auto"/>
          <w:lang w:val="en-US" w:eastAsia="zh-CN"/>
        </w:rPr>
      </w:pPr>
      <w:r>
        <w:rPr>
          <w:rFonts w:hint="eastAsia" w:ascii="Times New Roman" w:hAnsi="Times New Roman" w:eastAsia="宋体" w:cs="宋体"/>
          <w:b/>
          <w:bCs w:val="0"/>
          <w:color w:val="auto"/>
          <w:lang w:val="en-US" w:eastAsia="zh-CN"/>
        </w:rPr>
        <w:t>表1-1   项目总技术经济指标一览表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700"/>
        <w:gridCol w:w="2764"/>
        <w:gridCol w:w="1086"/>
        <w:gridCol w:w="1755"/>
        <w:gridCol w:w="1421"/>
      </w:tblGrid>
      <w:tr w14:paraId="471F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260" w:type="dxa"/>
            <w:gridSpan w:val="3"/>
            <w:vAlign w:val="center"/>
          </w:tcPr>
          <w:p w14:paraId="0FA7EA3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b/>
                <w:bCs/>
                <w:color w:val="auto"/>
                <w:sz w:val="21"/>
                <w:vertAlign w:val="baseline"/>
                <w:lang w:val="en-US" w:eastAsia="zh-CN"/>
              </w:rPr>
            </w:pPr>
            <w:r>
              <w:rPr>
                <w:rFonts w:hint="default" w:ascii="Times New Roman" w:hAnsi="Times New Roman" w:eastAsia="宋体" w:cs="宋体"/>
                <w:b/>
                <w:bCs/>
                <w:color w:val="auto"/>
                <w:sz w:val="21"/>
                <w:vertAlign w:val="baseline"/>
                <w:lang w:val="en-US" w:eastAsia="zh-CN"/>
              </w:rPr>
              <w:t>项目</w:t>
            </w:r>
          </w:p>
        </w:tc>
        <w:tc>
          <w:tcPr>
            <w:tcW w:w="1086" w:type="dxa"/>
            <w:vAlign w:val="center"/>
          </w:tcPr>
          <w:p w14:paraId="7597DD4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b/>
                <w:bCs/>
                <w:color w:val="auto"/>
                <w:sz w:val="21"/>
                <w:vertAlign w:val="baseline"/>
                <w:lang w:val="en-US" w:eastAsia="zh-CN"/>
              </w:rPr>
            </w:pPr>
            <w:r>
              <w:rPr>
                <w:rFonts w:hint="default" w:ascii="Times New Roman" w:hAnsi="Times New Roman" w:eastAsia="宋体" w:cs="宋体"/>
                <w:b/>
                <w:bCs/>
                <w:color w:val="auto"/>
                <w:sz w:val="21"/>
                <w:vertAlign w:val="baseline"/>
                <w:lang w:val="en-US" w:eastAsia="zh-CN"/>
              </w:rPr>
              <w:t>单位</w:t>
            </w:r>
          </w:p>
        </w:tc>
        <w:tc>
          <w:tcPr>
            <w:tcW w:w="1755" w:type="dxa"/>
            <w:vAlign w:val="center"/>
          </w:tcPr>
          <w:p w14:paraId="51782C5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b/>
                <w:bCs/>
                <w:color w:val="auto"/>
                <w:sz w:val="21"/>
                <w:vertAlign w:val="baseline"/>
                <w:lang w:val="en-US" w:eastAsia="zh-CN"/>
              </w:rPr>
            </w:pPr>
            <w:r>
              <w:rPr>
                <w:rFonts w:hint="default" w:ascii="Times New Roman" w:hAnsi="Times New Roman" w:eastAsia="宋体" w:cs="宋体"/>
                <w:b/>
                <w:bCs/>
                <w:color w:val="auto"/>
                <w:sz w:val="21"/>
                <w:vertAlign w:val="baseline"/>
                <w:lang w:val="en-US" w:eastAsia="zh-CN"/>
              </w:rPr>
              <w:t>数量</w:t>
            </w:r>
          </w:p>
        </w:tc>
        <w:tc>
          <w:tcPr>
            <w:tcW w:w="1421" w:type="dxa"/>
            <w:vAlign w:val="center"/>
          </w:tcPr>
          <w:p w14:paraId="5113788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b/>
                <w:bCs/>
                <w:color w:val="auto"/>
                <w:sz w:val="21"/>
                <w:vertAlign w:val="baseline"/>
                <w:lang w:val="en-US" w:eastAsia="zh-CN"/>
              </w:rPr>
            </w:pPr>
            <w:r>
              <w:rPr>
                <w:rFonts w:hint="default" w:ascii="Times New Roman" w:hAnsi="Times New Roman" w:eastAsia="宋体" w:cs="宋体"/>
                <w:b/>
                <w:bCs/>
                <w:color w:val="auto"/>
                <w:sz w:val="21"/>
                <w:vertAlign w:val="baseline"/>
                <w:lang w:val="en-US" w:eastAsia="zh-CN"/>
              </w:rPr>
              <w:t>备注</w:t>
            </w:r>
          </w:p>
        </w:tc>
      </w:tr>
      <w:tr w14:paraId="5A90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3"/>
            <w:vAlign w:val="center"/>
          </w:tcPr>
          <w:p w14:paraId="37038B6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规划总用地面积</w:t>
            </w:r>
          </w:p>
        </w:tc>
        <w:tc>
          <w:tcPr>
            <w:tcW w:w="1086" w:type="dxa"/>
            <w:vAlign w:val="center"/>
          </w:tcPr>
          <w:p w14:paraId="46FBFCE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1755" w:type="dxa"/>
            <w:vAlign w:val="center"/>
          </w:tcPr>
          <w:p w14:paraId="464FA92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26184.86</w:t>
            </w:r>
          </w:p>
        </w:tc>
        <w:tc>
          <w:tcPr>
            <w:tcW w:w="1421" w:type="dxa"/>
            <w:vAlign w:val="center"/>
          </w:tcPr>
          <w:p w14:paraId="3596BD5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约39.3亩</w:t>
            </w:r>
          </w:p>
        </w:tc>
      </w:tr>
      <w:tr w14:paraId="4E4B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3"/>
            <w:vAlign w:val="center"/>
          </w:tcPr>
          <w:p w14:paraId="61BA652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总建筑面积</w:t>
            </w:r>
          </w:p>
        </w:tc>
        <w:tc>
          <w:tcPr>
            <w:tcW w:w="1086" w:type="dxa"/>
            <w:vAlign w:val="center"/>
          </w:tcPr>
          <w:p w14:paraId="67E5B0E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1755" w:type="dxa"/>
            <w:vAlign w:val="center"/>
          </w:tcPr>
          <w:p w14:paraId="0DD953B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13414.05</w:t>
            </w:r>
          </w:p>
        </w:tc>
        <w:tc>
          <w:tcPr>
            <w:tcW w:w="1421" w:type="dxa"/>
            <w:vAlign w:val="center"/>
          </w:tcPr>
          <w:p w14:paraId="07B812D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42F7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restart"/>
            <w:vAlign w:val="center"/>
          </w:tcPr>
          <w:p w14:paraId="6B148E3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其中</w:t>
            </w:r>
          </w:p>
        </w:tc>
        <w:tc>
          <w:tcPr>
            <w:tcW w:w="3464" w:type="dxa"/>
            <w:gridSpan w:val="2"/>
            <w:vAlign w:val="center"/>
          </w:tcPr>
          <w:p w14:paraId="3AB06F9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地上建筑面积</w:t>
            </w:r>
          </w:p>
        </w:tc>
        <w:tc>
          <w:tcPr>
            <w:tcW w:w="1086" w:type="dxa"/>
            <w:vAlign w:val="center"/>
          </w:tcPr>
          <w:p w14:paraId="0915226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1755" w:type="dxa"/>
            <w:vAlign w:val="center"/>
          </w:tcPr>
          <w:p w14:paraId="0B13B0E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12814.05</w:t>
            </w:r>
          </w:p>
        </w:tc>
        <w:tc>
          <w:tcPr>
            <w:tcW w:w="1421" w:type="dxa"/>
            <w:vAlign w:val="center"/>
          </w:tcPr>
          <w:p w14:paraId="4FA1031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0E75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continue"/>
            <w:vAlign w:val="center"/>
          </w:tcPr>
          <w:p w14:paraId="041127B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00" w:type="dxa"/>
            <w:vAlign w:val="center"/>
          </w:tcPr>
          <w:p w14:paraId="4466755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已建</w:t>
            </w:r>
          </w:p>
        </w:tc>
        <w:tc>
          <w:tcPr>
            <w:tcW w:w="2764" w:type="dxa"/>
            <w:vAlign w:val="center"/>
          </w:tcPr>
          <w:p w14:paraId="27933AE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建筑面积</w:t>
            </w:r>
          </w:p>
        </w:tc>
        <w:tc>
          <w:tcPr>
            <w:tcW w:w="1086" w:type="dxa"/>
            <w:vAlign w:val="center"/>
          </w:tcPr>
          <w:p w14:paraId="5C4AFCE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1755" w:type="dxa"/>
            <w:vAlign w:val="center"/>
          </w:tcPr>
          <w:p w14:paraId="5D9CEA0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2932.8</w:t>
            </w:r>
          </w:p>
        </w:tc>
        <w:tc>
          <w:tcPr>
            <w:tcW w:w="1421" w:type="dxa"/>
            <w:vAlign w:val="center"/>
          </w:tcPr>
          <w:p w14:paraId="087E5FD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492A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continue"/>
            <w:vAlign w:val="center"/>
          </w:tcPr>
          <w:p w14:paraId="6236B17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00" w:type="dxa"/>
            <w:vMerge w:val="restart"/>
            <w:vAlign w:val="center"/>
          </w:tcPr>
          <w:p w14:paraId="1288431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新建</w:t>
            </w:r>
          </w:p>
        </w:tc>
        <w:tc>
          <w:tcPr>
            <w:tcW w:w="2764" w:type="dxa"/>
            <w:vAlign w:val="center"/>
          </w:tcPr>
          <w:p w14:paraId="116D1E6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车间</w:t>
            </w:r>
          </w:p>
        </w:tc>
        <w:tc>
          <w:tcPr>
            <w:tcW w:w="1086" w:type="dxa"/>
            <w:vAlign w:val="center"/>
          </w:tcPr>
          <w:p w14:paraId="69F6780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1755" w:type="dxa"/>
            <w:vAlign w:val="center"/>
          </w:tcPr>
          <w:p w14:paraId="5CE0ED5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1674.25</w:t>
            </w:r>
          </w:p>
        </w:tc>
        <w:tc>
          <w:tcPr>
            <w:tcW w:w="1421" w:type="dxa"/>
            <w:vAlign w:val="center"/>
          </w:tcPr>
          <w:p w14:paraId="1F56930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517F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continue"/>
            <w:vAlign w:val="center"/>
          </w:tcPr>
          <w:p w14:paraId="3915BEB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00" w:type="dxa"/>
            <w:vMerge w:val="continue"/>
            <w:vAlign w:val="center"/>
          </w:tcPr>
          <w:p w14:paraId="60B06AB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2764" w:type="dxa"/>
            <w:vAlign w:val="center"/>
          </w:tcPr>
          <w:p w14:paraId="3B59E3B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锅炉房</w:t>
            </w:r>
          </w:p>
        </w:tc>
        <w:tc>
          <w:tcPr>
            <w:tcW w:w="1086" w:type="dxa"/>
            <w:vAlign w:val="center"/>
          </w:tcPr>
          <w:p w14:paraId="0285E6F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1755" w:type="dxa"/>
            <w:vAlign w:val="center"/>
          </w:tcPr>
          <w:p w14:paraId="067580E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192</w:t>
            </w:r>
          </w:p>
        </w:tc>
        <w:tc>
          <w:tcPr>
            <w:tcW w:w="1421" w:type="dxa"/>
            <w:vAlign w:val="center"/>
          </w:tcPr>
          <w:p w14:paraId="2EC98BA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003C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continue"/>
            <w:vAlign w:val="center"/>
          </w:tcPr>
          <w:p w14:paraId="20D56E9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00" w:type="dxa"/>
            <w:vMerge w:val="continue"/>
            <w:vAlign w:val="center"/>
          </w:tcPr>
          <w:p w14:paraId="201C190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2764" w:type="dxa"/>
            <w:vAlign w:val="center"/>
          </w:tcPr>
          <w:p w14:paraId="7282F9B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办公室</w:t>
            </w:r>
          </w:p>
        </w:tc>
        <w:tc>
          <w:tcPr>
            <w:tcW w:w="1086" w:type="dxa"/>
            <w:vAlign w:val="center"/>
          </w:tcPr>
          <w:p w14:paraId="3D03B07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1755" w:type="dxa"/>
            <w:vAlign w:val="center"/>
          </w:tcPr>
          <w:p w14:paraId="20C15F9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375</w:t>
            </w:r>
          </w:p>
        </w:tc>
        <w:tc>
          <w:tcPr>
            <w:tcW w:w="1421" w:type="dxa"/>
            <w:vAlign w:val="center"/>
          </w:tcPr>
          <w:p w14:paraId="741BD31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39F5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continue"/>
            <w:vAlign w:val="center"/>
          </w:tcPr>
          <w:p w14:paraId="05E1D49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00" w:type="dxa"/>
            <w:vMerge w:val="continue"/>
            <w:vAlign w:val="center"/>
          </w:tcPr>
          <w:p w14:paraId="58A4A65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2764" w:type="dxa"/>
            <w:vAlign w:val="center"/>
          </w:tcPr>
          <w:p w14:paraId="1D14E39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消控室</w:t>
            </w:r>
          </w:p>
        </w:tc>
        <w:tc>
          <w:tcPr>
            <w:tcW w:w="1086" w:type="dxa"/>
            <w:vAlign w:val="center"/>
          </w:tcPr>
          <w:p w14:paraId="6FCB74B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1755" w:type="dxa"/>
            <w:vAlign w:val="center"/>
          </w:tcPr>
          <w:p w14:paraId="7DDEE5F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54.5</w:t>
            </w:r>
          </w:p>
        </w:tc>
        <w:tc>
          <w:tcPr>
            <w:tcW w:w="1421" w:type="dxa"/>
            <w:vAlign w:val="center"/>
          </w:tcPr>
          <w:p w14:paraId="6CA5A42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2082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continue"/>
            <w:vAlign w:val="center"/>
          </w:tcPr>
          <w:p w14:paraId="7BC49E0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00" w:type="dxa"/>
            <w:vMerge w:val="continue"/>
            <w:vAlign w:val="center"/>
          </w:tcPr>
          <w:p w14:paraId="2009FD8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2764" w:type="dxa"/>
            <w:vAlign w:val="center"/>
          </w:tcPr>
          <w:p w14:paraId="507A88B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配电室</w:t>
            </w:r>
          </w:p>
        </w:tc>
        <w:tc>
          <w:tcPr>
            <w:tcW w:w="1086" w:type="dxa"/>
            <w:vAlign w:val="center"/>
          </w:tcPr>
          <w:p w14:paraId="311AA42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1755" w:type="dxa"/>
            <w:vAlign w:val="center"/>
          </w:tcPr>
          <w:p w14:paraId="3803005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96</w:t>
            </w:r>
          </w:p>
        </w:tc>
        <w:tc>
          <w:tcPr>
            <w:tcW w:w="1421" w:type="dxa"/>
            <w:vAlign w:val="center"/>
          </w:tcPr>
          <w:p w14:paraId="0262D2D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7F2B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continue"/>
            <w:vAlign w:val="center"/>
          </w:tcPr>
          <w:p w14:paraId="3436B95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00" w:type="dxa"/>
            <w:vMerge w:val="continue"/>
            <w:vAlign w:val="center"/>
          </w:tcPr>
          <w:p w14:paraId="1AB3AB8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2764" w:type="dxa"/>
            <w:vAlign w:val="center"/>
          </w:tcPr>
          <w:p w14:paraId="5AB68B1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登记室</w:t>
            </w:r>
          </w:p>
        </w:tc>
        <w:tc>
          <w:tcPr>
            <w:tcW w:w="1086" w:type="dxa"/>
            <w:vAlign w:val="center"/>
          </w:tcPr>
          <w:p w14:paraId="720D83A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1755" w:type="dxa"/>
            <w:vAlign w:val="center"/>
          </w:tcPr>
          <w:p w14:paraId="4150479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150</w:t>
            </w:r>
          </w:p>
        </w:tc>
        <w:tc>
          <w:tcPr>
            <w:tcW w:w="1421" w:type="dxa"/>
            <w:vAlign w:val="center"/>
          </w:tcPr>
          <w:p w14:paraId="72E2587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3152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continue"/>
            <w:vAlign w:val="center"/>
          </w:tcPr>
          <w:p w14:paraId="431040C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00" w:type="dxa"/>
            <w:vMerge w:val="continue"/>
            <w:vAlign w:val="center"/>
          </w:tcPr>
          <w:p w14:paraId="26A9EA9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2764" w:type="dxa"/>
            <w:vAlign w:val="center"/>
          </w:tcPr>
          <w:p w14:paraId="05D18E9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土豆池</w:t>
            </w:r>
          </w:p>
        </w:tc>
        <w:tc>
          <w:tcPr>
            <w:tcW w:w="1086" w:type="dxa"/>
            <w:vAlign w:val="center"/>
          </w:tcPr>
          <w:p w14:paraId="4E80DA7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1755" w:type="dxa"/>
            <w:vAlign w:val="center"/>
          </w:tcPr>
          <w:p w14:paraId="3F8A80B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2080</w:t>
            </w:r>
          </w:p>
        </w:tc>
        <w:tc>
          <w:tcPr>
            <w:tcW w:w="1421" w:type="dxa"/>
            <w:vAlign w:val="center"/>
          </w:tcPr>
          <w:p w14:paraId="3A23E53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078F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continue"/>
            <w:vAlign w:val="center"/>
          </w:tcPr>
          <w:p w14:paraId="541CCA5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00" w:type="dxa"/>
            <w:vMerge w:val="continue"/>
            <w:vAlign w:val="center"/>
          </w:tcPr>
          <w:p w14:paraId="2A08365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2764" w:type="dxa"/>
            <w:vAlign w:val="center"/>
          </w:tcPr>
          <w:p w14:paraId="19E95DE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废水处理系统</w:t>
            </w:r>
          </w:p>
        </w:tc>
        <w:tc>
          <w:tcPr>
            <w:tcW w:w="1086" w:type="dxa"/>
            <w:vAlign w:val="center"/>
          </w:tcPr>
          <w:p w14:paraId="2D41D41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1755" w:type="dxa"/>
            <w:vAlign w:val="center"/>
          </w:tcPr>
          <w:p w14:paraId="0982791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2489.5</w:t>
            </w:r>
          </w:p>
        </w:tc>
        <w:tc>
          <w:tcPr>
            <w:tcW w:w="1421" w:type="dxa"/>
            <w:vAlign w:val="center"/>
          </w:tcPr>
          <w:p w14:paraId="5EE147B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3BC6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continue"/>
            <w:vAlign w:val="center"/>
          </w:tcPr>
          <w:p w14:paraId="0E7342F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00" w:type="dxa"/>
            <w:vMerge w:val="continue"/>
            <w:vAlign w:val="center"/>
          </w:tcPr>
          <w:p w14:paraId="552FDD5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2764" w:type="dxa"/>
            <w:vAlign w:val="center"/>
          </w:tcPr>
          <w:p w14:paraId="3B5112A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装卸场地</w:t>
            </w:r>
          </w:p>
        </w:tc>
        <w:tc>
          <w:tcPr>
            <w:tcW w:w="1086" w:type="dxa"/>
            <w:vAlign w:val="center"/>
          </w:tcPr>
          <w:p w14:paraId="72FEA8F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1755" w:type="dxa"/>
            <w:vAlign w:val="center"/>
          </w:tcPr>
          <w:p w14:paraId="1EF4A98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2770</w:t>
            </w:r>
          </w:p>
        </w:tc>
        <w:tc>
          <w:tcPr>
            <w:tcW w:w="1421" w:type="dxa"/>
            <w:vAlign w:val="center"/>
          </w:tcPr>
          <w:p w14:paraId="7929C08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298C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continue"/>
            <w:vAlign w:val="center"/>
          </w:tcPr>
          <w:p w14:paraId="1FBFE79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3464" w:type="dxa"/>
            <w:gridSpan w:val="2"/>
            <w:vAlign w:val="center"/>
          </w:tcPr>
          <w:p w14:paraId="4214B56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地下建筑面积</w:t>
            </w:r>
          </w:p>
        </w:tc>
        <w:tc>
          <w:tcPr>
            <w:tcW w:w="1086" w:type="dxa"/>
            <w:vAlign w:val="center"/>
          </w:tcPr>
          <w:p w14:paraId="6664C42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1755" w:type="dxa"/>
            <w:vAlign w:val="center"/>
          </w:tcPr>
          <w:p w14:paraId="2831FE4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600</w:t>
            </w:r>
          </w:p>
        </w:tc>
        <w:tc>
          <w:tcPr>
            <w:tcW w:w="1421" w:type="dxa"/>
            <w:vAlign w:val="center"/>
          </w:tcPr>
          <w:p w14:paraId="148FF83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729E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continue"/>
            <w:vAlign w:val="center"/>
          </w:tcPr>
          <w:p w14:paraId="4F701F4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00" w:type="dxa"/>
            <w:vAlign w:val="center"/>
          </w:tcPr>
          <w:p w14:paraId="1D112B6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其中</w:t>
            </w:r>
          </w:p>
        </w:tc>
        <w:tc>
          <w:tcPr>
            <w:tcW w:w="2764" w:type="dxa"/>
            <w:vAlign w:val="center"/>
          </w:tcPr>
          <w:p w14:paraId="02E488C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消防水池及泵房</w:t>
            </w:r>
          </w:p>
        </w:tc>
        <w:tc>
          <w:tcPr>
            <w:tcW w:w="1086" w:type="dxa"/>
            <w:vAlign w:val="center"/>
          </w:tcPr>
          <w:p w14:paraId="63C36E6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1755" w:type="dxa"/>
            <w:vAlign w:val="center"/>
          </w:tcPr>
          <w:p w14:paraId="3B70BCD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600</w:t>
            </w:r>
          </w:p>
        </w:tc>
        <w:tc>
          <w:tcPr>
            <w:tcW w:w="1421" w:type="dxa"/>
            <w:vAlign w:val="center"/>
          </w:tcPr>
          <w:p w14:paraId="7FBE679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1CA9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4260" w:type="dxa"/>
            <w:gridSpan w:val="3"/>
            <w:vAlign w:val="center"/>
          </w:tcPr>
          <w:p w14:paraId="6D865C4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建筑基底面积</w:t>
            </w:r>
          </w:p>
        </w:tc>
        <w:tc>
          <w:tcPr>
            <w:tcW w:w="1086" w:type="dxa"/>
            <w:vAlign w:val="center"/>
          </w:tcPr>
          <w:p w14:paraId="5A747B7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1755" w:type="dxa"/>
            <w:vAlign w:val="center"/>
          </w:tcPr>
          <w:p w14:paraId="5474D2E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12349.05</w:t>
            </w:r>
          </w:p>
        </w:tc>
        <w:tc>
          <w:tcPr>
            <w:tcW w:w="1421" w:type="dxa"/>
            <w:vAlign w:val="center"/>
          </w:tcPr>
          <w:p w14:paraId="0D21389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5632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3"/>
            <w:vAlign w:val="center"/>
          </w:tcPr>
          <w:p w14:paraId="44F8672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容积率</w:t>
            </w:r>
          </w:p>
        </w:tc>
        <w:tc>
          <w:tcPr>
            <w:tcW w:w="1086" w:type="dxa"/>
            <w:vAlign w:val="center"/>
          </w:tcPr>
          <w:p w14:paraId="44BAEC36">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宋体"/>
                <w:color w:val="auto"/>
                <w:sz w:val="21"/>
                <w:vertAlign w:val="baseline"/>
                <w:lang w:val="en-US" w:eastAsia="zh-CN"/>
              </w:rPr>
            </w:pPr>
          </w:p>
        </w:tc>
        <w:tc>
          <w:tcPr>
            <w:tcW w:w="1755" w:type="dxa"/>
            <w:vAlign w:val="center"/>
          </w:tcPr>
          <w:p w14:paraId="62B5390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0.64</w:t>
            </w:r>
          </w:p>
        </w:tc>
        <w:tc>
          <w:tcPr>
            <w:tcW w:w="1421" w:type="dxa"/>
            <w:vAlign w:val="center"/>
          </w:tcPr>
          <w:p w14:paraId="509879D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39FD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3"/>
            <w:vAlign w:val="center"/>
          </w:tcPr>
          <w:p w14:paraId="2E962F9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建筑密度</w:t>
            </w:r>
          </w:p>
        </w:tc>
        <w:tc>
          <w:tcPr>
            <w:tcW w:w="1086" w:type="dxa"/>
            <w:vAlign w:val="center"/>
          </w:tcPr>
          <w:p w14:paraId="2320E92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w:t>
            </w:r>
          </w:p>
        </w:tc>
        <w:tc>
          <w:tcPr>
            <w:tcW w:w="1755" w:type="dxa"/>
            <w:vAlign w:val="center"/>
          </w:tcPr>
          <w:p w14:paraId="1E49476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47.16</w:t>
            </w:r>
          </w:p>
        </w:tc>
        <w:tc>
          <w:tcPr>
            <w:tcW w:w="1421" w:type="dxa"/>
            <w:vAlign w:val="center"/>
          </w:tcPr>
          <w:p w14:paraId="1E9BA24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7BBF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3"/>
            <w:vAlign w:val="center"/>
          </w:tcPr>
          <w:p w14:paraId="15A5792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绿地率</w:t>
            </w:r>
          </w:p>
        </w:tc>
        <w:tc>
          <w:tcPr>
            <w:tcW w:w="1086" w:type="dxa"/>
            <w:vAlign w:val="center"/>
          </w:tcPr>
          <w:p w14:paraId="49B67E6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w:t>
            </w:r>
          </w:p>
        </w:tc>
        <w:tc>
          <w:tcPr>
            <w:tcW w:w="1755" w:type="dxa"/>
            <w:vAlign w:val="center"/>
          </w:tcPr>
          <w:p w14:paraId="0D9E82F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10.20</w:t>
            </w:r>
          </w:p>
        </w:tc>
        <w:tc>
          <w:tcPr>
            <w:tcW w:w="1421" w:type="dxa"/>
            <w:vAlign w:val="center"/>
          </w:tcPr>
          <w:p w14:paraId="708831D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7DB3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6" w:type="dxa"/>
            <w:gridSpan w:val="2"/>
            <w:vMerge w:val="restart"/>
            <w:vAlign w:val="center"/>
          </w:tcPr>
          <w:p w14:paraId="3FCDCF9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停车位</w:t>
            </w:r>
          </w:p>
        </w:tc>
        <w:tc>
          <w:tcPr>
            <w:tcW w:w="2764" w:type="dxa"/>
            <w:vAlign w:val="center"/>
          </w:tcPr>
          <w:p w14:paraId="668F2C2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小车停车位</w:t>
            </w:r>
          </w:p>
        </w:tc>
        <w:tc>
          <w:tcPr>
            <w:tcW w:w="1086" w:type="dxa"/>
            <w:vAlign w:val="center"/>
          </w:tcPr>
          <w:p w14:paraId="7401D43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辆</w:t>
            </w:r>
          </w:p>
        </w:tc>
        <w:tc>
          <w:tcPr>
            <w:tcW w:w="1755" w:type="dxa"/>
            <w:vAlign w:val="center"/>
          </w:tcPr>
          <w:p w14:paraId="0A5BF9C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8</w:t>
            </w:r>
          </w:p>
        </w:tc>
        <w:tc>
          <w:tcPr>
            <w:tcW w:w="1421" w:type="dxa"/>
            <w:vAlign w:val="center"/>
          </w:tcPr>
          <w:p w14:paraId="2725EA6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r w14:paraId="2CF6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6" w:type="dxa"/>
            <w:gridSpan w:val="2"/>
            <w:vMerge w:val="continue"/>
            <w:vAlign w:val="center"/>
          </w:tcPr>
          <w:p w14:paraId="705BC94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2764" w:type="dxa"/>
            <w:vAlign w:val="center"/>
          </w:tcPr>
          <w:p w14:paraId="56BFDB9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大车停车位</w:t>
            </w:r>
          </w:p>
        </w:tc>
        <w:tc>
          <w:tcPr>
            <w:tcW w:w="1086" w:type="dxa"/>
            <w:vAlign w:val="center"/>
          </w:tcPr>
          <w:p w14:paraId="4B22532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辆</w:t>
            </w:r>
          </w:p>
        </w:tc>
        <w:tc>
          <w:tcPr>
            <w:tcW w:w="1755" w:type="dxa"/>
            <w:vAlign w:val="center"/>
          </w:tcPr>
          <w:p w14:paraId="0BB80CE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5</w:t>
            </w:r>
          </w:p>
        </w:tc>
        <w:tc>
          <w:tcPr>
            <w:tcW w:w="1421" w:type="dxa"/>
            <w:vAlign w:val="center"/>
          </w:tcPr>
          <w:p w14:paraId="5A28083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r>
    </w:tbl>
    <w:p w14:paraId="378881F7">
      <w:pPr>
        <w:pStyle w:val="30"/>
        <w:spacing w:line="240" w:lineRule="auto"/>
        <w:ind w:firstLine="198" w:firstLineChars="82"/>
        <w:jc w:val="center"/>
        <w:rPr>
          <w:rFonts w:hint="eastAsia" w:ascii="Times New Roman" w:hAnsi="Times New Roman" w:eastAsia="宋体" w:cs="宋体"/>
          <w:b/>
          <w:bCs w:val="0"/>
          <w:color w:val="auto"/>
        </w:rPr>
      </w:pPr>
      <w:r>
        <w:rPr>
          <w:rFonts w:hint="eastAsia" w:ascii="Times New Roman" w:hAnsi="Times New Roman" w:eastAsia="宋体" w:cs="宋体"/>
          <w:b/>
          <w:bCs w:val="0"/>
          <w:color w:val="auto"/>
        </w:rPr>
        <w:t>表</w:t>
      </w:r>
      <w:r>
        <w:rPr>
          <w:rFonts w:hint="eastAsia" w:ascii="Times New Roman" w:hAnsi="Times New Roman" w:eastAsia="宋体" w:cs="宋体"/>
          <w:b/>
          <w:bCs w:val="0"/>
          <w:color w:val="auto"/>
          <w:lang w:val="en-US" w:eastAsia="zh-CN"/>
        </w:rPr>
        <w:t>1</w:t>
      </w:r>
      <w:r>
        <w:rPr>
          <w:rFonts w:hint="eastAsia" w:ascii="Times New Roman" w:hAnsi="Times New Roman" w:eastAsia="宋体" w:cs="宋体"/>
          <w:b/>
          <w:bCs w:val="0"/>
          <w:color w:val="auto"/>
        </w:rPr>
        <w:t>-</w:t>
      </w:r>
      <w:r>
        <w:rPr>
          <w:rFonts w:hint="eastAsia" w:ascii="Times New Roman" w:hAnsi="Times New Roman" w:eastAsia="宋体" w:cs="宋体"/>
          <w:b/>
          <w:bCs w:val="0"/>
          <w:color w:val="auto"/>
          <w:lang w:val="en-US" w:eastAsia="zh-CN"/>
        </w:rPr>
        <w:t xml:space="preserve">2   </w:t>
      </w:r>
      <w:r>
        <w:rPr>
          <w:rFonts w:hint="eastAsia" w:ascii="Times New Roman" w:hAnsi="Times New Roman" w:eastAsia="宋体" w:cs="宋体"/>
          <w:b/>
          <w:bCs w:val="0"/>
          <w:color w:val="auto"/>
        </w:rPr>
        <w:t>项目主要建设内容一览表</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78"/>
        <w:gridCol w:w="1804"/>
        <w:gridCol w:w="5268"/>
        <w:gridCol w:w="701"/>
      </w:tblGrid>
      <w:tr w14:paraId="338332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tcBorders>
              <w:tl2br w:val="nil"/>
              <w:tr2bl w:val="nil"/>
            </w:tcBorders>
            <w:noWrap w:val="0"/>
            <w:vAlign w:val="center"/>
          </w:tcPr>
          <w:p w14:paraId="4CDF89E9">
            <w:pPr>
              <w:adjustRightInd w:val="0"/>
              <w:snapToGrid w:val="0"/>
              <w:jc w:val="center"/>
              <w:rPr>
                <w:rFonts w:hint="eastAsia" w:ascii="Times New Roman" w:hAnsi="Times New Roman" w:eastAsia="宋体" w:cs="宋体"/>
                <w:b/>
                <w:color w:val="auto"/>
                <w:sz w:val="21"/>
                <w:szCs w:val="21"/>
              </w:rPr>
            </w:pPr>
            <w:r>
              <w:rPr>
                <w:rFonts w:ascii="Times New Roman" w:hAnsi="Times New Roman" w:eastAsia="宋体" w:cs="宋体"/>
                <w:b/>
                <w:color w:val="auto"/>
                <w:sz w:val="21"/>
                <w:szCs w:val="21"/>
              </w:rPr>
              <w:t>工</w:t>
            </w:r>
            <w:r>
              <w:rPr>
                <w:rFonts w:hint="eastAsia" w:ascii="Times New Roman" w:hAnsi="Times New Roman" w:eastAsia="宋体" w:cs="宋体"/>
                <w:b/>
                <w:color w:val="auto"/>
                <w:sz w:val="21"/>
                <w:szCs w:val="21"/>
              </w:rPr>
              <w:t>程</w:t>
            </w:r>
          </w:p>
          <w:p w14:paraId="0D0782E4">
            <w:pPr>
              <w:adjustRightInd w:val="0"/>
              <w:snapToGrid w:val="0"/>
              <w:jc w:val="center"/>
              <w:rPr>
                <w:rFonts w:ascii="Times New Roman" w:hAnsi="Times New Roman" w:eastAsia="宋体" w:cs="宋体"/>
                <w:b/>
                <w:color w:val="auto"/>
                <w:sz w:val="21"/>
                <w:szCs w:val="21"/>
              </w:rPr>
            </w:pPr>
            <w:r>
              <w:rPr>
                <w:rFonts w:ascii="Times New Roman" w:hAnsi="Times New Roman" w:eastAsia="宋体" w:cs="宋体"/>
                <w:b/>
                <w:color w:val="auto"/>
                <w:sz w:val="21"/>
                <w:szCs w:val="21"/>
              </w:rPr>
              <w:t>类别</w:t>
            </w:r>
          </w:p>
        </w:tc>
        <w:tc>
          <w:tcPr>
            <w:tcW w:w="1798" w:type="dxa"/>
            <w:tcBorders>
              <w:tl2br w:val="nil"/>
              <w:tr2bl w:val="nil"/>
            </w:tcBorders>
            <w:noWrap w:val="0"/>
            <w:vAlign w:val="center"/>
          </w:tcPr>
          <w:p w14:paraId="4921BE68">
            <w:pPr>
              <w:adjustRightInd w:val="0"/>
              <w:snapToGrid w:val="0"/>
              <w:jc w:val="center"/>
              <w:rPr>
                <w:rFonts w:ascii="Times New Roman" w:hAnsi="Times New Roman" w:eastAsia="宋体" w:cs="宋体"/>
                <w:b/>
                <w:color w:val="auto"/>
                <w:sz w:val="21"/>
                <w:szCs w:val="21"/>
              </w:rPr>
            </w:pPr>
            <w:r>
              <w:rPr>
                <w:rFonts w:ascii="Times New Roman" w:hAnsi="Times New Roman" w:eastAsia="宋体" w:cs="宋体"/>
                <w:b/>
                <w:color w:val="auto"/>
                <w:sz w:val="21"/>
                <w:szCs w:val="21"/>
              </w:rPr>
              <w:t>工程名称</w:t>
            </w:r>
          </w:p>
        </w:tc>
        <w:tc>
          <w:tcPr>
            <w:tcW w:w="5250" w:type="dxa"/>
            <w:tcBorders>
              <w:tl2br w:val="nil"/>
              <w:tr2bl w:val="nil"/>
            </w:tcBorders>
            <w:noWrap w:val="0"/>
            <w:vAlign w:val="center"/>
          </w:tcPr>
          <w:p w14:paraId="1DDDF643">
            <w:pPr>
              <w:adjustRightInd w:val="0"/>
              <w:snapToGrid w:val="0"/>
              <w:jc w:val="center"/>
              <w:rPr>
                <w:rFonts w:ascii="Times New Roman" w:hAnsi="Times New Roman" w:eastAsia="宋体" w:cs="宋体"/>
                <w:b/>
                <w:color w:val="auto"/>
                <w:sz w:val="21"/>
                <w:szCs w:val="21"/>
              </w:rPr>
            </w:pPr>
            <w:r>
              <w:rPr>
                <w:rFonts w:ascii="Times New Roman" w:hAnsi="Times New Roman" w:eastAsia="宋体" w:cs="宋体"/>
                <w:b/>
                <w:color w:val="auto"/>
                <w:sz w:val="21"/>
                <w:szCs w:val="21"/>
              </w:rPr>
              <w:t>工程内容及规模</w:t>
            </w:r>
          </w:p>
        </w:tc>
        <w:tc>
          <w:tcPr>
            <w:tcW w:w="699" w:type="dxa"/>
            <w:tcBorders>
              <w:tl2br w:val="nil"/>
              <w:tr2bl w:val="nil"/>
            </w:tcBorders>
            <w:noWrap w:val="0"/>
            <w:vAlign w:val="center"/>
          </w:tcPr>
          <w:p w14:paraId="61DC5B2F">
            <w:pPr>
              <w:adjustRightInd w:val="0"/>
              <w:snapToGrid w:val="0"/>
              <w:jc w:val="center"/>
              <w:rPr>
                <w:rFonts w:ascii="Times New Roman" w:hAnsi="Times New Roman" w:eastAsia="宋体" w:cs="宋体"/>
                <w:b/>
                <w:color w:val="auto"/>
                <w:sz w:val="21"/>
                <w:szCs w:val="21"/>
              </w:rPr>
            </w:pPr>
            <w:r>
              <w:rPr>
                <w:rFonts w:hint="eastAsia" w:ascii="Times New Roman" w:hAnsi="Times New Roman" w:eastAsia="宋体" w:cs="宋体"/>
                <w:b/>
                <w:color w:val="auto"/>
                <w:sz w:val="21"/>
                <w:szCs w:val="21"/>
              </w:rPr>
              <w:t>备注</w:t>
            </w:r>
          </w:p>
        </w:tc>
      </w:tr>
      <w:tr w14:paraId="4F4DF5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restart"/>
            <w:tcBorders>
              <w:tl2br w:val="nil"/>
              <w:tr2bl w:val="nil"/>
            </w:tcBorders>
            <w:noWrap w:val="0"/>
            <w:vAlign w:val="center"/>
          </w:tcPr>
          <w:p w14:paraId="15C1D0DA">
            <w:pPr>
              <w:adjustRightInd w:val="0"/>
              <w:snapToGrid w:val="0"/>
              <w:rPr>
                <w:rFonts w:ascii="Times New Roman" w:hAnsi="Times New Roman" w:eastAsia="宋体" w:cs="宋体"/>
                <w:b/>
                <w:color w:val="auto"/>
                <w:sz w:val="21"/>
                <w:szCs w:val="21"/>
              </w:rPr>
            </w:pPr>
            <w:r>
              <w:rPr>
                <w:rFonts w:ascii="Times New Roman" w:hAnsi="Times New Roman" w:eastAsia="宋体" w:cs="宋体"/>
                <w:b/>
                <w:color w:val="auto"/>
                <w:sz w:val="21"/>
                <w:szCs w:val="21"/>
              </w:rPr>
              <w:t>主体工程</w:t>
            </w:r>
          </w:p>
        </w:tc>
        <w:tc>
          <w:tcPr>
            <w:tcW w:w="1798" w:type="dxa"/>
            <w:tcBorders>
              <w:tl2br w:val="nil"/>
              <w:tr2bl w:val="nil"/>
            </w:tcBorders>
            <w:noWrap w:val="0"/>
            <w:vAlign w:val="center"/>
          </w:tcPr>
          <w:p w14:paraId="6B1A0CD7">
            <w:pPr>
              <w:adjustRightInd w:val="0"/>
              <w:snapToGrid w:val="0"/>
              <w:jc w:val="center"/>
              <w:rPr>
                <w:rFonts w:ascii="Times New Roman" w:hAnsi="Times New Roman" w:eastAsia="宋体" w:cs="宋体"/>
                <w:color w:val="auto"/>
                <w:sz w:val="21"/>
                <w:szCs w:val="21"/>
              </w:rPr>
            </w:pPr>
            <w:r>
              <w:rPr>
                <w:rFonts w:ascii="Times New Roman" w:hAnsi="Times New Roman" w:eastAsia="宋体" w:cs="宋体"/>
                <w:color w:val="auto"/>
                <w:sz w:val="21"/>
                <w:szCs w:val="21"/>
              </w:rPr>
              <w:t>淀粉生产车间</w:t>
            </w:r>
          </w:p>
        </w:tc>
        <w:tc>
          <w:tcPr>
            <w:tcW w:w="5250" w:type="dxa"/>
            <w:tcBorders>
              <w:tl2br w:val="nil"/>
              <w:tr2bl w:val="nil"/>
            </w:tcBorders>
            <w:noWrap w:val="0"/>
            <w:vAlign w:val="center"/>
          </w:tcPr>
          <w:p w14:paraId="46398B3E">
            <w:pPr>
              <w:adjustRightInd w:val="0"/>
              <w:snapToGrid w:val="0"/>
              <w:rPr>
                <w:rFonts w:hint="eastAsia" w:ascii="Times New Roman" w:hAnsi="Times New Roman" w:eastAsia="宋体" w:cs="宋体"/>
                <w:color w:val="auto"/>
                <w:sz w:val="21"/>
                <w:szCs w:val="21"/>
                <w:highlight w:val="none"/>
                <w:lang w:eastAsia="zh-CN"/>
              </w:rPr>
            </w:pPr>
            <w:r>
              <w:rPr>
                <w:rFonts w:hint="eastAsia" w:ascii="Times New Roman" w:hAnsi="Times New Roman" w:eastAsia="宋体" w:cs="宋体"/>
                <w:color w:val="auto"/>
                <w:sz w:val="21"/>
                <w:szCs w:val="21"/>
                <w:highlight w:val="none"/>
              </w:rPr>
              <w:t>建设</w:t>
            </w:r>
            <w:r>
              <w:rPr>
                <w:rFonts w:hint="eastAsia" w:ascii="Times New Roman" w:hAnsi="Times New Roman" w:eastAsia="宋体" w:cs="宋体"/>
                <w:color w:val="auto"/>
                <w:sz w:val="21"/>
                <w:szCs w:val="21"/>
                <w:highlight w:val="none"/>
                <w:lang w:val="en-US" w:eastAsia="zh-CN"/>
              </w:rPr>
              <w:t>钢结构</w:t>
            </w:r>
            <w:r>
              <w:rPr>
                <w:rFonts w:hint="eastAsia" w:ascii="Times New Roman" w:hAnsi="Times New Roman" w:eastAsia="宋体" w:cs="宋体"/>
                <w:color w:val="auto"/>
                <w:sz w:val="21"/>
                <w:szCs w:val="21"/>
                <w:highlight w:val="none"/>
              </w:rPr>
              <w:t>淀粉生产车间1座，建筑面积</w:t>
            </w:r>
            <w:r>
              <w:rPr>
                <w:rFonts w:hint="eastAsia" w:ascii="Times New Roman" w:hAnsi="Times New Roman" w:eastAsia="宋体" w:cs="宋体"/>
                <w:color w:val="auto"/>
                <w:sz w:val="21"/>
                <w:szCs w:val="21"/>
                <w:highlight w:val="none"/>
                <w:lang w:val="en-US" w:eastAsia="zh-CN"/>
              </w:rPr>
              <w:t>1396.75</w:t>
            </w:r>
            <w:r>
              <w:rPr>
                <w:rFonts w:hint="eastAsia" w:ascii="Times New Roman" w:hAnsi="Times New Roman" w:eastAsia="宋体" w:cs="宋体"/>
                <w:color w:val="auto"/>
                <w:sz w:val="21"/>
                <w:szCs w:val="21"/>
                <w:highlight w:val="none"/>
              </w:rPr>
              <w:t>m</w:t>
            </w:r>
            <w:r>
              <w:rPr>
                <w:rFonts w:hint="eastAsia" w:ascii="Times New Roman" w:hAnsi="Times New Roman" w:eastAsia="宋体" w:cs="宋体"/>
                <w:color w:val="auto"/>
                <w:sz w:val="21"/>
                <w:szCs w:val="21"/>
                <w:highlight w:val="none"/>
                <w:vertAlign w:val="superscript"/>
              </w:rPr>
              <w:t>2</w:t>
            </w:r>
            <w:r>
              <w:rPr>
                <w:rFonts w:hint="eastAsia" w:ascii="Times New Roman" w:hAnsi="Times New Roman" w:eastAsia="宋体" w:cs="宋体"/>
                <w:color w:val="auto"/>
                <w:sz w:val="21"/>
                <w:szCs w:val="21"/>
                <w:highlight w:val="none"/>
              </w:rPr>
              <w:t>，设置淀粉生产线</w:t>
            </w:r>
            <w:r>
              <w:rPr>
                <w:rFonts w:hint="eastAsia" w:ascii="Times New Roman" w:hAnsi="Times New Roman" w:eastAsia="宋体" w:cs="宋体"/>
                <w:color w:val="auto"/>
                <w:sz w:val="21"/>
                <w:szCs w:val="21"/>
                <w:highlight w:val="none"/>
                <w:lang w:val="en-US" w:eastAsia="zh-CN"/>
              </w:rPr>
              <w:t>1</w:t>
            </w:r>
            <w:r>
              <w:rPr>
                <w:rFonts w:hint="eastAsia" w:ascii="Times New Roman" w:hAnsi="Times New Roman" w:eastAsia="宋体" w:cs="宋体"/>
                <w:color w:val="auto"/>
                <w:sz w:val="21"/>
                <w:szCs w:val="21"/>
                <w:highlight w:val="none"/>
              </w:rPr>
              <w:t>条，生产能力为</w:t>
            </w:r>
            <w:r>
              <w:rPr>
                <w:rFonts w:hint="eastAsia" w:ascii="Times New Roman" w:hAnsi="Times New Roman" w:eastAsia="宋体" w:cs="宋体"/>
                <w:color w:val="auto"/>
                <w:sz w:val="21"/>
                <w:szCs w:val="21"/>
                <w:highlight w:val="none"/>
                <w:lang w:val="en-US" w:eastAsia="zh-CN"/>
              </w:rPr>
              <w:t>10000</w:t>
            </w:r>
            <w:r>
              <w:rPr>
                <w:rFonts w:hint="eastAsia" w:ascii="Times New Roman" w:hAnsi="Times New Roman" w:eastAsia="宋体" w:cs="宋体"/>
                <w:color w:val="auto"/>
                <w:sz w:val="21"/>
                <w:szCs w:val="21"/>
                <w:highlight w:val="none"/>
              </w:rPr>
              <w:t>t/</w:t>
            </w:r>
            <w:r>
              <w:rPr>
                <w:rFonts w:hint="eastAsia" w:ascii="Times New Roman" w:hAnsi="Times New Roman" w:eastAsia="宋体" w:cs="宋体"/>
                <w:color w:val="auto"/>
                <w:sz w:val="21"/>
                <w:szCs w:val="21"/>
                <w:highlight w:val="none"/>
                <w:lang w:val="en-US" w:eastAsia="zh-CN"/>
              </w:rPr>
              <w:t>a</w:t>
            </w:r>
            <w:r>
              <w:rPr>
                <w:rFonts w:hint="eastAsia" w:ascii="Times New Roman" w:hAnsi="Times New Roman" w:eastAsia="宋体" w:cs="宋体"/>
                <w:color w:val="auto"/>
                <w:sz w:val="21"/>
                <w:szCs w:val="21"/>
                <w:highlight w:val="none"/>
                <w:lang w:eastAsia="zh-CN"/>
              </w:rPr>
              <w:t>。</w:t>
            </w:r>
          </w:p>
        </w:tc>
        <w:tc>
          <w:tcPr>
            <w:tcW w:w="699" w:type="dxa"/>
            <w:tcBorders>
              <w:tl2br w:val="nil"/>
              <w:tr2bl w:val="nil"/>
            </w:tcBorders>
            <w:noWrap w:val="0"/>
            <w:vAlign w:val="center"/>
          </w:tcPr>
          <w:p w14:paraId="2DDC3412">
            <w:pPr>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新建</w:t>
            </w:r>
          </w:p>
        </w:tc>
      </w:tr>
      <w:tr w14:paraId="04CD7F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noWrap w:val="0"/>
            <w:vAlign w:val="center"/>
          </w:tcPr>
          <w:p w14:paraId="60DCA134">
            <w:pPr>
              <w:adjustRightInd w:val="0"/>
              <w:snapToGrid w:val="0"/>
              <w:rPr>
                <w:rFonts w:ascii="Times New Roman" w:hAnsi="Times New Roman" w:eastAsia="宋体" w:cs="宋体"/>
                <w:b/>
                <w:color w:val="auto"/>
                <w:sz w:val="21"/>
                <w:szCs w:val="21"/>
              </w:rPr>
            </w:pPr>
          </w:p>
        </w:tc>
        <w:tc>
          <w:tcPr>
            <w:tcW w:w="1798" w:type="dxa"/>
            <w:tcBorders>
              <w:tl2br w:val="nil"/>
              <w:tr2bl w:val="nil"/>
            </w:tcBorders>
            <w:noWrap w:val="0"/>
            <w:vAlign w:val="center"/>
          </w:tcPr>
          <w:p w14:paraId="605E65E6">
            <w:pPr>
              <w:adjustRightInd w:val="0"/>
              <w:snapToGrid w:val="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干燥包装车间</w:t>
            </w:r>
          </w:p>
        </w:tc>
        <w:tc>
          <w:tcPr>
            <w:tcW w:w="5250" w:type="dxa"/>
            <w:tcBorders>
              <w:tl2br w:val="nil"/>
              <w:tr2bl w:val="nil"/>
            </w:tcBorders>
            <w:noWrap w:val="0"/>
            <w:vAlign w:val="center"/>
          </w:tcPr>
          <w:p w14:paraId="34B8D360">
            <w:pPr>
              <w:adjustRightInd w:val="0"/>
              <w:snapToGrid w:val="0"/>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干燥包装车间位于生产车间内东侧，2层钢结构，建筑面积277.5</w:t>
            </w:r>
            <w:r>
              <w:rPr>
                <w:rFonts w:hint="eastAsia" w:ascii="Times New Roman" w:hAnsi="Times New Roman" w:eastAsia="宋体" w:cs="宋体"/>
                <w:color w:val="auto"/>
                <w:sz w:val="21"/>
                <w:szCs w:val="21"/>
                <w:highlight w:val="none"/>
              </w:rPr>
              <w:t>m</w:t>
            </w:r>
            <w:r>
              <w:rPr>
                <w:rFonts w:hint="eastAsia" w:ascii="Times New Roman" w:hAnsi="Times New Roman" w:eastAsia="宋体" w:cs="宋体"/>
                <w:color w:val="auto"/>
                <w:sz w:val="21"/>
                <w:szCs w:val="21"/>
                <w:highlight w:val="none"/>
                <w:vertAlign w:val="superscript"/>
              </w:rPr>
              <w:t>2</w:t>
            </w:r>
            <w:r>
              <w:rPr>
                <w:rFonts w:hint="eastAsia" w:ascii="Times New Roman" w:hAnsi="Times New Roman" w:eastAsia="宋体" w:cs="宋体"/>
                <w:color w:val="auto"/>
                <w:sz w:val="21"/>
                <w:szCs w:val="21"/>
                <w:highlight w:val="none"/>
                <w:lang w:val="en-US" w:eastAsia="zh-CN"/>
              </w:rPr>
              <w:t>。</w:t>
            </w:r>
          </w:p>
        </w:tc>
        <w:tc>
          <w:tcPr>
            <w:tcW w:w="699" w:type="dxa"/>
            <w:tcBorders>
              <w:tl2br w:val="nil"/>
              <w:tr2bl w:val="nil"/>
            </w:tcBorders>
            <w:noWrap w:val="0"/>
            <w:vAlign w:val="center"/>
          </w:tcPr>
          <w:p w14:paraId="2202306A">
            <w:pPr>
              <w:adjustRightInd w:val="0"/>
              <w:snapToGrid w:val="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新建</w:t>
            </w:r>
          </w:p>
        </w:tc>
      </w:tr>
      <w:tr w14:paraId="2C46F4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noWrap w:val="0"/>
            <w:vAlign w:val="center"/>
          </w:tcPr>
          <w:p w14:paraId="146DD69B">
            <w:pPr>
              <w:adjustRightInd w:val="0"/>
              <w:snapToGrid w:val="0"/>
              <w:rPr>
                <w:rFonts w:ascii="Times New Roman" w:hAnsi="Times New Roman" w:eastAsia="宋体" w:cs="宋体"/>
                <w:b/>
                <w:color w:val="auto"/>
                <w:sz w:val="21"/>
                <w:szCs w:val="21"/>
              </w:rPr>
            </w:pPr>
          </w:p>
        </w:tc>
        <w:tc>
          <w:tcPr>
            <w:tcW w:w="1798" w:type="dxa"/>
            <w:tcBorders>
              <w:tl2br w:val="nil"/>
              <w:tr2bl w:val="nil"/>
            </w:tcBorders>
            <w:noWrap w:val="0"/>
            <w:vAlign w:val="center"/>
          </w:tcPr>
          <w:p w14:paraId="12647D0C">
            <w:pPr>
              <w:adjustRightInd w:val="0"/>
              <w:snapToGrid w:val="0"/>
              <w:jc w:val="center"/>
              <w:rPr>
                <w:rFonts w:ascii="Times New Roman" w:hAnsi="Times New Roman" w:eastAsia="宋体" w:cs="宋体"/>
                <w:color w:val="auto"/>
                <w:sz w:val="21"/>
                <w:szCs w:val="21"/>
              </w:rPr>
            </w:pPr>
            <w:r>
              <w:rPr>
                <w:rFonts w:ascii="Times New Roman" w:hAnsi="Times New Roman" w:eastAsia="宋体" w:cs="宋体"/>
                <w:color w:val="auto"/>
                <w:sz w:val="21"/>
                <w:szCs w:val="21"/>
              </w:rPr>
              <w:t>成品库</w:t>
            </w:r>
          </w:p>
        </w:tc>
        <w:tc>
          <w:tcPr>
            <w:tcW w:w="5250" w:type="dxa"/>
            <w:tcBorders>
              <w:tl2br w:val="nil"/>
              <w:tr2bl w:val="nil"/>
            </w:tcBorders>
            <w:noWrap w:val="0"/>
            <w:vAlign w:val="center"/>
          </w:tcPr>
          <w:p w14:paraId="58D51B62">
            <w:pPr>
              <w:adjustRightInd w:val="0"/>
              <w:snapToGrid w:val="0"/>
              <w:rPr>
                <w:rFonts w:hint="eastAsia" w:ascii="Times New Roman" w:hAnsi="Times New Roman" w:eastAsia="宋体" w:cs="宋体"/>
                <w:color w:val="auto"/>
                <w:sz w:val="21"/>
                <w:szCs w:val="21"/>
                <w:highlight w:val="none"/>
                <w:lang w:eastAsia="zh-CN"/>
              </w:rPr>
            </w:pPr>
            <w:r>
              <w:rPr>
                <w:rFonts w:hint="eastAsia" w:ascii="Times New Roman" w:hAnsi="Times New Roman" w:eastAsia="宋体" w:cs="宋体"/>
                <w:color w:val="auto"/>
                <w:sz w:val="21"/>
                <w:szCs w:val="21"/>
                <w:highlight w:val="none"/>
                <w:lang w:val="en-US" w:eastAsia="zh-CN"/>
              </w:rPr>
              <w:t>厂区现有2</w:t>
            </w:r>
            <w:r>
              <w:rPr>
                <w:rFonts w:hint="eastAsia" w:ascii="Times New Roman" w:hAnsi="Times New Roman" w:eastAsia="宋体" w:cs="宋体"/>
                <w:color w:val="auto"/>
                <w:sz w:val="21"/>
                <w:szCs w:val="21"/>
                <w:highlight w:val="none"/>
              </w:rPr>
              <w:t>座</w:t>
            </w:r>
            <w:r>
              <w:rPr>
                <w:rFonts w:hint="eastAsia" w:ascii="Times New Roman" w:hAnsi="Times New Roman" w:eastAsia="宋体" w:cs="宋体"/>
                <w:color w:val="auto"/>
                <w:sz w:val="21"/>
                <w:szCs w:val="21"/>
                <w:highlight w:val="none"/>
                <w:lang w:val="en-US" w:eastAsia="zh-CN"/>
              </w:rPr>
              <w:t>钢结构</w:t>
            </w:r>
            <w:r>
              <w:rPr>
                <w:rFonts w:hint="eastAsia" w:ascii="Times New Roman" w:hAnsi="Times New Roman" w:eastAsia="宋体" w:cs="宋体"/>
                <w:color w:val="auto"/>
                <w:sz w:val="21"/>
                <w:szCs w:val="21"/>
                <w:highlight w:val="none"/>
              </w:rPr>
              <w:t>成品库，建筑面积</w:t>
            </w:r>
            <w:r>
              <w:rPr>
                <w:rFonts w:hint="eastAsia" w:ascii="Times New Roman" w:hAnsi="Times New Roman" w:eastAsia="宋体" w:cs="宋体"/>
                <w:color w:val="auto"/>
                <w:sz w:val="21"/>
                <w:szCs w:val="21"/>
                <w:highlight w:val="none"/>
                <w:lang w:val="en-US" w:eastAsia="zh-CN"/>
              </w:rPr>
              <w:t>2252.8</w:t>
            </w:r>
            <w:r>
              <w:rPr>
                <w:rFonts w:hint="eastAsia" w:ascii="Times New Roman" w:hAnsi="Times New Roman" w:eastAsia="宋体" w:cs="宋体"/>
                <w:color w:val="auto"/>
                <w:sz w:val="21"/>
                <w:szCs w:val="21"/>
                <w:highlight w:val="none"/>
              </w:rPr>
              <w:t>m</w:t>
            </w:r>
            <w:r>
              <w:rPr>
                <w:rFonts w:hint="eastAsia" w:ascii="Times New Roman" w:hAnsi="Times New Roman" w:eastAsia="宋体" w:cs="宋体"/>
                <w:color w:val="auto"/>
                <w:sz w:val="21"/>
                <w:szCs w:val="21"/>
                <w:highlight w:val="none"/>
                <w:vertAlign w:val="superscript"/>
              </w:rPr>
              <w:t>2</w:t>
            </w:r>
            <w:r>
              <w:rPr>
                <w:rFonts w:hint="eastAsia" w:ascii="Times New Roman" w:hAnsi="Times New Roman" w:eastAsia="宋体" w:cs="宋体"/>
                <w:color w:val="auto"/>
                <w:sz w:val="21"/>
                <w:szCs w:val="21"/>
                <w:highlight w:val="none"/>
                <w:lang w:eastAsia="zh-CN"/>
              </w:rPr>
              <w:t>，</w:t>
            </w:r>
            <w:r>
              <w:rPr>
                <w:rFonts w:hint="eastAsia" w:ascii="Times New Roman" w:hAnsi="Times New Roman" w:eastAsia="宋体" w:cs="宋体"/>
                <w:color w:val="auto"/>
                <w:sz w:val="21"/>
                <w:szCs w:val="21"/>
                <w:highlight w:val="none"/>
              </w:rPr>
              <w:t>用于存放成品淀粉</w:t>
            </w:r>
            <w:r>
              <w:rPr>
                <w:rFonts w:hint="eastAsia" w:ascii="Times New Roman" w:hAnsi="Times New Roman" w:eastAsia="宋体" w:cs="宋体"/>
                <w:color w:val="auto"/>
                <w:sz w:val="21"/>
                <w:szCs w:val="21"/>
                <w:highlight w:val="none"/>
                <w:lang w:eastAsia="zh-CN"/>
              </w:rPr>
              <w:t>。</w:t>
            </w:r>
          </w:p>
        </w:tc>
        <w:tc>
          <w:tcPr>
            <w:tcW w:w="699" w:type="dxa"/>
            <w:tcBorders>
              <w:tl2br w:val="nil"/>
              <w:tr2bl w:val="nil"/>
            </w:tcBorders>
            <w:noWrap w:val="0"/>
            <w:vAlign w:val="center"/>
          </w:tcPr>
          <w:p w14:paraId="33F22AEC">
            <w:pPr>
              <w:adjustRightInd w:val="0"/>
              <w:snapToGrid w:val="0"/>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利用</w:t>
            </w:r>
          </w:p>
        </w:tc>
      </w:tr>
      <w:tr w14:paraId="776AD0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noWrap w:val="0"/>
            <w:vAlign w:val="center"/>
          </w:tcPr>
          <w:p w14:paraId="2D51B7B2">
            <w:pPr>
              <w:adjustRightInd w:val="0"/>
              <w:snapToGrid w:val="0"/>
              <w:rPr>
                <w:rFonts w:ascii="Times New Roman" w:hAnsi="Times New Roman" w:eastAsia="宋体" w:cs="宋体"/>
                <w:b/>
                <w:color w:val="auto"/>
                <w:sz w:val="21"/>
                <w:szCs w:val="21"/>
              </w:rPr>
            </w:pPr>
          </w:p>
        </w:tc>
        <w:tc>
          <w:tcPr>
            <w:tcW w:w="1798" w:type="dxa"/>
            <w:tcBorders>
              <w:tl2br w:val="nil"/>
              <w:tr2bl w:val="nil"/>
            </w:tcBorders>
            <w:noWrap w:val="0"/>
            <w:vAlign w:val="center"/>
          </w:tcPr>
          <w:p w14:paraId="6C9E26CD">
            <w:pPr>
              <w:adjustRightInd w:val="0"/>
              <w:snapToGrid w:val="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原料</w:t>
            </w:r>
            <w:r>
              <w:rPr>
                <w:rFonts w:hint="eastAsia" w:ascii="Times New Roman" w:hAnsi="Times New Roman" w:eastAsia="宋体" w:cs="宋体"/>
                <w:color w:val="auto"/>
                <w:sz w:val="21"/>
                <w:szCs w:val="21"/>
                <w:lang w:val="en-US" w:eastAsia="zh-CN"/>
              </w:rPr>
              <w:t>堆场</w:t>
            </w:r>
          </w:p>
        </w:tc>
        <w:tc>
          <w:tcPr>
            <w:tcW w:w="5250" w:type="dxa"/>
            <w:tcBorders>
              <w:tl2br w:val="nil"/>
              <w:tr2bl w:val="nil"/>
            </w:tcBorders>
            <w:noWrap w:val="0"/>
            <w:vAlign w:val="center"/>
          </w:tcPr>
          <w:p w14:paraId="7FE9C437">
            <w:pPr>
              <w:adjustRightInd w:val="0"/>
              <w:snapToGrid w:val="0"/>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厂区中央设置一座堆场，用于原料马铃薯的暂存。</w:t>
            </w:r>
          </w:p>
        </w:tc>
        <w:tc>
          <w:tcPr>
            <w:tcW w:w="699" w:type="dxa"/>
            <w:tcBorders>
              <w:tl2br w:val="nil"/>
              <w:tr2bl w:val="nil"/>
            </w:tcBorders>
            <w:noWrap w:val="0"/>
            <w:vAlign w:val="center"/>
          </w:tcPr>
          <w:p w14:paraId="2ECDE01F">
            <w:pPr>
              <w:adjustRightInd w:val="0"/>
              <w:snapToGrid w:val="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新建</w:t>
            </w:r>
          </w:p>
        </w:tc>
      </w:tr>
      <w:tr w14:paraId="3B2E45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noWrap w:val="0"/>
            <w:vAlign w:val="center"/>
          </w:tcPr>
          <w:p w14:paraId="5299028B">
            <w:pPr>
              <w:adjustRightInd w:val="0"/>
              <w:snapToGrid w:val="0"/>
              <w:rPr>
                <w:rFonts w:ascii="Times New Roman" w:hAnsi="Times New Roman" w:eastAsia="宋体" w:cs="宋体"/>
                <w:b/>
                <w:color w:val="auto"/>
                <w:sz w:val="21"/>
                <w:szCs w:val="21"/>
              </w:rPr>
            </w:pPr>
          </w:p>
        </w:tc>
        <w:tc>
          <w:tcPr>
            <w:tcW w:w="1798" w:type="dxa"/>
            <w:tcBorders>
              <w:tl2br w:val="nil"/>
              <w:tr2bl w:val="nil"/>
            </w:tcBorders>
            <w:noWrap w:val="0"/>
            <w:vAlign w:val="center"/>
          </w:tcPr>
          <w:p w14:paraId="6522AFB9">
            <w:pPr>
              <w:adjustRightInd w:val="0"/>
              <w:snapToGrid w:val="0"/>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原料</w:t>
            </w:r>
            <w:r>
              <w:rPr>
                <w:rFonts w:hint="eastAsia" w:ascii="Times New Roman" w:hAnsi="Times New Roman" w:eastAsia="宋体" w:cs="宋体"/>
                <w:color w:val="auto"/>
                <w:sz w:val="21"/>
                <w:szCs w:val="21"/>
              </w:rPr>
              <w:t>流送池</w:t>
            </w:r>
          </w:p>
        </w:tc>
        <w:tc>
          <w:tcPr>
            <w:tcW w:w="5250" w:type="dxa"/>
            <w:tcBorders>
              <w:tl2br w:val="nil"/>
              <w:tr2bl w:val="nil"/>
            </w:tcBorders>
            <w:noWrap w:val="0"/>
            <w:vAlign w:val="center"/>
          </w:tcPr>
          <w:p w14:paraId="707BB340">
            <w:pPr>
              <w:adjustRightInd w:val="0"/>
              <w:snapToGrid w:val="0"/>
              <w:rPr>
                <w:rFonts w:hint="eastAsia" w:ascii="Times New Roman" w:hAnsi="Times New Roman" w:eastAsia="宋体" w:cs="宋体"/>
                <w:color w:val="auto"/>
                <w:sz w:val="21"/>
                <w:szCs w:val="21"/>
                <w:highlight w:val="none"/>
                <w:lang w:eastAsia="zh-CN"/>
              </w:rPr>
            </w:pPr>
            <w:r>
              <w:rPr>
                <w:rFonts w:hint="eastAsia" w:ascii="Times New Roman" w:hAnsi="Times New Roman" w:eastAsia="宋体" w:cs="宋体"/>
                <w:color w:val="auto"/>
                <w:sz w:val="21"/>
                <w:szCs w:val="21"/>
                <w:highlight w:val="none"/>
                <w:lang w:val="en-US" w:eastAsia="zh-CN"/>
              </w:rPr>
              <w:t>设置</w:t>
            </w:r>
            <w:r>
              <w:rPr>
                <w:rFonts w:hint="eastAsia" w:ascii="Times New Roman" w:hAnsi="Times New Roman" w:eastAsia="宋体" w:cs="宋体"/>
                <w:color w:val="auto"/>
                <w:sz w:val="21"/>
                <w:szCs w:val="21"/>
                <w:highlight w:val="none"/>
              </w:rPr>
              <w:t>原料马铃薯流送池</w:t>
            </w:r>
            <w:r>
              <w:rPr>
                <w:rFonts w:hint="eastAsia" w:ascii="Times New Roman" w:hAnsi="Times New Roman" w:eastAsia="宋体" w:cs="宋体"/>
                <w:color w:val="auto"/>
                <w:sz w:val="21"/>
                <w:szCs w:val="21"/>
                <w:highlight w:val="none"/>
                <w:lang w:val="en-US" w:eastAsia="zh-CN"/>
              </w:rPr>
              <w:t>2</w:t>
            </w:r>
            <w:r>
              <w:rPr>
                <w:rFonts w:hint="eastAsia" w:ascii="Times New Roman" w:hAnsi="Times New Roman" w:eastAsia="宋体" w:cs="宋体"/>
                <w:color w:val="auto"/>
                <w:sz w:val="21"/>
                <w:szCs w:val="21"/>
                <w:highlight w:val="none"/>
              </w:rPr>
              <w:t>座，容积为</w:t>
            </w:r>
            <w:r>
              <w:rPr>
                <w:rFonts w:hint="eastAsia" w:ascii="Times New Roman" w:hAnsi="Times New Roman" w:eastAsia="宋体" w:cs="宋体"/>
                <w:color w:val="auto"/>
                <w:sz w:val="21"/>
                <w:szCs w:val="21"/>
                <w:highlight w:val="none"/>
                <w:lang w:val="en-US" w:eastAsia="zh-CN"/>
              </w:rPr>
              <w:t>5760</w:t>
            </w:r>
            <w:r>
              <w:rPr>
                <w:rFonts w:hint="eastAsia" w:ascii="Times New Roman" w:hAnsi="Times New Roman" w:eastAsia="宋体" w:cs="宋体"/>
                <w:color w:val="auto"/>
                <w:sz w:val="21"/>
                <w:szCs w:val="21"/>
                <w:highlight w:val="none"/>
              </w:rPr>
              <w:t>m</w:t>
            </w:r>
            <w:r>
              <w:rPr>
                <w:rFonts w:hint="eastAsia" w:ascii="Times New Roman" w:hAnsi="Times New Roman" w:eastAsia="宋体" w:cs="宋体"/>
                <w:color w:val="auto"/>
                <w:sz w:val="21"/>
                <w:szCs w:val="21"/>
                <w:highlight w:val="none"/>
                <w:vertAlign w:val="superscript"/>
              </w:rPr>
              <w:t>3</w:t>
            </w:r>
            <w:r>
              <w:rPr>
                <w:rFonts w:hint="eastAsia" w:ascii="Times New Roman" w:hAnsi="Times New Roman" w:eastAsia="宋体" w:cs="宋体"/>
                <w:color w:val="auto"/>
                <w:sz w:val="21"/>
                <w:szCs w:val="21"/>
                <w:highlight w:val="none"/>
                <w:vertAlign w:val="baseline"/>
                <w:lang w:eastAsia="zh-CN"/>
              </w:rPr>
              <w:t>。</w:t>
            </w:r>
            <w:r>
              <w:rPr>
                <w:rFonts w:hint="eastAsia" w:ascii="Times New Roman" w:hAnsi="Times New Roman" w:eastAsia="宋体" w:cs="宋体"/>
                <w:color w:val="auto"/>
                <w:sz w:val="21"/>
                <w:szCs w:val="21"/>
                <w:highlight w:val="none"/>
              </w:rPr>
              <w:t>位于厂区中央</w:t>
            </w:r>
            <w:r>
              <w:rPr>
                <w:rFonts w:hint="eastAsia" w:ascii="Times New Roman" w:hAnsi="Times New Roman" w:eastAsia="宋体" w:cs="宋体"/>
                <w:color w:val="auto"/>
                <w:sz w:val="21"/>
                <w:szCs w:val="21"/>
                <w:highlight w:val="none"/>
                <w:lang w:val="en-US" w:eastAsia="zh-CN"/>
              </w:rPr>
              <w:t>北侧</w:t>
            </w:r>
            <w:r>
              <w:rPr>
                <w:rFonts w:hint="eastAsia" w:ascii="Times New Roman" w:hAnsi="Times New Roman" w:eastAsia="宋体" w:cs="宋体"/>
                <w:color w:val="auto"/>
                <w:sz w:val="21"/>
                <w:szCs w:val="21"/>
                <w:highlight w:val="none"/>
              </w:rPr>
              <w:t>，中间设凹槽，用于马铃薯冲洗和输送，混凝土结构，地面及四壁均进行防渗</w:t>
            </w:r>
            <w:r>
              <w:rPr>
                <w:rFonts w:hint="eastAsia" w:ascii="Times New Roman" w:hAnsi="Times New Roman" w:eastAsia="宋体" w:cs="宋体"/>
                <w:color w:val="auto"/>
                <w:sz w:val="21"/>
                <w:szCs w:val="21"/>
                <w:highlight w:val="none"/>
                <w:lang w:eastAsia="zh-CN"/>
              </w:rPr>
              <w:t>。</w:t>
            </w:r>
          </w:p>
        </w:tc>
        <w:tc>
          <w:tcPr>
            <w:tcW w:w="699" w:type="dxa"/>
            <w:tcBorders>
              <w:tl2br w:val="nil"/>
              <w:tr2bl w:val="nil"/>
            </w:tcBorders>
            <w:noWrap w:val="0"/>
            <w:vAlign w:val="center"/>
          </w:tcPr>
          <w:p w14:paraId="2E34E546">
            <w:pPr>
              <w:adjustRightInd w:val="0"/>
              <w:snapToGrid w:val="0"/>
              <w:jc w:val="center"/>
              <w:rPr>
                <w:rFonts w:hint="eastAsia" w:ascii="Times New Roman" w:hAnsi="Times New Roman" w:eastAsia="宋体" w:cs="宋体"/>
                <w:color w:val="auto"/>
                <w:sz w:val="21"/>
                <w:szCs w:val="21"/>
              </w:rPr>
            </w:pPr>
            <w:r>
              <w:rPr>
                <w:rFonts w:ascii="Times New Roman" w:hAnsi="Times New Roman" w:eastAsia="宋体" w:cs="宋体"/>
                <w:color w:val="auto"/>
                <w:sz w:val="21"/>
                <w:szCs w:val="21"/>
              </w:rPr>
              <w:t>新建</w:t>
            </w:r>
          </w:p>
        </w:tc>
      </w:tr>
      <w:tr w14:paraId="6DA6DA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restart"/>
            <w:tcBorders>
              <w:tl2br w:val="nil"/>
              <w:tr2bl w:val="nil"/>
            </w:tcBorders>
            <w:noWrap w:val="0"/>
            <w:vAlign w:val="center"/>
          </w:tcPr>
          <w:p w14:paraId="43FCF96A">
            <w:pPr>
              <w:adjustRightInd w:val="0"/>
              <w:snapToGrid w:val="0"/>
              <w:rPr>
                <w:rFonts w:ascii="Times New Roman" w:hAnsi="Times New Roman" w:eastAsia="宋体" w:cs="宋体"/>
                <w:b/>
                <w:color w:val="auto"/>
                <w:sz w:val="21"/>
                <w:szCs w:val="21"/>
              </w:rPr>
            </w:pPr>
            <w:r>
              <w:rPr>
                <w:rFonts w:ascii="Times New Roman" w:hAnsi="Times New Roman" w:eastAsia="宋体" w:cs="宋体"/>
                <w:b/>
                <w:color w:val="auto"/>
                <w:sz w:val="21"/>
                <w:szCs w:val="21"/>
              </w:rPr>
              <w:t>辅助工程</w:t>
            </w:r>
          </w:p>
        </w:tc>
        <w:tc>
          <w:tcPr>
            <w:tcW w:w="1798" w:type="dxa"/>
            <w:vMerge w:val="restart"/>
            <w:tcBorders>
              <w:tl2br w:val="nil"/>
              <w:tr2bl w:val="nil"/>
            </w:tcBorders>
            <w:noWrap w:val="0"/>
            <w:vAlign w:val="center"/>
          </w:tcPr>
          <w:p w14:paraId="585F5081">
            <w:pPr>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办公区</w:t>
            </w:r>
          </w:p>
        </w:tc>
        <w:tc>
          <w:tcPr>
            <w:tcW w:w="5250" w:type="dxa"/>
            <w:tcBorders>
              <w:tl2br w:val="nil"/>
              <w:tr2bl w:val="nil"/>
            </w:tcBorders>
            <w:noWrap w:val="0"/>
            <w:vAlign w:val="center"/>
          </w:tcPr>
          <w:p w14:paraId="48D80A3D">
            <w:pPr>
              <w:adjustRightInd w:val="0"/>
              <w:snapToGrid w:val="0"/>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厂区现有一座1F砖混结构办公室，建筑面积488m</w:t>
            </w:r>
            <w:r>
              <w:rPr>
                <w:rFonts w:hint="eastAsia" w:ascii="Times New Roman" w:hAnsi="Times New Roman" w:eastAsia="宋体" w:cs="宋体"/>
                <w:color w:val="auto"/>
                <w:sz w:val="21"/>
                <w:szCs w:val="21"/>
                <w:highlight w:val="none"/>
                <w:vertAlign w:val="superscript"/>
                <w:lang w:val="en-US" w:eastAsia="zh-CN"/>
              </w:rPr>
              <w:t>2</w:t>
            </w:r>
            <w:r>
              <w:rPr>
                <w:rFonts w:hint="eastAsia" w:ascii="Times New Roman" w:hAnsi="Times New Roman" w:eastAsia="宋体" w:cs="宋体"/>
                <w:color w:val="auto"/>
                <w:sz w:val="21"/>
                <w:szCs w:val="21"/>
                <w:highlight w:val="none"/>
                <w:lang w:val="en-US" w:eastAsia="zh-CN"/>
              </w:rPr>
              <w:t>。</w:t>
            </w:r>
          </w:p>
        </w:tc>
        <w:tc>
          <w:tcPr>
            <w:tcW w:w="699" w:type="dxa"/>
            <w:tcBorders>
              <w:tl2br w:val="nil"/>
              <w:tr2bl w:val="nil"/>
            </w:tcBorders>
            <w:noWrap w:val="0"/>
            <w:vAlign w:val="center"/>
          </w:tcPr>
          <w:p w14:paraId="263CF18C">
            <w:pPr>
              <w:adjustRightInd w:val="0"/>
              <w:snapToGrid w:val="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利用</w:t>
            </w:r>
          </w:p>
        </w:tc>
      </w:tr>
      <w:tr w14:paraId="7EAD24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noWrap w:val="0"/>
            <w:vAlign w:val="center"/>
          </w:tcPr>
          <w:p w14:paraId="46B55E39">
            <w:pPr>
              <w:adjustRightInd w:val="0"/>
              <w:snapToGrid w:val="0"/>
              <w:rPr>
                <w:rFonts w:ascii="Times New Roman" w:hAnsi="Times New Roman" w:eastAsia="宋体" w:cs="宋体"/>
                <w:b/>
                <w:color w:val="auto"/>
                <w:sz w:val="21"/>
                <w:szCs w:val="21"/>
              </w:rPr>
            </w:pPr>
          </w:p>
        </w:tc>
        <w:tc>
          <w:tcPr>
            <w:tcW w:w="1798" w:type="dxa"/>
            <w:vMerge w:val="continue"/>
            <w:tcBorders>
              <w:tl2br w:val="nil"/>
              <w:tr2bl w:val="nil"/>
            </w:tcBorders>
            <w:noWrap w:val="0"/>
            <w:vAlign w:val="center"/>
          </w:tcPr>
          <w:p w14:paraId="75B7B8B3">
            <w:pPr>
              <w:adjustRightInd w:val="0"/>
              <w:snapToGrid w:val="0"/>
              <w:jc w:val="center"/>
              <w:rPr>
                <w:rFonts w:hint="eastAsia" w:ascii="Times New Roman" w:hAnsi="Times New Roman" w:eastAsia="宋体" w:cs="宋体"/>
                <w:color w:val="auto"/>
                <w:sz w:val="21"/>
                <w:szCs w:val="21"/>
              </w:rPr>
            </w:pPr>
          </w:p>
        </w:tc>
        <w:tc>
          <w:tcPr>
            <w:tcW w:w="5250" w:type="dxa"/>
            <w:tcBorders>
              <w:tl2br w:val="nil"/>
              <w:tr2bl w:val="nil"/>
            </w:tcBorders>
            <w:noWrap w:val="0"/>
            <w:vAlign w:val="center"/>
          </w:tcPr>
          <w:p w14:paraId="1FC69D1B">
            <w:pPr>
              <w:adjustRightInd w:val="0"/>
              <w:snapToGrid w:val="0"/>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本次新建一座2F彩钢结构办公室，建筑面积375m</w:t>
            </w:r>
            <w:r>
              <w:rPr>
                <w:rFonts w:hint="eastAsia" w:ascii="Times New Roman" w:hAnsi="Times New Roman" w:eastAsia="宋体" w:cs="宋体"/>
                <w:color w:val="auto"/>
                <w:sz w:val="21"/>
                <w:szCs w:val="21"/>
                <w:highlight w:val="none"/>
                <w:vertAlign w:val="superscript"/>
                <w:lang w:val="en-US" w:eastAsia="zh-CN"/>
              </w:rPr>
              <w:t>2</w:t>
            </w:r>
            <w:r>
              <w:rPr>
                <w:rFonts w:hint="eastAsia" w:ascii="Times New Roman" w:hAnsi="Times New Roman" w:eastAsia="宋体" w:cs="宋体"/>
                <w:color w:val="auto"/>
                <w:sz w:val="21"/>
                <w:szCs w:val="21"/>
                <w:highlight w:val="none"/>
                <w:lang w:val="en-US" w:eastAsia="zh-CN"/>
              </w:rPr>
              <w:t>。</w:t>
            </w:r>
          </w:p>
        </w:tc>
        <w:tc>
          <w:tcPr>
            <w:tcW w:w="699" w:type="dxa"/>
            <w:tcBorders>
              <w:tl2br w:val="nil"/>
              <w:tr2bl w:val="nil"/>
            </w:tcBorders>
            <w:noWrap w:val="0"/>
            <w:vAlign w:val="center"/>
          </w:tcPr>
          <w:p w14:paraId="601DBA5A">
            <w:pPr>
              <w:adjustRightInd w:val="0"/>
              <w:snapToGrid w:val="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新建</w:t>
            </w:r>
          </w:p>
        </w:tc>
      </w:tr>
      <w:tr w14:paraId="202069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noWrap w:val="0"/>
            <w:vAlign w:val="center"/>
          </w:tcPr>
          <w:p w14:paraId="6850E896">
            <w:pPr>
              <w:adjustRightInd w:val="0"/>
              <w:snapToGrid w:val="0"/>
              <w:rPr>
                <w:rFonts w:ascii="Times New Roman" w:hAnsi="Times New Roman" w:eastAsia="宋体" w:cs="宋体"/>
                <w:b/>
                <w:color w:val="auto"/>
                <w:sz w:val="21"/>
                <w:szCs w:val="21"/>
              </w:rPr>
            </w:pPr>
          </w:p>
        </w:tc>
        <w:tc>
          <w:tcPr>
            <w:tcW w:w="1798" w:type="dxa"/>
            <w:tcBorders>
              <w:tl2br w:val="nil"/>
              <w:tr2bl w:val="nil"/>
            </w:tcBorders>
            <w:noWrap w:val="0"/>
            <w:vAlign w:val="center"/>
          </w:tcPr>
          <w:p w14:paraId="6F6F4B0B">
            <w:pPr>
              <w:adjustRightInd w:val="0"/>
              <w:snapToGrid w:val="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宿舍</w:t>
            </w:r>
          </w:p>
        </w:tc>
        <w:tc>
          <w:tcPr>
            <w:tcW w:w="5250" w:type="dxa"/>
            <w:tcBorders>
              <w:tl2br w:val="nil"/>
              <w:tr2bl w:val="nil"/>
            </w:tcBorders>
            <w:noWrap w:val="0"/>
            <w:vAlign w:val="center"/>
          </w:tcPr>
          <w:p w14:paraId="2C8F41BF">
            <w:pPr>
              <w:adjustRightInd w:val="0"/>
              <w:snapToGrid w:val="0"/>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厂区现有的一座一层彩钢结构宿舍，建筑面积138m</w:t>
            </w:r>
            <w:r>
              <w:rPr>
                <w:rFonts w:hint="eastAsia" w:ascii="Times New Roman" w:hAnsi="Times New Roman" w:eastAsia="宋体" w:cs="宋体"/>
                <w:color w:val="auto"/>
                <w:sz w:val="21"/>
                <w:szCs w:val="21"/>
                <w:highlight w:val="none"/>
                <w:vertAlign w:val="superscript"/>
                <w:lang w:val="en-US" w:eastAsia="zh-CN"/>
              </w:rPr>
              <w:t>2</w:t>
            </w:r>
            <w:r>
              <w:rPr>
                <w:rFonts w:hint="eastAsia" w:ascii="Times New Roman" w:hAnsi="Times New Roman" w:eastAsia="宋体" w:cs="宋体"/>
                <w:color w:val="auto"/>
                <w:sz w:val="21"/>
                <w:szCs w:val="21"/>
                <w:highlight w:val="none"/>
                <w:lang w:val="en-US" w:eastAsia="zh-CN"/>
              </w:rPr>
              <w:t>。</w:t>
            </w:r>
          </w:p>
        </w:tc>
        <w:tc>
          <w:tcPr>
            <w:tcW w:w="699" w:type="dxa"/>
            <w:tcBorders>
              <w:tl2br w:val="nil"/>
              <w:tr2bl w:val="nil"/>
            </w:tcBorders>
            <w:noWrap w:val="0"/>
            <w:vAlign w:val="center"/>
          </w:tcPr>
          <w:p w14:paraId="5BB64F42">
            <w:pPr>
              <w:adjustRightInd w:val="0"/>
              <w:snapToGrid w:val="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利用</w:t>
            </w:r>
          </w:p>
        </w:tc>
      </w:tr>
      <w:tr w14:paraId="3A43D1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noWrap w:val="0"/>
            <w:vAlign w:val="center"/>
          </w:tcPr>
          <w:p w14:paraId="084C4892">
            <w:pPr>
              <w:adjustRightInd w:val="0"/>
              <w:snapToGrid w:val="0"/>
              <w:rPr>
                <w:rFonts w:ascii="Times New Roman" w:hAnsi="Times New Roman" w:eastAsia="宋体" w:cs="宋体"/>
                <w:b/>
                <w:color w:val="auto"/>
                <w:sz w:val="21"/>
                <w:szCs w:val="21"/>
              </w:rPr>
            </w:pPr>
          </w:p>
        </w:tc>
        <w:tc>
          <w:tcPr>
            <w:tcW w:w="1798" w:type="dxa"/>
            <w:tcBorders>
              <w:tl2br w:val="nil"/>
              <w:tr2bl w:val="nil"/>
            </w:tcBorders>
            <w:noWrap w:val="0"/>
            <w:vAlign w:val="center"/>
          </w:tcPr>
          <w:p w14:paraId="0C5BA5F8">
            <w:pPr>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锅炉房</w:t>
            </w:r>
          </w:p>
        </w:tc>
        <w:tc>
          <w:tcPr>
            <w:tcW w:w="5250" w:type="dxa"/>
            <w:tcBorders>
              <w:tl2br w:val="nil"/>
              <w:tr2bl w:val="nil"/>
            </w:tcBorders>
            <w:noWrap w:val="0"/>
            <w:vAlign w:val="center"/>
          </w:tcPr>
          <w:p w14:paraId="77E66B76">
            <w:pPr>
              <w:adjustRightInd w:val="0"/>
              <w:snapToGrid w:val="0"/>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rPr>
              <w:t>厂区设置锅炉房一座</w:t>
            </w:r>
            <w:r>
              <w:rPr>
                <w:rFonts w:hint="eastAsia" w:ascii="Times New Roman" w:hAnsi="Times New Roman" w:eastAsia="宋体" w:cs="宋体"/>
                <w:color w:val="auto"/>
                <w:sz w:val="21"/>
                <w:szCs w:val="21"/>
                <w:highlight w:val="none"/>
                <w:lang w:eastAsia="zh-CN"/>
              </w:rPr>
              <w:t>，</w:t>
            </w:r>
            <w:r>
              <w:rPr>
                <w:rFonts w:hint="eastAsia" w:ascii="Times New Roman" w:hAnsi="Times New Roman" w:eastAsia="宋体" w:cs="宋体"/>
                <w:color w:val="auto"/>
                <w:sz w:val="21"/>
                <w:szCs w:val="21"/>
                <w:highlight w:val="none"/>
                <w:lang w:val="en-US" w:eastAsia="zh-CN"/>
              </w:rPr>
              <w:t>建筑面积192m</w:t>
            </w:r>
            <w:r>
              <w:rPr>
                <w:rFonts w:hint="eastAsia" w:ascii="Times New Roman" w:hAnsi="Times New Roman" w:eastAsia="宋体" w:cs="宋体"/>
                <w:color w:val="auto"/>
                <w:sz w:val="21"/>
                <w:szCs w:val="21"/>
                <w:highlight w:val="none"/>
                <w:vertAlign w:val="superscript"/>
                <w:lang w:val="en-US" w:eastAsia="zh-CN"/>
              </w:rPr>
              <w:t>2</w:t>
            </w:r>
            <w:r>
              <w:rPr>
                <w:rFonts w:hint="eastAsia" w:ascii="Times New Roman" w:hAnsi="Times New Roman" w:eastAsia="宋体" w:cs="宋体"/>
                <w:color w:val="auto"/>
                <w:sz w:val="21"/>
                <w:szCs w:val="21"/>
                <w:highlight w:val="none"/>
              </w:rPr>
              <w:t>，</w:t>
            </w:r>
            <w:r>
              <w:rPr>
                <w:rFonts w:ascii="Times New Roman" w:hAnsi="Times New Roman" w:eastAsia="宋体" w:cs="宋体"/>
                <w:color w:val="auto"/>
                <w:sz w:val="21"/>
                <w:szCs w:val="21"/>
                <w:highlight w:val="none"/>
              </w:rPr>
              <w:t>安装</w:t>
            </w:r>
            <w:r>
              <w:rPr>
                <w:rFonts w:hint="eastAsia" w:ascii="Times New Roman" w:hAnsi="Times New Roman" w:eastAsia="宋体" w:cs="宋体"/>
                <w:color w:val="auto"/>
                <w:sz w:val="21"/>
                <w:szCs w:val="21"/>
                <w:highlight w:val="none"/>
              </w:rPr>
              <w:t>1</w:t>
            </w:r>
            <w:r>
              <w:rPr>
                <w:rFonts w:ascii="Times New Roman" w:hAnsi="Times New Roman" w:eastAsia="宋体" w:cs="宋体"/>
                <w:color w:val="auto"/>
                <w:sz w:val="21"/>
                <w:szCs w:val="21"/>
                <w:highlight w:val="none"/>
              </w:rPr>
              <w:t>台</w:t>
            </w:r>
            <w:r>
              <w:rPr>
                <w:rFonts w:hint="eastAsia" w:ascii="Times New Roman" w:hAnsi="Times New Roman" w:eastAsia="宋体" w:cs="宋体"/>
                <w:color w:val="auto"/>
                <w:sz w:val="21"/>
                <w:szCs w:val="21"/>
                <w:highlight w:val="none"/>
                <w:lang w:val="en-US" w:eastAsia="zh-CN"/>
              </w:rPr>
              <w:t>15t/h</w:t>
            </w:r>
            <w:r>
              <w:rPr>
                <w:rFonts w:ascii="Times New Roman" w:hAnsi="Times New Roman" w:eastAsia="宋体" w:cs="宋体"/>
                <w:color w:val="auto"/>
                <w:sz w:val="21"/>
                <w:szCs w:val="21"/>
                <w:highlight w:val="none"/>
              </w:rPr>
              <w:t>的</w:t>
            </w:r>
            <w:r>
              <w:rPr>
                <w:rFonts w:hint="eastAsia" w:ascii="Times New Roman" w:hAnsi="Times New Roman" w:eastAsia="宋体" w:cs="宋体"/>
                <w:color w:val="auto"/>
                <w:sz w:val="21"/>
                <w:szCs w:val="21"/>
                <w:highlight w:val="none"/>
              </w:rPr>
              <w:t>燃气</w:t>
            </w:r>
            <w:r>
              <w:rPr>
                <w:rFonts w:ascii="Times New Roman" w:hAnsi="Times New Roman" w:eastAsia="宋体" w:cs="宋体"/>
                <w:color w:val="auto"/>
                <w:sz w:val="21"/>
                <w:szCs w:val="21"/>
                <w:highlight w:val="none"/>
              </w:rPr>
              <w:t>锅炉，</w:t>
            </w:r>
            <w:r>
              <w:rPr>
                <w:rFonts w:hint="eastAsia" w:ascii="Times New Roman" w:hAnsi="Times New Roman" w:eastAsia="宋体" w:cs="宋体"/>
                <w:color w:val="auto"/>
                <w:sz w:val="21"/>
                <w:szCs w:val="21"/>
                <w:highlight w:val="none"/>
              </w:rPr>
              <w:t>作为生产热源</w:t>
            </w:r>
            <w:r>
              <w:rPr>
                <w:rFonts w:hint="eastAsia" w:ascii="Times New Roman" w:hAnsi="Times New Roman" w:eastAsia="宋体" w:cs="宋体"/>
                <w:color w:val="auto"/>
                <w:sz w:val="21"/>
                <w:szCs w:val="21"/>
                <w:highlight w:val="none"/>
                <w:lang w:val="en-US" w:eastAsia="zh-CN"/>
              </w:rPr>
              <w:t>。</w:t>
            </w:r>
          </w:p>
        </w:tc>
        <w:tc>
          <w:tcPr>
            <w:tcW w:w="699" w:type="dxa"/>
            <w:tcBorders>
              <w:tl2br w:val="nil"/>
              <w:tr2bl w:val="nil"/>
            </w:tcBorders>
            <w:noWrap w:val="0"/>
            <w:vAlign w:val="center"/>
          </w:tcPr>
          <w:p w14:paraId="08F4BB5C">
            <w:pPr>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新建</w:t>
            </w:r>
          </w:p>
        </w:tc>
      </w:tr>
      <w:tr w14:paraId="24F045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noWrap w:val="0"/>
            <w:vAlign w:val="center"/>
          </w:tcPr>
          <w:p w14:paraId="7EAD9642">
            <w:pPr>
              <w:adjustRightInd w:val="0"/>
              <w:snapToGrid w:val="0"/>
              <w:rPr>
                <w:rFonts w:ascii="Times New Roman" w:hAnsi="Times New Roman" w:eastAsia="宋体" w:cs="宋体"/>
                <w:b/>
                <w:color w:val="auto"/>
                <w:sz w:val="21"/>
                <w:szCs w:val="21"/>
              </w:rPr>
            </w:pPr>
          </w:p>
        </w:tc>
        <w:tc>
          <w:tcPr>
            <w:tcW w:w="1798" w:type="dxa"/>
            <w:tcBorders>
              <w:tl2br w:val="nil"/>
              <w:tr2bl w:val="nil"/>
            </w:tcBorders>
            <w:noWrap w:val="0"/>
            <w:vAlign w:val="center"/>
          </w:tcPr>
          <w:p w14:paraId="3FED3AEB">
            <w:pPr>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软化装置</w:t>
            </w:r>
          </w:p>
        </w:tc>
        <w:tc>
          <w:tcPr>
            <w:tcW w:w="5250" w:type="dxa"/>
            <w:tcBorders>
              <w:tl2br w:val="nil"/>
              <w:tr2bl w:val="nil"/>
            </w:tcBorders>
            <w:noWrap w:val="0"/>
            <w:vAlign w:val="center"/>
          </w:tcPr>
          <w:p w14:paraId="17624B6A">
            <w:pPr>
              <w:adjustRightInd w:val="0"/>
              <w:snapToGrid w:val="0"/>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设置1套软化水装置，为锅炉提供软水</w:t>
            </w:r>
          </w:p>
        </w:tc>
        <w:tc>
          <w:tcPr>
            <w:tcW w:w="699" w:type="dxa"/>
            <w:tcBorders>
              <w:tl2br w:val="nil"/>
              <w:tr2bl w:val="nil"/>
            </w:tcBorders>
            <w:noWrap w:val="0"/>
            <w:vAlign w:val="center"/>
          </w:tcPr>
          <w:p w14:paraId="13D9024D">
            <w:pPr>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新建</w:t>
            </w:r>
          </w:p>
        </w:tc>
      </w:tr>
      <w:tr w14:paraId="43F30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noWrap w:val="0"/>
            <w:vAlign w:val="center"/>
          </w:tcPr>
          <w:p w14:paraId="6C2FC883">
            <w:pPr>
              <w:adjustRightInd w:val="0"/>
              <w:snapToGrid w:val="0"/>
              <w:rPr>
                <w:rFonts w:ascii="Times New Roman" w:hAnsi="Times New Roman" w:eastAsia="宋体" w:cs="宋体"/>
                <w:b/>
                <w:color w:val="auto"/>
                <w:sz w:val="21"/>
                <w:szCs w:val="21"/>
              </w:rPr>
            </w:pPr>
          </w:p>
        </w:tc>
        <w:tc>
          <w:tcPr>
            <w:tcW w:w="1798" w:type="dxa"/>
            <w:tcBorders>
              <w:tl2br w:val="nil"/>
              <w:tr2bl w:val="nil"/>
            </w:tcBorders>
            <w:noWrap w:val="0"/>
            <w:vAlign w:val="center"/>
          </w:tcPr>
          <w:p w14:paraId="26310436">
            <w:pPr>
              <w:adjustRightInd w:val="0"/>
              <w:snapToGrid w:val="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消防水池、消控室</w:t>
            </w:r>
          </w:p>
        </w:tc>
        <w:tc>
          <w:tcPr>
            <w:tcW w:w="5250" w:type="dxa"/>
            <w:tcBorders>
              <w:tl2br w:val="nil"/>
              <w:tr2bl w:val="nil"/>
            </w:tcBorders>
            <w:noWrap w:val="0"/>
            <w:vAlign w:val="center"/>
          </w:tcPr>
          <w:p w14:paraId="5C8EAC79">
            <w:pPr>
              <w:adjustRightInd w:val="0"/>
              <w:snapToGrid w:val="0"/>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厂区新建消防水池1座，建筑面积163.47m</w:t>
            </w:r>
            <w:r>
              <w:rPr>
                <w:rFonts w:hint="eastAsia" w:ascii="Times New Roman" w:hAnsi="Times New Roman" w:eastAsia="宋体" w:cs="宋体"/>
                <w:color w:val="auto"/>
                <w:sz w:val="21"/>
                <w:szCs w:val="21"/>
                <w:highlight w:val="none"/>
                <w:vertAlign w:val="superscript"/>
                <w:lang w:val="en-US" w:eastAsia="zh-CN"/>
              </w:rPr>
              <w:t>2</w:t>
            </w:r>
            <w:r>
              <w:rPr>
                <w:rFonts w:hint="eastAsia" w:ascii="Times New Roman" w:hAnsi="Times New Roman" w:eastAsia="宋体" w:cs="宋体"/>
                <w:color w:val="auto"/>
                <w:sz w:val="21"/>
                <w:szCs w:val="21"/>
                <w:highlight w:val="none"/>
                <w:vertAlign w:val="baseline"/>
                <w:lang w:val="en-US" w:eastAsia="zh-CN"/>
              </w:rPr>
              <w:t>，配套建设消控室一间，建筑面积54.5</w:t>
            </w:r>
            <w:r>
              <w:rPr>
                <w:rFonts w:hint="eastAsia" w:ascii="Times New Roman" w:hAnsi="Times New Roman" w:eastAsia="宋体" w:cs="宋体"/>
                <w:color w:val="auto"/>
                <w:sz w:val="21"/>
                <w:szCs w:val="21"/>
                <w:highlight w:val="none"/>
                <w:lang w:val="en-US" w:eastAsia="zh-CN"/>
              </w:rPr>
              <w:t>m</w:t>
            </w:r>
            <w:r>
              <w:rPr>
                <w:rFonts w:hint="eastAsia" w:ascii="Times New Roman" w:hAnsi="Times New Roman" w:eastAsia="宋体" w:cs="宋体"/>
                <w:color w:val="auto"/>
                <w:sz w:val="21"/>
                <w:szCs w:val="21"/>
                <w:highlight w:val="none"/>
                <w:vertAlign w:val="superscript"/>
                <w:lang w:val="en-US" w:eastAsia="zh-CN"/>
              </w:rPr>
              <w:t>2</w:t>
            </w:r>
            <w:r>
              <w:rPr>
                <w:rFonts w:hint="eastAsia" w:ascii="Times New Roman" w:hAnsi="Times New Roman" w:eastAsia="宋体" w:cs="宋体"/>
                <w:color w:val="auto"/>
                <w:sz w:val="21"/>
                <w:szCs w:val="21"/>
                <w:highlight w:val="none"/>
                <w:vertAlign w:val="baseline"/>
                <w:lang w:val="en-US" w:eastAsia="zh-CN"/>
              </w:rPr>
              <w:t>。</w:t>
            </w:r>
          </w:p>
        </w:tc>
        <w:tc>
          <w:tcPr>
            <w:tcW w:w="699" w:type="dxa"/>
            <w:tcBorders>
              <w:tl2br w:val="nil"/>
              <w:tr2bl w:val="nil"/>
            </w:tcBorders>
            <w:noWrap w:val="0"/>
            <w:vAlign w:val="center"/>
          </w:tcPr>
          <w:p w14:paraId="6046FE70">
            <w:pPr>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新建</w:t>
            </w:r>
          </w:p>
        </w:tc>
      </w:tr>
      <w:tr w14:paraId="45D2AE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noWrap w:val="0"/>
            <w:vAlign w:val="center"/>
          </w:tcPr>
          <w:p w14:paraId="79E8A231">
            <w:pPr>
              <w:adjustRightInd w:val="0"/>
              <w:snapToGrid w:val="0"/>
              <w:rPr>
                <w:rFonts w:ascii="Times New Roman" w:hAnsi="Times New Roman" w:eastAsia="宋体" w:cs="宋体"/>
                <w:b/>
                <w:color w:val="auto"/>
                <w:sz w:val="21"/>
                <w:szCs w:val="21"/>
              </w:rPr>
            </w:pPr>
          </w:p>
        </w:tc>
        <w:tc>
          <w:tcPr>
            <w:tcW w:w="1798" w:type="dxa"/>
            <w:tcBorders>
              <w:tl2br w:val="nil"/>
              <w:tr2bl w:val="nil"/>
            </w:tcBorders>
            <w:noWrap w:val="0"/>
            <w:vAlign w:val="center"/>
          </w:tcPr>
          <w:p w14:paraId="680F3F71">
            <w:pPr>
              <w:adjustRightInd w:val="0"/>
              <w:snapToGrid w:val="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配电室、登记室</w:t>
            </w:r>
          </w:p>
        </w:tc>
        <w:tc>
          <w:tcPr>
            <w:tcW w:w="5250" w:type="dxa"/>
            <w:tcBorders>
              <w:tl2br w:val="nil"/>
              <w:tr2bl w:val="nil"/>
            </w:tcBorders>
            <w:noWrap w:val="0"/>
            <w:vAlign w:val="center"/>
          </w:tcPr>
          <w:p w14:paraId="70DA2E40">
            <w:pPr>
              <w:adjustRightInd w:val="0"/>
              <w:snapToGrid w:val="0"/>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厂区新建配电室一间，建筑面积96m</w:t>
            </w:r>
            <w:r>
              <w:rPr>
                <w:rFonts w:hint="eastAsia" w:ascii="Times New Roman" w:hAnsi="Times New Roman" w:eastAsia="宋体" w:cs="宋体"/>
                <w:color w:val="auto"/>
                <w:sz w:val="21"/>
                <w:szCs w:val="21"/>
                <w:highlight w:val="none"/>
                <w:vertAlign w:val="superscript"/>
                <w:lang w:val="en-US" w:eastAsia="zh-CN"/>
              </w:rPr>
              <w:t>2</w:t>
            </w:r>
            <w:r>
              <w:rPr>
                <w:rFonts w:hint="eastAsia" w:ascii="Times New Roman" w:hAnsi="Times New Roman" w:eastAsia="宋体" w:cs="宋体"/>
                <w:color w:val="auto"/>
                <w:sz w:val="21"/>
                <w:szCs w:val="21"/>
                <w:highlight w:val="none"/>
                <w:vertAlign w:val="baseline"/>
                <w:lang w:val="en-US" w:eastAsia="zh-CN"/>
              </w:rPr>
              <w:t>，建设登记室一间，建筑面积150</w:t>
            </w:r>
            <w:r>
              <w:rPr>
                <w:rFonts w:hint="eastAsia" w:ascii="Times New Roman" w:hAnsi="Times New Roman" w:eastAsia="宋体" w:cs="宋体"/>
                <w:color w:val="auto"/>
                <w:sz w:val="21"/>
                <w:szCs w:val="21"/>
                <w:highlight w:val="none"/>
                <w:lang w:val="en-US" w:eastAsia="zh-CN"/>
              </w:rPr>
              <w:t>m</w:t>
            </w:r>
            <w:r>
              <w:rPr>
                <w:rFonts w:hint="eastAsia" w:ascii="Times New Roman" w:hAnsi="Times New Roman" w:eastAsia="宋体" w:cs="宋体"/>
                <w:color w:val="auto"/>
                <w:sz w:val="21"/>
                <w:szCs w:val="21"/>
                <w:highlight w:val="none"/>
                <w:vertAlign w:val="superscript"/>
                <w:lang w:val="en-US" w:eastAsia="zh-CN"/>
              </w:rPr>
              <w:t>2</w:t>
            </w:r>
            <w:r>
              <w:rPr>
                <w:rFonts w:hint="eastAsia" w:ascii="Times New Roman" w:hAnsi="Times New Roman" w:eastAsia="宋体" w:cs="宋体"/>
                <w:color w:val="auto"/>
                <w:sz w:val="21"/>
                <w:szCs w:val="21"/>
                <w:highlight w:val="none"/>
                <w:vertAlign w:val="baseline"/>
                <w:lang w:val="en-US" w:eastAsia="zh-CN"/>
              </w:rPr>
              <w:t>。</w:t>
            </w:r>
          </w:p>
        </w:tc>
        <w:tc>
          <w:tcPr>
            <w:tcW w:w="699" w:type="dxa"/>
            <w:tcBorders>
              <w:tl2br w:val="nil"/>
              <w:tr2bl w:val="nil"/>
            </w:tcBorders>
            <w:noWrap w:val="0"/>
            <w:vAlign w:val="center"/>
          </w:tcPr>
          <w:p w14:paraId="2CD6FF19">
            <w:pPr>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新建</w:t>
            </w:r>
          </w:p>
        </w:tc>
      </w:tr>
      <w:tr w14:paraId="556EAA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restart"/>
            <w:tcBorders>
              <w:tl2br w:val="nil"/>
              <w:tr2bl w:val="nil"/>
            </w:tcBorders>
            <w:noWrap w:val="0"/>
            <w:vAlign w:val="center"/>
          </w:tcPr>
          <w:p w14:paraId="487AFCA4">
            <w:pPr>
              <w:adjustRightInd w:val="0"/>
              <w:snapToGrid w:val="0"/>
              <w:rPr>
                <w:rFonts w:ascii="Times New Roman" w:hAnsi="Times New Roman" w:eastAsia="宋体" w:cs="宋体"/>
                <w:color w:val="auto"/>
                <w:sz w:val="21"/>
                <w:szCs w:val="21"/>
              </w:rPr>
            </w:pPr>
            <w:r>
              <w:rPr>
                <w:rFonts w:ascii="Times New Roman" w:hAnsi="Times New Roman" w:eastAsia="宋体" w:cs="宋体"/>
                <w:b/>
                <w:color w:val="auto"/>
                <w:sz w:val="21"/>
                <w:szCs w:val="21"/>
              </w:rPr>
              <w:t>公用工程</w:t>
            </w:r>
          </w:p>
        </w:tc>
        <w:tc>
          <w:tcPr>
            <w:tcW w:w="1798" w:type="dxa"/>
            <w:tcBorders>
              <w:tl2br w:val="nil"/>
              <w:tr2bl w:val="nil"/>
            </w:tcBorders>
            <w:noWrap w:val="0"/>
            <w:vAlign w:val="center"/>
          </w:tcPr>
          <w:p w14:paraId="3C183DAB">
            <w:pPr>
              <w:adjustRightInd w:val="0"/>
              <w:snapToGrid w:val="0"/>
              <w:jc w:val="center"/>
              <w:rPr>
                <w:rFonts w:ascii="Times New Roman" w:hAnsi="Times New Roman" w:eastAsia="宋体" w:cs="宋体"/>
                <w:color w:val="auto"/>
                <w:sz w:val="21"/>
                <w:szCs w:val="21"/>
              </w:rPr>
            </w:pPr>
            <w:r>
              <w:rPr>
                <w:rFonts w:ascii="Times New Roman" w:hAnsi="Times New Roman" w:eastAsia="宋体" w:cs="宋体"/>
                <w:color w:val="auto"/>
                <w:sz w:val="21"/>
                <w:szCs w:val="21"/>
              </w:rPr>
              <w:t>给水</w:t>
            </w:r>
          </w:p>
        </w:tc>
        <w:tc>
          <w:tcPr>
            <w:tcW w:w="5250" w:type="dxa"/>
            <w:tcBorders>
              <w:tl2br w:val="nil"/>
              <w:tr2bl w:val="nil"/>
            </w:tcBorders>
            <w:noWrap w:val="0"/>
            <w:vAlign w:val="center"/>
          </w:tcPr>
          <w:p w14:paraId="48BA4437">
            <w:pPr>
              <w:adjustRightInd w:val="0"/>
              <w:snapToGrid w:val="0"/>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rPr>
              <w:t>生活用水</w:t>
            </w:r>
            <w:r>
              <w:rPr>
                <w:rFonts w:hint="eastAsia" w:ascii="Times New Roman" w:hAnsi="Times New Roman" w:eastAsia="宋体" w:cs="宋体"/>
                <w:color w:val="auto"/>
                <w:sz w:val="21"/>
                <w:szCs w:val="21"/>
                <w:highlight w:val="none"/>
                <w:lang w:eastAsia="zh-CN"/>
              </w:rPr>
              <w:t>、</w:t>
            </w:r>
            <w:r>
              <w:rPr>
                <w:rFonts w:hint="eastAsia" w:ascii="Times New Roman" w:hAnsi="Times New Roman" w:eastAsia="宋体" w:cs="宋体"/>
                <w:color w:val="auto"/>
                <w:sz w:val="21"/>
                <w:szCs w:val="21"/>
                <w:highlight w:val="none"/>
              </w:rPr>
              <w:t>生产用水</w:t>
            </w:r>
            <w:r>
              <w:rPr>
                <w:rFonts w:hint="eastAsia" w:ascii="Times New Roman" w:hAnsi="Times New Roman" w:eastAsia="宋体" w:cs="宋体"/>
                <w:color w:val="auto"/>
                <w:sz w:val="21"/>
                <w:szCs w:val="21"/>
                <w:highlight w:val="none"/>
                <w:lang w:val="en-US" w:eastAsia="zh-CN"/>
              </w:rPr>
              <w:t>均依托园区供水管网供给</w:t>
            </w:r>
          </w:p>
        </w:tc>
        <w:tc>
          <w:tcPr>
            <w:tcW w:w="699" w:type="dxa"/>
            <w:tcBorders>
              <w:tl2br w:val="nil"/>
              <w:tr2bl w:val="nil"/>
            </w:tcBorders>
            <w:noWrap w:val="0"/>
            <w:vAlign w:val="center"/>
          </w:tcPr>
          <w:p w14:paraId="2C5968F2">
            <w:pPr>
              <w:adjustRightInd w:val="0"/>
              <w:snapToGrid w:val="0"/>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依托</w:t>
            </w:r>
          </w:p>
        </w:tc>
      </w:tr>
      <w:tr w14:paraId="78C7F7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noWrap w:val="0"/>
            <w:vAlign w:val="center"/>
          </w:tcPr>
          <w:p w14:paraId="0DDF0B7A">
            <w:pPr>
              <w:adjustRightInd w:val="0"/>
              <w:snapToGrid w:val="0"/>
              <w:rPr>
                <w:rFonts w:ascii="Times New Roman" w:hAnsi="Times New Roman" w:eastAsia="宋体" w:cs="宋体"/>
                <w:b/>
                <w:color w:val="auto"/>
                <w:sz w:val="21"/>
                <w:szCs w:val="21"/>
              </w:rPr>
            </w:pPr>
          </w:p>
        </w:tc>
        <w:tc>
          <w:tcPr>
            <w:tcW w:w="1798" w:type="dxa"/>
            <w:tcBorders>
              <w:tl2br w:val="nil"/>
              <w:tr2bl w:val="nil"/>
            </w:tcBorders>
            <w:noWrap w:val="0"/>
            <w:vAlign w:val="center"/>
          </w:tcPr>
          <w:p w14:paraId="51A73EE6">
            <w:pPr>
              <w:adjustRightInd w:val="0"/>
              <w:snapToGrid w:val="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排水</w:t>
            </w:r>
          </w:p>
        </w:tc>
        <w:tc>
          <w:tcPr>
            <w:tcW w:w="5250" w:type="dxa"/>
            <w:tcBorders>
              <w:tl2br w:val="nil"/>
              <w:tr2bl w:val="nil"/>
            </w:tcBorders>
            <w:noWrap w:val="0"/>
            <w:vAlign w:val="center"/>
          </w:tcPr>
          <w:p w14:paraId="06F15028">
            <w:pPr>
              <w:adjustRightInd w:val="0"/>
              <w:snapToGrid w:val="0"/>
              <w:rPr>
                <w:rFonts w:hint="eastAsia" w:ascii="Times New Roman" w:hAnsi="Times New Roman" w:eastAsia="宋体" w:cs="宋体"/>
                <w:bCs/>
                <w:color w:val="auto"/>
                <w:sz w:val="21"/>
                <w:szCs w:val="21"/>
                <w:highlight w:val="none"/>
              </w:rPr>
            </w:pPr>
            <w:r>
              <w:rPr>
                <w:rFonts w:hint="eastAsia" w:ascii="Times New Roman" w:hAnsi="Times New Roman" w:eastAsia="宋体" w:cs="宋体"/>
                <w:bCs/>
                <w:color w:val="auto"/>
                <w:sz w:val="21"/>
                <w:szCs w:val="21"/>
                <w:highlight w:val="none"/>
              </w:rPr>
              <w:t>马铃薯清洗废水进入循环沉淀池处理后回用，每年生产期结束后对沉淀池内废水</w:t>
            </w:r>
            <w:r>
              <w:rPr>
                <w:rFonts w:hint="eastAsia" w:ascii="Times New Roman" w:hAnsi="Times New Roman" w:eastAsia="宋体" w:cs="宋体"/>
                <w:bCs/>
                <w:color w:val="auto"/>
                <w:sz w:val="21"/>
                <w:szCs w:val="21"/>
                <w:highlight w:val="none"/>
                <w:lang w:val="en-US" w:eastAsia="zh-CN"/>
              </w:rPr>
              <w:t>进入黑膜厌氧发酵系统处理还田</w:t>
            </w:r>
            <w:r>
              <w:rPr>
                <w:rFonts w:hint="eastAsia" w:ascii="Times New Roman" w:hAnsi="Times New Roman" w:eastAsia="宋体" w:cs="宋体"/>
                <w:bCs/>
                <w:color w:val="auto"/>
                <w:sz w:val="21"/>
                <w:szCs w:val="21"/>
                <w:highlight w:val="none"/>
              </w:rPr>
              <w:t>；</w:t>
            </w:r>
          </w:p>
          <w:p w14:paraId="70C8C82D">
            <w:pPr>
              <w:adjustRightInd w:val="0"/>
              <w:snapToGrid w:val="0"/>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val="en-US" w:eastAsia="zh-CN"/>
              </w:rPr>
              <w:t>生活污水、沼气净化废水与分离汁水等进入</w:t>
            </w:r>
            <w:r>
              <w:rPr>
                <w:rFonts w:hint="default" w:ascii="Times New Roman" w:hAnsi="Times New Roman" w:eastAsia="宋体" w:cs="宋体"/>
                <w:color w:val="auto"/>
                <w:sz w:val="21"/>
                <w:szCs w:val="21"/>
                <w:highlight w:val="none"/>
                <w:lang w:val="en-US" w:eastAsia="zh-CN"/>
              </w:rPr>
              <w:t>黑膜发酵</w:t>
            </w:r>
            <w:r>
              <w:rPr>
                <w:rFonts w:hint="eastAsia" w:ascii="Times New Roman" w:hAnsi="Times New Roman" w:eastAsia="宋体" w:cs="宋体"/>
                <w:color w:val="auto"/>
                <w:sz w:val="21"/>
                <w:szCs w:val="21"/>
                <w:highlight w:val="none"/>
                <w:lang w:val="en-US" w:eastAsia="zh-CN"/>
              </w:rPr>
              <w:t>系统处理还田</w:t>
            </w:r>
            <w:r>
              <w:rPr>
                <w:rFonts w:hint="default" w:ascii="Times New Roman" w:hAnsi="Times New Roman" w:eastAsia="宋体" w:cs="宋体"/>
                <w:color w:val="auto"/>
                <w:sz w:val="21"/>
                <w:szCs w:val="21"/>
                <w:highlight w:val="none"/>
                <w:lang w:val="en-US" w:eastAsia="zh-CN"/>
              </w:rPr>
              <w:t>，资源化</w:t>
            </w:r>
            <w:r>
              <w:rPr>
                <w:rFonts w:hint="eastAsia" w:ascii="Times New Roman" w:hAnsi="Times New Roman" w:eastAsia="宋体" w:cs="宋体"/>
                <w:color w:val="auto"/>
                <w:sz w:val="21"/>
                <w:szCs w:val="21"/>
                <w:highlight w:val="none"/>
                <w:lang w:val="en-US" w:eastAsia="zh-CN"/>
              </w:rPr>
              <w:t>利用（配套流转土地1500亩）</w:t>
            </w:r>
            <w:r>
              <w:rPr>
                <w:rFonts w:hint="default" w:ascii="Times New Roman" w:hAnsi="Times New Roman" w:eastAsia="宋体" w:cs="宋体"/>
                <w:color w:val="auto"/>
                <w:sz w:val="21"/>
                <w:szCs w:val="21"/>
                <w:highlight w:val="none"/>
                <w:lang w:val="en-US" w:eastAsia="zh-CN"/>
              </w:rPr>
              <w:t>。</w:t>
            </w:r>
          </w:p>
        </w:tc>
        <w:tc>
          <w:tcPr>
            <w:tcW w:w="699" w:type="dxa"/>
            <w:tcBorders>
              <w:tl2br w:val="nil"/>
              <w:tr2bl w:val="nil"/>
            </w:tcBorders>
            <w:noWrap w:val="0"/>
            <w:vAlign w:val="center"/>
          </w:tcPr>
          <w:p w14:paraId="7AC542E4">
            <w:pPr>
              <w:adjustRightInd w:val="0"/>
              <w:snapToGrid w:val="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新建</w:t>
            </w:r>
          </w:p>
        </w:tc>
      </w:tr>
      <w:tr w14:paraId="46023F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noWrap w:val="0"/>
            <w:vAlign w:val="center"/>
          </w:tcPr>
          <w:p w14:paraId="444FA6E4">
            <w:pPr>
              <w:adjustRightInd w:val="0"/>
              <w:snapToGrid w:val="0"/>
              <w:rPr>
                <w:rFonts w:ascii="Times New Roman" w:hAnsi="Times New Roman" w:eastAsia="宋体" w:cs="宋体"/>
                <w:color w:val="auto"/>
                <w:sz w:val="21"/>
                <w:szCs w:val="21"/>
              </w:rPr>
            </w:pPr>
          </w:p>
        </w:tc>
        <w:tc>
          <w:tcPr>
            <w:tcW w:w="1798" w:type="dxa"/>
            <w:tcBorders>
              <w:tl2br w:val="nil"/>
              <w:tr2bl w:val="nil"/>
            </w:tcBorders>
            <w:noWrap w:val="0"/>
            <w:vAlign w:val="center"/>
          </w:tcPr>
          <w:p w14:paraId="757B4E04">
            <w:pPr>
              <w:adjustRightInd w:val="0"/>
              <w:snapToGrid w:val="0"/>
              <w:jc w:val="center"/>
              <w:rPr>
                <w:rFonts w:ascii="Times New Roman" w:hAnsi="Times New Roman" w:eastAsia="宋体" w:cs="宋体"/>
                <w:color w:val="auto"/>
                <w:sz w:val="21"/>
                <w:szCs w:val="21"/>
              </w:rPr>
            </w:pPr>
            <w:r>
              <w:rPr>
                <w:rFonts w:ascii="Times New Roman" w:hAnsi="Times New Roman" w:eastAsia="宋体" w:cs="宋体"/>
                <w:color w:val="auto"/>
                <w:sz w:val="21"/>
                <w:szCs w:val="21"/>
              </w:rPr>
              <w:t>供电系统</w:t>
            </w:r>
          </w:p>
        </w:tc>
        <w:tc>
          <w:tcPr>
            <w:tcW w:w="5250" w:type="dxa"/>
            <w:tcBorders>
              <w:tl2br w:val="nil"/>
              <w:tr2bl w:val="nil"/>
            </w:tcBorders>
            <w:noWrap w:val="0"/>
            <w:vAlign w:val="center"/>
          </w:tcPr>
          <w:p w14:paraId="2FFA8DD4">
            <w:pPr>
              <w:adjustRightInd w:val="0"/>
              <w:snapToGrid w:val="0"/>
              <w:rPr>
                <w:rFonts w:ascii="Times New Roman" w:hAnsi="Times New Roman" w:eastAsia="宋体" w:cs="宋体"/>
                <w:color w:val="auto"/>
                <w:sz w:val="21"/>
                <w:szCs w:val="21"/>
              </w:rPr>
            </w:pPr>
            <w:r>
              <w:rPr>
                <w:rFonts w:ascii="Times New Roman" w:hAnsi="Times New Roman" w:eastAsia="宋体" w:cs="宋体"/>
                <w:color w:val="auto"/>
                <w:sz w:val="21"/>
                <w:szCs w:val="21"/>
              </w:rPr>
              <w:t>由</w:t>
            </w:r>
            <w:r>
              <w:rPr>
                <w:rFonts w:hint="eastAsia" w:ascii="Times New Roman" w:hAnsi="Times New Roman" w:eastAsia="宋体" w:cs="宋体"/>
                <w:color w:val="auto"/>
                <w:sz w:val="21"/>
                <w:szCs w:val="21"/>
                <w:lang w:val="en-US" w:eastAsia="zh-CN"/>
              </w:rPr>
              <w:t>园区</w:t>
            </w:r>
            <w:r>
              <w:rPr>
                <w:rFonts w:ascii="Times New Roman" w:hAnsi="Times New Roman" w:eastAsia="宋体" w:cs="宋体"/>
                <w:color w:val="auto"/>
                <w:sz w:val="21"/>
                <w:szCs w:val="21"/>
              </w:rPr>
              <w:t>电网接入</w:t>
            </w:r>
          </w:p>
        </w:tc>
        <w:tc>
          <w:tcPr>
            <w:tcW w:w="699" w:type="dxa"/>
            <w:tcBorders>
              <w:tl2br w:val="nil"/>
              <w:tr2bl w:val="nil"/>
            </w:tcBorders>
            <w:noWrap w:val="0"/>
            <w:vAlign w:val="center"/>
          </w:tcPr>
          <w:p w14:paraId="12BE9DF2">
            <w:pPr>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依托</w:t>
            </w:r>
          </w:p>
        </w:tc>
      </w:tr>
      <w:tr w14:paraId="49BDAF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noWrap w:val="0"/>
            <w:vAlign w:val="center"/>
          </w:tcPr>
          <w:p w14:paraId="0F54C98B">
            <w:pPr>
              <w:adjustRightInd w:val="0"/>
              <w:snapToGrid w:val="0"/>
              <w:rPr>
                <w:rFonts w:ascii="Times New Roman" w:hAnsi="Times New Roman" w:eastAsia="宋体" w:cs="宋体"/>
                <w:color w:val="auto"/>
                <w:sz w:val="21"/>
                <w:szCs w:val="21"/>
              </w:rPr>
            </w:pPr>
          </w:p>
        </w:tc>
        <w:tc>
          <w:tcPr>
            <w:tcW w:w="1798" w:type="dxa"/>
            <w:tcBorders>
              <w:tl2br w:val="nil"/>
              <w:tr2bl w:val="nil"/>
            </w:tcBorders>
            <w:noWrap w:val="0"/>
            <w:vAlign w:val="center"/>
          </w:tcPr>
          <w:p w14:paraId="39617A7A">
            <w:pPr>
              <w:adjustRightInd w:val="0"/>
              <w:snapToGrid w:val="0"/>
              <w:jc w:val="center"/>
              <w:rPr>
                <w:rFonts w:ascii="Times New Roman" w:hAnsi="Times New Roman" w:eastAsia="宋体" w:cs="宋体"/>
                <w:color w:val="auto"/>
                <w:sz w:val="21"/>
                <w:szCs w:val="21"/>
              </w:rPr>
            </w:pPr>
            <w:r>
              <w:rPr>
                <w:rFonts w:ascii="Times New Roman" w:hAnsi="Times New Roman" w:eastAsia="宋体" w:cs="宋体"/>
                <w:color w:val="auto"/>
                <w:sz w:val="21"/>
                <w:szCs w:val="21"/>
              </w:rPr>
              <w:t>供气系统</w:t>
            </w:r>
          </w:p>
        </w:tc>
        <w:tc>
          <w:tcPr>
            <w:tcW w:w="5250" w:type="dxa"/>
            <w:tcBorders>
              <w:tl2br w:val="nil"/>
              <w:tr2bl w:val="nil"/>
            </w:tcBorders>
            <w:noWrap w:val="0"/>
            <w:vAlign w:val="center"/>
          </w:tcPr>
          <w:p w14:paraId="05E51E86">
            <w:pPr>
              <w:adjustRightInd w:val="0"/>
              <w:snapToGrid w:val="0"/>
              <w:rPr>
                <w:rFonts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园区天然气管网接入</w:t>
            </w:r>
            <w:r>
              <w:rPr>
                <w:rFonts w:hint="eastAsia" w:ascii="Times New Roman" w:hAnsi="Times New Roman" w:eastAsia="宋体" w:cs="宋体"/>
                <w:color w:val="auto"/>
                <w:sz w:val="21"/>
                <w:szCs w:val="21"/>
              </w:rPr>
              <w:t>。</w:t>
            </w:r>
          </w:p>
        </w:tc>
        <w:tc>
          <w:tcPr>
            <w:tcW w:w="699" w:type="dxa"/>
            <w:tcBorders>
              <w:tl2br w:val="nil"/>
              <w:tr2bl w:val="nil"/>
            </w:tcBorders>
            <w:noWrap w:val="0"/>
            <w:vAlign w:val="center"/>
          </w:tcPr>
          <w:p w14:paraId="33A071CD">
            <w:pPr>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新建</w:t>
            </w:r>
          </w:p>
        </w:tc>
      </w:tr>
      <w:tr w14:paraId="69452E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restart"/>
            <w:tcBorders>
              <w:tl2br w:val="nil"/>
              <w:tr2bl w:val="nil"/>
            </w:tcBorders>
            <w:noWrap w:val="0"/>
            <w:vAlign w:val="center"/>
          </w:tcPr>
          <w:p w14:paraId="0246727D">
            <w:pPr>
              <w:adjustRightInd w:val="0"/>
              <w:snapToGrid w:val="0"/>
              <w:rPr>
                <w:rFonts w:ascii="Times New Roman" w:hAnsi="Times New Roman" w:eastAsia="宋体" w:cs="宋体"/>
                <w:color w:val="auto"/>
                <w:sz w:val="21"/>
                <w:szCs w:val="21"/>
              </w:rPr>
            </w:pPr>
            <w:r>
              <w:rPr>
                <w:rFonts w:ascii="Times New Roman" w:hAnsi="Times New Roman" w:eastAsia="宋体" w:cs="宋体"/>
                <w:b/>
                <w:color w:val="auto"/>
                <w:sz w:val="21"/>
                <w:szCs w:val="21"/>
              </w:rPr>
              <w:t>环保工程</w:t>
            </w:r>
          </w:p>
        </w:tc>
        <w:tc>
          <w:tcPr>
            <w:tcW w:w="1798" w:type="dxa"/>
            <w:tcBorders>
              <w:tl2br w:val="nil"/>
              <w:tr2bl w:val="nil"/>
            </w:tcBorders>
            <w:noWrap w:val="0"/>
            <w:vAlign w:val="center"/>
          </w:tcPr>
          <w:p w14:paraId="196D1B1C">
            <w:pPr>
              <w:adjustRightInd w:val="0"/>
              <w:snapToGrid w:val="0"/>
              <w:jc w:val="center"/>
              <w:rPr>
                <w:rFonts w:ascii="Times New Roman" w:hAnsi="Times New Roman" w:eastAsia="宋体" w:cs="宋体"/>
                <w:color w:val="auto"/>
                <w:sz w:val="21"/>
                <w:szCs w:val="21"/>
              </w:rPr>
            </w:pPr>
            <w:r>
              <w:rPr>
                <w:rFonts w:ascii="Times New Roman" w:hAnsi="Times New Roman" w:eastAsia="宋体" w:cs="宋体"/>
                <w:color w:val="auto"/>
                <w:sz w:val="21"/>
                <w:szCs w:val="21"/>
              </w:rPr>
              <w:t>废水防治</w:t>
            </w:r>
          </w:p>
        </w:tc>
        <w:tc>
          <w:tcPr>
            <w:tcW w:w="5250" w:type="dxa"/>
            <w:tcBorders>
              <w:tl2br w:val="nil"/>
              <w:tr2bl w:val="nil"/>
            </w:tcBorders>
            <w:noWrap w:val="0"/>
            <w:vAlign w:val="center"/>
          </w:tcPr>
          <w:p w14:paraId="565E667D">
            <w:pPr>
              <w:adjustRightInd w:val="0"/>
              <w:snapToGrid w:val="0"/>
              <w:rPr>
                <w:rFonts w:hint="eastAsia" w:ascii="Times New Roman" w:hAnsi="Times New Roman" w:eastAsia="宋体" w:cs="宋体"/>
                <w:bCs/>
                <w:color w:val="auto"/>
                <w:sz w:val="21"/>
                <w:szCs w:val="21"/>
              </w:rPr>
            </w:pPr>
            <w:r>
              <w:rPr>
                <w:rFonts w:hint="eastAsia" w:ascii="Times New Roman" w:hAnsi="Times New Roman" w:eastAsia="宋体" w:cs="宋体"/>
                <w:bCs/>
                <w:color w:val="auto"/>
                <w:sz w:val="21"/>
                <w:szCs w:val="21"/>
              </w:rPr>
              <w:t>马铃薯清洗废水进入循环沉淀池处理后回用，每年生产期结束后对沉淀池内废水</w:t>
            </w:r>
            <w:r>
              <w:rPr>
                <w:rFonts w:hint="eastAsia" w:ascii="Times New Roman" w:hAnsi="Times New Roman" w:eastAsia="宋体" w:cs="宋体"/>
                <w:bCs/>
                <w:color w:val="auto"/>
                <w:sz w:val="21"/>
                <w:szCs w:val="21"/>
                <w:lang w:val="en-US" w:eastAsia="zh-CN"/>
              </w:rPr>
              <w:t>进入黑膜厌氧发酵系统处理还田</w:t>
            </w:r>
            <w:r>
              <w:rPr>
                <w:rFonts w:hint="eastAsia" w:ascii="Times New Roman" w:hAnsi="Times New Roman" w:eastAsia="宋体" w:cs="宋体"/>
                <w:bCs/>
                <w:color w:val="auto"/>
                <w:sz w:val="21"/>
                <w:szCs w:val="21"/>
              </w:rPr>
              <w:t>；</w:t>
            </w:r>
          </w:p>
          <w:p w14:paraId="4D11F1FA">
            <w:pPr>
              <w:adjustRightInd w:val="0"/>
              <w:snapToGrid w:val="0"/>
              <w:rPr>
                <w:rFonts w:ascii="Times New Roman" w:hAnsi="Times New Roman" w:eastAsia="宋体" w:cs="宋体"/>
                <w:bCs/>
                <w:color w:val="auto"/>
                <w:sz w:val="21"/>
                <w:szCs w:val="21"/>
              </w:rPr>
            </w:pPr>
            <w:r>
              <w:rPr>
                <w:rFonts w:hint="eastAsia" w:ascii="Times New Roman" w:hAnsi="Times New Roman" w:eastAsia="宋体" w:cs="宋体"/>
                <w:color w:val="auto"/>
                <w:sz w:val="21"/>
                <w:szCs w:val="21"/>
                <w:lang w:val="en-US" w:eastAsia="zh-CN"/>
              </w:rPr>
              <w:t>生活污水、沼气净化废水与分离汁水等进入</w:t>
            </w:r>
            <w:r>
              <w:rPr>
                <w:rFonts w:hint="default" w:ascii="Times New Roman" w:hAnsi="Times New Roman" w:eastAsia="宋体" w:cs="宋体"/>
                <w:color w:val="auto"/>
                <w:sz w:val="21"/>
                <w:szCs w:val="21"/>
                <w:lang w:val="en-US" w:eastAsia="zh-CN"/>
              </w:rPr>
              <w:t>黑膜发酵</w:t>
            </w:r>
            <w:r>
              <w:rPr>
                <w:rFonts w:hint="eastAsia" w:ascii="Times New Roman" w:hAnsi="Times New Roman" w:eastAsia="宋体" w:cs="宋体"/>
                <w:color w:val="auto"/>
                <w:sz w:val="21"/>
                <w:szCs w:val="21"/>
                <w:lang w:val="en-US" w:eastAsia="zh-CN"/>
              </w:rPr>
              <w:t>系统处理还田</w:t>
            </w:r>
            <w:r>
              <w:rPr>
                <w:rFonts w:hint="default" w:ascii="Times New Roman" w:hAnsi="Times New Roman" w:eastAsia="宋体" w:cs="宋体"/>
                <w:color w:val="auto"/>
                <w:sz w:val="21"/>
                <w:szCs w:val="21"/>
                <w:lang w:val="en-US" w:eastAsia="zh-CN"/>
              </w:rPr>
              <w:t>，资源化</w:t>
            </w:r>
            <w:r>
              <w:rPr>
                <w:rFonts w:hint="eastAsia" w:ascii="Times New Roman" w:hAnsi="Times New Roman" w:eastAsia="宋体" w:cs="宋体"/>
                <w:color w:val="auto"/>
                <w:sz w:val="21"/>
                <w:szCs w:val="21"/>
                <w:lang w:val="en-US" w:eastAsia="zh-CN"/>
              </w:rPr>
              <w:t>利用</w:t>
            </w:r>
            <w:r>
              <w:rPr>
                <w:rFonts w:hint="default" w:ascii="Times New Roman" w:hAnsi="Times New Roman" w:eastAsia="宋体" w:cs="宋体"/>
                <w:color w:val="auto"/>
                <w:sz w:val="21"/>
                <w:szCs w:val="21"/>
                <w:lang w:val="en-US" w:eastAsia="zh-CN"/>
              </w:rPr>
              <w:t>。</w:t>
            </w:r>
          </w:p>
        </w:tc>
        <w:tc>
          <w:tcPr>
            <w:tcW w:w="699" w:type="dxa"/>
            <w:tcBorders>
              <w:tl2br w:val="nil"/>
              <w:tr2bl w:val="nil"/>
            </w:tcBorders>
            <w:noWrap w:val="0"/>
            <w:vAlign w:val="center"/>
          </w:tcPr>
          <w:p w14:paraId="71BFD21B">
            <w:pPr>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新建</w:t>
            </w:r>
          </w:p>
        </w:tc>
      </w:tr>
      <w:tr w14:paraId="6344AA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noWrap w:val="0"/>
            <w:vAlign w:val="center"/>
          </w:tcPr>
          <w:p w14:paraId="3EC183A8">
            <w:pPr>
              <w:adjustRightInd w:val="0"/>
              <w:snapToGrid w:val="0"/>
              <w:rPr>
                <w:rFonts w:ascii="Times New Roman" w:hAnsi="Times New Roman" w:eastAsia="宋体" w:cs="宋体"/>
                <w:color w:val="auto"/>
                <w:sz w:val="21"/>
                <w:szCs w:val="21"/>
              </w:rPr>
            </w:pPr>
          </w:p>
        </w:tc>
        <w:tc>
          <w:tcPr>
            <w:tcW w:w="1798" w:type="dxa"/>
            <w:tcBorders>
              <w:tl2br w:val="nil"/>
              <w:tr2bl w:val="nil"/>
            </w:tcBorders>
            <w:noWrap w:val="0"/>
            <w:vAlign w:val="center"/>
          </w:tcPr>
          <w:p w14:paraId="07395EC9">
            <w:pPr>
              <w:adjustRightInd w:val="0"/>
              <w:snapToGrid w:val="0"/>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废气防治</w:t>
            </w:r>
          </w:p>
        </w:tc>
        <w:tc>
          <w:tcPr>
            <w:tcW w:w="5250" w:type="dxa"/>
            <w:tcBorders>
              <w:tl2br w:val="nil"/>
              <w:tr2bl w:val="nil"/>
            </w:tcBorders>
            <w:noWrap w:val="0"/>
            <w:vAlign w:val="center"/>
          </w:tcPr>
          <w:p w14:paraId="18F58424">
            <w:pPr>
              <w:adjustRightInd w:val="0"/>
              <w:snapToGrid w:val="0"/>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①天然气锅炉采用低氮燃烧技术，锅炉烟气经8m高排气筒</w:t>
            </w:r>
            <w:r>
              <w:rPr>
                <w:rFonts w:ascii="Times New Roman" w:hAnsi="Times New Roman" w:eastAsia="宋体" w:cs="宋体"/>
                <w:color w:val="auto"/>
                <w:szCs w:val="21"/>
              </w:rPr>
              <w:t>（DA001）</w:t>
            </w:r>
            <w:r>
              <w:rPr>
                <w:rFonts w:hint="eastAsia" w:ascii="Times New Roman" w:hAnsi="Times New Roman" w:eastAsia="宋体" w:cs="宋体"/>
                <w:color w:val="auto"/>
                <w:sz w:val="21"/>
                <w:szCs w:val="21"/>
              </w:rPr>
              <w:t>进行排放；</w:t>
            </w:r>
          </w:p>
          <w:p w14:paraId="1E1DD4EA">
            <w:pPr>
              <w:adjustRightInd w:val="0"/>
              <w:snapToGrid w:val="0"/>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②淀粉生产线设置在车间内，粉尘经集气罩收集后经旋风除尘器+布袋除尘器处理，处理达标后经15m高的排气筒</w:t>
            </w:r>
            <w:r>
              <w:rPr>
                <w:rFonts w:ascii="Times New Roman" w:hAnsi="Times New Roman" w:eastAsia="宋体" w:cs="宋体"/>
                <w:color w:val="auto"/>
                <w:szCs w:val="21"/>
              </w:rPr>
              <w:t>（DA00</w:t>
            </w:r>
            <w:r>
              <w:rPr>
                <w:rFonts w:hint="eastAsia" w:ascii="Times New Roman" w:hAnsi="Times New Roman" w:eastAsia="宋体" w:cs="宋体"/>
                <w:color w:val="auto"/>
                <w:szCs w:val="21"/>
              </w:rPr>
              <w:t>2</w:t>
            </w:r>
            <w:r>
              <w:rPr>
                <w:rFonts w:ascii="Times New Roman" w:hAnsi="Times New Roman" w:eastAsia="宋体" w:cs="宋体"/>
                <w:color w:val="auto"/>
                <w:szCs w:val="21"/>
              </w:rPr>
              <w:t>）</w:t>
            </w:r>
            <w:r>
              <w:rPr>
                <w:rFonts w:hint="eastAsia" w:ascii="Times New Roman" w:hAnsi="Times New Roman" w:eastAsia="宋体" w:cs="宋体"/>
                <w:color w:val="auto"/>
                <w:sz w:val="21"/>
                <w:szCs w:val="21"/>
              </w:rPr>
              <w:t>排放；</w:t>
            </w:r>
          </w:p>
          <w:p w14:paraId="45ED3EC4">
            <w:pPr>
              <w:adjustRightInd w:val="0"/>
              <w:snapToGrid w:val="0"/>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③</w:t>
            </w:r>
            <w:r>
              <w:rPr>
                <w:rFonts w:hint="eastAsia" w:ascii="Times New Roman" w:hAnsi="Times New Roman" w:eastAsia="宋体" w:cs="宋体"/>
                <w:color w:val="auto"/>
                <w:sz w:val="21"/>
                <w:szCs w:val="21"/>
                <w:lang w:val="en-US" w:eastAsia="zh-CN"/>
              </w:rPr>
              <w:t>废水厌氧发酵过程产生的沼气收集经沼气净化系统处理后，采用火炬燃烧；</w:t>
            </w:r>
          </w:p>
          <w:p w14:paraId="4630667A">
            <w:pPr>
              <w:adjustRightInd w:val="0"/>
              <w:snapToGrid w:val="0"/>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④生产车间安装通风换气系统并加强管理等措施</w:t>
            </w:r>
          </w:p>
        </w:tc>
        <w:tc>
          <w:tcPr>
            <w:tcW w:w="699" w:type="dxa"/>
            <w:tcBorders>
              <w:tl2br w:val="nil"/>
              <w:tr2bl w:val="nil"/>
            </w:tcBorders>
            <w:noWrap w:val="0"/>
            <w:vAlign w:val="center"/>
          </w:tcPr>
          <w:p w14:paraId="4CB2FD64">
            <w:pPr>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新建</w:t>
            </w:r>
          </w:p>
        </w:tc>
      </w:tr>
      <w:tr w14:paraId="5A7FDE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noWrap w:val="0"/>
            <w:vAlign w:val="center"/>
          </w:tcPr>
          <w:p w14:paraId="3FC8D8DF">
            <w:pPr>
              <w:adjustRightInd w:val="0"/>
              <w:snapToGrid w:val="0"/>
              <w:rPr>
                <w:rFonts w:ascii="Times New Roman" w:hAnsi="Times New Roman" w:eastAsia="宋体" w:cs="宋体"/>
                <w:color w:val="auto"/>
                <w:sz w:val="21"/>
                <w:szCs w:val="21"/>
              </w:rPr>
            </w:pPr>
          </w:p>
        </w:tc>
        <w:tc>
          <w:tcPr>
            <w:tcW w:w="1798" w:type="dxa"/>
            <w:tcBorders>
              <w:tl2br w:val="nil"/>
              <w:tr2bl w:val="nil"/>
            </w:tcBorders>
            <w:noWrap w:val="0"/>
            <w:vAlign w:val="center"/>
          </w:tcPr>
          <w:p w14:paraId="25A06EAA">
            <w:pPr>
              <w:adjustRightInd w:val="0"/>
              <w:snapToGrid w:val="0"/>
              <w:jc w:val="center"/>
              <w:rPr>
                <w:rFonts w:ascii="Times New Roman" w:hAnsi="Times New Roman" w:eastAsia="宋体" w:cs="宋体"/>
                <w:color w:val="auto"/>
                <w:sz w:val="21"/>
                <w:szCs w:val="21"/>
              </w:rPr>
            </w:pPr>
            <w:r>
              <w:rPr>
                <w:rFonts w:ascii="Times New Roman" w:hAnsi="Times New Roman" w:eastAsia="宋体" w:cs="宋体"/>
                <w:color w:val="auto"/>
                <w:sz w:val="21"/>
                <w:szCs w:val="21"/>
              </w:rPr>
              <w:t>噪声防治</w:t>
            </w:r>
          </w:p>
        </w:tc>
        <w:tc>
          <w:tcPr>
            <w:tcW w:w="5250" w:type="dxa"/>
            <w:tcBorders>
              <w:tl2br w:val="nil"/>
              <w:tr2bl w:val="nil"/>
            </w:tcBorders>
            <w:noWrap w:val="0"/>
            <w:vAlign w:val="center"/>
          </w:tcPr>
          <w:p w14:paraId="31D554BB">
            <w:pPr>
              <w:adjustRightInd w:val="0"/>
              <w:snapToGrid w:val="0"/>
              <w:rPr>
                <w:rFonts w:ascii="Times New Roman" w:hAnsi="Times New Roman" w:eastAsia="宋体" w:cs="宋体"/>
                <w:color w:val="auto"/>
                <w:sz w:val="21"/>
                <w:szCs w:val="21"/>
              </w:rPr>
            </w:pPr>
            <w:r>
              <w:rPr>
                <w:rFonts w:ascii="Times New Roman" w:hAnsi="Times New Roman" w:eastAsia="宋体" w:cs="宋体"/>
                <w:color w:val="auto"/>
                <w:sz w:val="21"/>
                <w:szCs w:val="21"/>
              </w:rPr>
              <w:t>选用低噪声设备，合理布设，安装减震措施；加强车辆管理，禁止鸣笛等</w:t>
            </w:r>
          </w:p>
        </w:tc>
        <w:tc>
          <w:tcPr>
            <w:tcW w:w="699" w:type="dxa"/>
            <w:tcBorders>
              <w:tl2br w:val="nil"/>
              <w:tr2bl w:val="nil"/>
            </w:tcBorders>
            <w:noWrap w:val="0"/>
            <w:vAlign w:val="center"/>
          </w:tcPr>
          <w:p w14:paraId="5E14BED7">
            <w:pPr>
              <w:adjustRightInd w:val="0"/>
              <w:snapToGrid w:val="0"/>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新建</w:t>
            </w:r>
          </w:p>
        </w:tc>
      </w:tr>
      <w:tr w14:paraId="6CF901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noWrap w:val="0"/>
            <w:vAlign w:val="center"/>
          </w:tcPr>
          <w:p w14:paraId="135493E7">
            <w:pPr>
              <w:adjustRightInd w:val="0"/>
              <w:snapToGrid w:val="0"/>
              <w:rPr>
                <w:rFonts w:ascii="Times New Roman" w:hAnsi="Times New Roman" w:eastAsia="宋体" w:cs="宋体"/>
                <w:color w:val="auto"/>
                <w:sz w:val="21"/>
                <w:szCs w:val="21"/>
              </w:rPr>
            </w:pPr>
          </w:p>
        </w:tc>
        <w:tc>
          <w:tcPr>
            <w:tcW w:w="1798" w:type="dxa"/>
            <w:tcBorders>
              <w:tl2br w:val="nil"/>
              <w:tr2bl w:val="nil"/>
            </w:tcBorders>
            <w:noWrap w:val="0"/>
            <w:vAlign w:val="center"/>
          </w:tcPr>
          <w:p w14:paraId="40855042">
            <w:pPr>
              <w:adjustRightInd w:val="0"/>
              <w:snapToGrid w:val="0"/>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固体废物处置</w:t>
            </w:r>
          </w:p>
        </w:tc>
        <w:tc>
          <w:tcPr>
            <w:tcW w:w="5250" w:type="dxa"/>
            <w:tcBorders>
              <w:tl2br w:val="nil"/>
              <w:tr2bl w:val="nil"/>
            </w:tcBorders>
            <w:noWrap w:val="0"/>
            <w:vAlign w:val="center"/>
          </w:tcPr>
          <w:p w14:paraId="462304CE">
            <w:pPr>
              <w:adjustRightInd w:val="0"/>
              <w:snapToGrid w:val="0"/>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rPr>
              <w:t>生活垃圾、废弃包装袋经</w:t>
            </w:r>
            <w:r>
              <w:rPr>
                <w:rFonts w:ascii="Times New Roman" w:hAnsi="Times New Roman" w:eastAsia="宋体" w:cs="宋体"/>
                <w:color w:val="auto"/>
                <w:sz w:val="21"/>
                <w:szCs w:val="21"/>
              </w:rPr>
              <w:t>垃圾桶收集后交由</w:t>
            </w:r>
            <w:r>
              <w:rPr>
                <w:rFonts w:hint="eastAsia" w:ascii="Times New Roman" w:hAnsi="Times New Roman" w:eastAsia="宋体" w:cs="宋体"/>
                <w:color w:val="auto"/>
                <w:sz w:val="21"/>
                <w:szCs w:val="21"/>
                <w:lang w:val="en-US" w:eastAsia="zh-CN"/>
              </w:rPr>
              <w:t>园区</w:t>
            </w:r>
            <w:r>
              <w:rPr>
                <w:rFonts w:ascii="Times New Roman" w:hAnsi="Times New Roman" w:eastAsia="宋体" w:cs="宋体"/>
                <w:color w:val="auto"/>
                <w:sz w:val="21"/>
                <w:szCs w:val="21"/>
              </w:rPr>
              <w:t>环卫部门清运，做到日产日清</w:t>
            </w:r>
            <w:r>
              <w:rPr>
                <w:rFonts w:hint="eastAsia" w:ascii="Times New Roman" w:hAnsi="Times New Roman" w:eastAsia="宋体" w:cs="宋体"/>
                <w:color w:val="auto"/>
                <w:sz w:val="21"/>
                <w:szCs w:val="21"/>
                <w:lang w:eastAsia="zh-CN"/>
              </w:rPr>
              <w:t>。</w:t>
            </w:r>
          </w:p>
          <w:p w14:paraId="7B0D12F3">
            <w:pPr>
              <w:adjustRightInd w:val="0"/>
              <w:snapToGrid w:val="0"/>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rPr>
              <w:t>沉淀池泥沙</w:t>
            </w:r>
            <w:r>
              <w:rPr>
                <w:rFonts w:hint="eastAsia" w:ascii="Times New Roman" w:hAnsi="Times New Roman" w:eastAsia="宋体" w:cs="宋体"/>
                <w:color w:val="auto"/>
                <w:sz w:val="21"/>
                <w:szCs w:val="21"/>
                <w:lang w:val="en-US" w:eastAsia="zh-CN"/>
              </w:rPr>
              <w:t>清掏后还田</w:t>
            </w:r>
            <w:r>
              <w:rPr>
                <w:rFonts w:hint="eastAsia" w:ascii="Times New Roman" w:hAnsi="Times New Roman" w:eastAsia="宋体" w:cs="宋体"/>
                <w:color w:val="auto"/>
                <w:sz w:val="21"/>
                <w:szCs w:val="21"/>
                <w:lang w:eastAsia="zh-CN"/>
              </w:rPr>
              <w:t>。</w:t>
            </w:r>
          </w:p>
          <w:p w14:paraId="2D931F61">
            <w:pPr>
              <w:adjustRightInd w:val="0"/>
              <w:snapToGrid w:val="0"/>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除尘器的粉尘、薯渣外售至饲料加工厂，日产日清。沼气净化系统中的废脱硫剂由厂家回收处置。</w:t>
            </w:r>
          </w:p>
        </w:tc>
        <w:tc>
          <w:tcPr>
            <w:tcW w:w="699" w:type="dxa"/>
            <w:tcBorders>
              <w:tl2br w:val="nil"/>
              <w:tr2bl w:val="nil"/>
            </w:tcBorders>
            <w:noWrap w:val="0"/>
            <w:vAlign w:val="center"/>
          </w:tcPr>
          <w:p w14:paraId="14868D1B">
            <w:pPr>
              <w:adjustRightInd w:val="0"/>
              <w:snapToGrid w:val="0"/>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新建</w:t>
            </w:r>
          </w:p>
        </w:tc>
      </w:tr>
    </w:tbl>
    <w:p w14:paraId="20B0D1D0">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1.2.3建设期限</w:t>
      </w:r>
    </w:p>
    <w:p w14:paraId="42B250A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项目计划总工期为8个月，项目资金落实后，尽快进行生产设备订货，施工图设计完成后，土建施工随即开始。实现当年开工、当年生产。</w:t>
      </w:r>
    </w:p>
    <w:p w14:paraId="6A34641B">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eastAsia" w:ascii="Times New Roman" w:hAnsi="Times New Roman" w:eastAsia="宋体" w:cs="宋体"/>
          <w:b/>
          <w:bCs/>
          <w:color w:val="auto"/>
          <w:sz w:val="28"/>
          <w:szCs w:val="28"/>
          <w:lang w:val="en-US" w:eastAsia="zh-CN"/>
        </w:rPr>
      </w:pPr>
      <w:bookmarkStart w:id="7" w:name="_Toc29648"/>
      <w:r>
        <w:rPr>
          <w:rFonts w:hint="eastAsia" w:ascii="Times New Roman" w:hAnsi="Times New Roman" w:eastAsia="宋体" w:cs="宋体"/>
          <w:b/>
          <w:bCs/>
          <w:color w:val="auto"/>
          <w:sz w:val="28"/>
          <w:szCs w:val="28"/>
          <w:lang w:val="en-US" w:eastAsia="zh-CN"/>
        </w:rPr>
        <w:t>1.3、总投资与资金筹措</w:t>
      </w:r>
      <w:bookmarkEnd w:id="7"/>
    </w:p>
    <w:p w14:paraId="18208634">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1.3.1、概算总投资</w:t>
      </w:r>
    </w:p>
    <w:p w14:paraId="5A75324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highlight w:val="none"/>
          <w:lang w:val="en-US" w:eastAsia="zh-CN" w:bidi="ar"/>
        </w:rPr>
      </w:pPr>
      <w:r>
        <w:rPr>
          <w:rFonts w:hint="eastAsia" w:ascii="Times New Roman" w:hAnsi="Times New Roman" w:eastAsia="宋体" w:cs="宋体"/>
          <w:snapToGrid w:val="0"/>
          <w:color w:val="auto"/>
          <w:kern w:val="0"/>
          <w:sz w:val="24"/>
          <w:szCs w:val="24"/>
          <w:highlight w:val="none"/>
          <w:lang w:val="en-US" w:eastAsia="zh-CN" w:bidi="ar"/>
        </w:rPr>
        <w:t>本项目概算总投资6169万元，其中：建安工程费2300万元，占概算总投资的37.28%；设备购置费用1869万元，占概算总投资的30.3%；流动资金2000万元，占概算总投资的32.4%。</w:t>
      </w:r>
    </w:p>
    <w:p w14:paraId="76843084">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1.3.2、资金筹措</w:t>
      </w:r>
    </w:p>
    <w:p w14:paraId="48E0A1E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本项目资金筹措方式为企业自筹资金，自筹资金由企业通过多渠道筹措解决。</w:t>
      </w:r>
    </w:p>
    <w:p w14:paraId="7333E8C3">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eastAsia" w:ascii="Times New Roman" w:hAnsi="Times New Roman" w:eastAsia="宋体" w:cs="宋体"/>
          <w:b/>
          <w:bCs/>
          <w:color w:val="auto"/>
          <w:sz w:val="28"/>
          <w:szCs w:val="28"/>
          <w:lang w:val="en-US" w:eastAsia="zh-CN"/>
        </w:rPr>
      </w:pPr>
      <w:bookmarkStart w:id="8" w:name="_Toc24336"/>
      <w:r>
        <w:rPr>
          <w:rFonts w:hint="eastAsia" w:ascii="Times New Roman" w:hAnsi="Times New Roman" w:eastAsia="宋体" w:cs="宋体"/>
          <w:b/>
          <w:bCs/>
          <w:color w:val="auto"/>
          <w:sz w:val="28"/>
          <w:szCs w:val="28"/>
          <w:lang w:val="en-US" w:eastAsia="zh-CN"/>
        </w:rPr>
        <w:t>1.4、项目效益</w:t>
      </w:r>
      <w:bookmarkEnd w:id="8"/>
    </w:p>
    <w:p w14:paraId="196379C8">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1.4.1经济效益</w:t>
      </w:r>
    </w:p>
    <w:p w14:paraId="16E5319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项目实施后，年新增销售收入8515.44万元，计算期内年平均净利润总额2021.6万元，年缴纳所得税505.4万元，总投资收益率14.68%，投资净利润率15.16%。</w:t>
      </w:r>
    </w:p>
    <w:p w14:paraId="142FE15E">
      <w:pPr>
        <w:pStyle w:val="30"/>
        <w:spacing w:line="240" w:lineRule="auto"/>
        <w:ind w:firstLine="198" w:firstLineChars="82"/>
        <w:jc w:val="center"/>
        <w:rPr>
          <w:rFonts w:hint="eastAsia" w:ascii="Times New Roman" w:hAnsi="Times New Roman" w:eastAsia="宋体" w:cs="宋体"/>
          <w:b/>
          <w:bCs w:val="0"/>
          <w:color w:val="auto"/>
        </w:rPr>
      </w:pPr>
      <w:r>
        <w:rPr>
          <w:rFonts w:hint="eastAsia" w:ascii="Times New Roman" w:hAnsi="Times New Roman" w:eastAsia="宋体" w:cs="宋体"/>
          <w:b/>
          <w:bCs w:val="0"/>
          <w:color w:val="auto"/>
        </w:rPr>
        <w:t>表</w:t>
      </w:r>
      <w:r>
        <w:rPr>
          <w:rFonts w:hint="eastAsia" w:ascii="Times New Roman" w:hAnsi="Times New Roman" w:eastAsia="宋体" w:cs="宋体"/>
          <w:b/>
          <w:bCs w:val="0"/>
          <w:color w:val="auto"/>
          <w:lang w:val="en-US" w:eastAsia="zh-CN"/>
        </w:rPr>
        <w:t>1</w:t>
      </w:r>
      <w:r>
        <w:rPr>
          <w:rFonts w:hint="eastAsia" w:ascii="Times New Roman" w:hAnsi="Times New Roman" w:eastAsia="宋体" w:cs="宋体"/>
          <w:b/>
          <w:bCs w:val="0"/>
          <w:color w:val="auto"/>
        </w:rPr>
        <w:t>-</w:t>
      </w:r>
      <w:r>
        <w:rPr>
          <w:rFonts w:hint="eastAsia" w:ascii="Times New Roman" w:hAnsi="Times New Roman" w:eastAsia="宋体" w:cs="宋体"/>
          <w:b/>
          <w:bCs w:val="0"/>
          <w:color w:val="auto"/>
          <w:lang w:val="en-US" w:eastAsia="zh-CN"/>
        </w:rPr>
        <w:t>3   主要技术经济指标汇总</w:t>
      </w:r>
      <w:r>
        <w:rPr>
          <w:rFonts w:hint="eastAsia" w:ascii="Times New Roman" w:hAnsi="Times New Roman" w:eastAsia="宋体" w:cs="宋体"/>
          <w:b/>
          <w:bCs w:val="0"/>
          <w:color w:val="auto"/>
        </w:rPr>
        <w:t>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717"/>
        <w:gridCol w:w="753"/>
        <w:gridCol w:w="24"/>
        <w:gridCol w:w="2196"/>
        <w:gridCol w:w="1485"/>
        <w:gridCol w:w="2401"/>
      </w:tblGrid>
      <w:tr w14:paraId="6C22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20328F5">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序号</w:t>
            </w:r>
          </w:p>
        </w:tc>
        <w:tc>
          <w:tcPr>
            <w:tcW w:w="3690" w:type="dxa"/>
            <w:gridSpan w:val="4"/>
            <w:vAlign w:val="center"/>
          </w:tcPr>
          <w:p w14:paraId="58C50069">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指标名称</w:t>
            </w:r>
          </w:p>
        </w:tc>
        <w:tc>
          <w:tcPr>
            <w:tcW w:w="1485" w:type="dxa"/>
            <w:vAlign w:val="center"/>
          </w:tcPr>
          <w:p w14:paraId="08A269BF">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单位</w:t>
            </w:r>
          </w:p>
        </w:tc>
        <w:tc>
          <w:tcPr>
            <w:tcW w:w="2401" w:type="dxa"/>
            <w:vAlign w:val="center"/>
          </w:tcPr>
          <w:p w14:paraId="39C414D9">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指标</w:t>
            </w:r>
          </w:p>
        </w:tc>
      </w:tr>
      <w:tr w14:paraId="4E41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6" w:type="dxa"/>
            <w:vAlign w:val="center"/>
          </w:tcPr>
          <w:p w14:paraId="5C78465E">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w:t>
            </w:r>
          </w:p>
        </w:tc>
        <w:tc>
          <w:tcPr>
            <w:tcW w:w="3690" w:type="dxa"/>
            <w:gridSpan w:val="4"/>
            <w:vAlign w:val="center"/>
          </w:tcPr>
          <w:p w14:paraId="02063DCD">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生产规模</w:t>
            </w:r>
          </w:p>
        </w:tc>
        <w:tc>
          <w:tcPr>
            <w:tcW w:w="1485" w:type="dxa"/>
            <w:vAlign w:val="center"/>
          </w:tcPr>
          <w:p w14:paraId="53F4FF9D">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吨/年</w:t>
            </w:r>
          </w:p>
        </w:tc>
        <w:tc>
          <w:tcPr>
            <w:tcW w:w="2401" w:type="dxa"/>
            <w:vAlign w:val="center"/>
          </w:tcPr>
          <w:p w14:paraId="0F886F67">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10000</w:t>
            </w:r>
          </w:p>
        </w:tc>
      </w:tr>
      <w:tr w14:paraId="3910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71407706">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1.1</w:t>
            </w:r>
          </w:p>
        </w:tc>
        <w:tc>
          <w:tcPr>
            <w:tcW w:w="3690" w:type="dxa"/>
            <w:gridSpan w:val="4"/>
            <w:vAlign w:val="center"/>
          </w:tcPr>
          <w:p w14:paraId="5DC815F9">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马铃薯淀粉</w:t>
            </w:r>
          </w:p>
        </w:tc>
        <w:tc>
          <w:tcPr>
            <w:tcW w:w="1485" w:type="dxa"/>
            <w:vAlign w:val="center"/>
          </w:tcPr>
          <w:p w14:paraId="6A361613">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吨/年</w:t>
            </w:r>
          </w:p>
        </w:tc>
        <w:tc>
          <w:tcPr>
            <w:tcW w:w="2401" w:type="dxa"/>
            <w:vAlign w:val="center"/>
          </w:tcPr>
          <w:p w14:paraId="778C4719">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10000</w:t>
            </w:r>
          </w:p>
        </w:tc>
      </w:tr>
      <w:tr w14:paraId="56AC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F5A3EB2">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2</w:t>
            </w:r>
          </w:p>
        </w:tc>
        <w:tc>
          <w:tcPr>
            <w:tcW w:w="3690" w:type="dxa"/>
            <w:gridSpan w:val="4"/>
            <w:vAlign w:val="center"/>
          </w:tcPr>
          <w:p w14:paraId="0DF47CC7">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全年生产天数</w:t>
            </w:r>
          </w:p>
        </w:tc>
        <w:tc>
          <w:tcPr>
            <w:tcW w:w="1485" w:type="dxa"/>
            <w:vAlign w:val="center"/>
          </w:tcPr>
          <w:p w14:paraId="21961294">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天</w:t>
            </w:r>
          </w:p>
        </w:tc>
        <w:tc>
          <w:tcPr>
            <w:tcW w:w="2401" w:type="dxa"/>
            <w:vAlign w:val="center"/>
          </w:tcPr>
          <w:p w14:paraId="1E575FFD">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180</w:t>
            </w:r>
          </w:p>
        </w:tc>
      </w:tr>
      <w:tr w14:paraId="2AE4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BED82CA">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3</w:t>
            </w:r>
          </w:p>
        </w:tc>
        <w:tc>
          <w:tcPr>
            <w:tcW w:w="3690" w:type="dxa"/>
            <w:gridSpan w:val="4"/>
            <w:vAlign w:val="center"/>
          </w:tcPr>
          <w:p w14:paraId="2F815C47">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每日工作时间</w:t>
            </w:r>
          </w:p>
        </w:tc>
        <w:tc>
          <w:tcPr>
            <w:tcW w:w="1485" w:type="dxa"/>
            <w:vAlign w:val="center"/>
          </w:tcPr>
          <w:p w14:paraId="7B6BDCA4">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小时</w:t>
            </w:r>
          </w:p>
        </w:tc>
        <w:tc>
          <w:tcPr>
            <w:tcW w:w="2401" w:type="dxa"/>
            <w:vAlign w:val="center"/>
          </w:tcPr>
          <w:p w14:paraId="1D63E7DD">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10</w:t>
            </w:r>
          </w:p>
        </w:tc>
      </w:tr>
      <w:tr w14:paraId="6F16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67B7353">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4</w:t>
            </w:r>
          </w:p>
        </w:tc>
        <w:tc>
          <w:tcPr>
            <w:tcW w:w="3690" w:type="dxa"/>
            <w:gridSpan w:val="4"/>
            <w:vAlign w:val="center"/>
          </w:tcPr>
          <w:p w14:paraId="5560FBEB">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主要原料、燃料消耗</w:t>
            </w:r>
          </w:p>
        </w:tc>
        <w:tc>
          <w:tcPr>
            <w:tcW w:w="1485" w:type="dxa"/>
            <w:vAlign w:val="center"/>
          </w:tcPr>
          <w:p w14:paraId="7686D4D8">
            <w:pPr>
              <w:pStyle w:val="2"/>
              <w:jc w:val="center"/>
              <w:rPr>
                <w:rFonts w:hint="eastAsia" w:ascii="Times New Roman" w:hAnsi="Times New Roman" w:eastAsia="宋体" w:cs="宋体"/>
                <w:color w:val="auto"/>
                <w:sz w:val="21"/>
                <w:szCs w:val="21"/>
                <w:vertAlign w:val="baseline"/>
                <w:lang w:val="en-US" w:eastAsia="zh-CN"/>
              </w:rPr>
            </w:pPr>
          </w:p>
        </w:tc>
        <w:tc>
          <w:tcPr>
            <w:tcW w:w="2401" w:type="dxa"/>
            <w:vAlign w:val="center"/>
          </w:tcPr>
          <w:p w14:paraId="44C4EAA0">
            <w:pPr>
              <w:pStyle w:val="2"/>
              <w:jc w:val="center"/>
              <w:rPr>
                <w:rFonts w:hint="eastAsia" w:ascii="Times New Roman" w:hAnsi="Times New Roman" w:eastAsia="宋体" w:cs="宋体"/>
                <w:color w:val="auto"/>
                <w:sz w:val="21"/>
                <w:szCs w:val="21"/>
                <w:vertAlign w:val="baseline"/>
                <w:lang w:val="en-US" w:eastAsia="zh-CN"/>
              </w:rPr>
            </w:pPr>
          </w:p>
        </w:tc>
      </w:tr>
      <w:tr w14:paraId="1F58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EAD9BED">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4.1</w:t>
            </w:r>
          </w:p>
        </w:tc>
        <w:tc>
          <w:tcPr>
            <w:tcW w:w="3690" w:type="dxa"/>
            <w:gridSpan w:val="4"/>
            <w:vAlign w:val="center"/>
          </w:tcPr>
          <w:p w14:paraId="0C157D88">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鲜马铃薯</w:t>
            </w:r>
          </w:p>
        </w:tc>
        <w:tc>
          <w:tcPr>
            <w:tcW w:w="1485" w:type="dxa"/>
            <w:vAlign w:val="center"/>
          </w:tcPr>
          <w:p w14:paraId="4CDC32C9">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吨/年</w:t>
            </w:r>
          </w:p>
        </w:tc>
        <w:tc>
          <w:tcPr>
            <w:tcW w:w="2401" w:type="dxa"/>
            <w:vAlign w:val="center"/>
          </w:tcPr>
          <w:p w14:paraId="5ED8A11B">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50000</w:t>
            </w:r>
          </w:p>
        </w:tc>
      </w:tr>
      <w:tr w14:paraId="2C7B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62B89D6D">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4.2</w:t>
            </w:r>
          </w:p>
        </w:tc>
        <w:tc>
          <w:tcPr>
            <w:tcW w:w="3690" w:type="dxa"/>
            <w:gridSpan w:val="4"/>
            <w:vAlign w:val="center"/>
          </w:tcPr>
          <w:p w14:paraId="0163B328">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包装袋</w:t>
            </w:r>
          </w:p>
        </w:tc>
        <w:tc>
          <w:tcPr>
            <w:tcW w:w="1485" w:type="dxa"/>
            <w:vAlign w:val="center"/>
          </w:tcPr>
          <w:p w14:paraId="1BF452B8">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万只</w:t>
            </w:r>
          </w:p>
        </w:tc>
        <w:tc>
          <w:tcPr>
            <w:tcW w:w="2401" w:type="dxa"/>
            <w:vAlign w:val="center"/>
          </w:tcPr>
          <w:p w14:paraId="7EFD3191">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40</w:t>
            </w:r>
          </w:p>
        </w:tc>
      </w:tr>
      <w:tr w14:paraId="7207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54E6FADE">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4.3</w:t>
            </w:r>
          </w:p>
        </w:tc>
        <w:tc>
          <w:tcPr>
            <w:tcW w:w="3690" w:type="dxa"/>
            <w:gridSpan w:val="4"/>
            <w:vAlign w:val="center"/>
          </w:tcPr>
          <w:p w14:paraId="2BDB22F7">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水</w:t>
            </w:r>
          </w:p>
        </w:tc>
        <w:tc>
          <w:tcPr>
            <w:tcW w:w="1485" w:type="dxa"/>
            <w:vAlign w:val="center"/>
          </w:tcPr>
          <w:p w14:paraId="0E4D291A">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m</w:t>
            </w:r>
            <w:r>
              <w:rPr>
                <w:rFonts w:hint="eastAsia" w:ascii="Times New Roman" w:hAnsi="Times New Roman" w:eastAsia="宋体" w:cs="宋体"/>
                <w:color w:val="auto"/>
                <w:sz w:val="21"/>
                <w:szCs w:val="21"/>
                <w:vertAlign w:val="superscript"/>
                <w:lang w:val="en-US" w:eastAsia="zh-CN"/>
              </w:rPr>
              <w:t>3</w:t>
            </w:r>
          </w:p>
        </w:tc>
        <w:tc>
          <w:tcPr>
            <w:tcW w:w="2401" w:type="dxa"/>
            <w:vAlign w:val="center"/>
          </w:tcPr>
          <w:p w14:paraId="468EB8D5">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85734</w:t>
            </w:r>
          </w:p>
        </w:tc>
      </w:tr>
      <w:tr w14:paraId="6A74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24BC0564">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4.4</w:t>
            </w:r>
          </w:p>
        </w:tc>
        <w:tc>
          <w:tcPr>
            <w:tcW w:w="3690" w:type="dxa"/>
            <w:gridSpan w:val="4"/>
            <w:vAlign w:val="center"/>
          </w:tcPr>
          <w:p w14:paraId="413C9083">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电</w:t>
            </w:r>
          </w:p>
        </w:tc>
        <w:tc>
          <w:tcPr>
            <w:tcW w:w="1485" w:type="dxa"/>
            <w:vAlign w:val="center"/>
          </w:tcPr>
          <w:p w14:paraId="1883D054">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万度</w:t>
            </w:r>
          </w:p>
        </w:tc>
        <w:tc>
          <w:tcPr>
            <w:tcW w:w="2401" w:type="dxa"/>
            <w:vAlign w:val="center"/>
          </w:tcPr>
          <w:p w14:paraId="29F800CB">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251.83</w:t>
            </w:r>
          </w:p>
        </w:tc>
      </w:tr>
      <w:tr w14:paraId="030B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23B89DBE">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4.5</w:t>
            </w:r>
          </w:p>
        </w:tc>
        <w:tc>
          <w:tcPr>
            <w:tcW w:w="3690" w:type="dxa"/>
            <w:gridSpan w:val="4"/>
            <w:vAlign w:val="center"/>
          </w:tcPr>
          <w:p w14:paraId="4F5AB1B9">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天然气</w:t>
            </w:r>
          </w:p>
        </w:tc>
        <w:tc>
          <w:tcPr>
            <w:tcW w:w="1485" w:type="dxa"/>
            <w:vAlign w:val="center"/>
          </w:tcPr>
          <w:p w14:paraId="6178BBFC">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万m</w:t>
            </w:r>
            <w:r>
              <w:rPr>
                <w:rFonts w:hint="eastAsia" w:ascii="Times New Roman" w:hAnsi="Times New Roman" w:eastAsia="宋体" w:cs="宋体"/>
                <w:color w:val="auto"/>
                <w:sz w:val="21"/>
                <w:szCs w:val="21"/>
                <w:vertAlign w:val="superscript"/>
                <w:lang w:val="en-US" w:eastAsia="zh-CN"/>
              </w:rPr>
              <w:t>3</w:t>
            </w:r>
            <w:r>
              <w:rPr>
                <w:rFonts w:hint="eastAsia" w:ascii="Times New Roman" w:hAnsi="Times New Roman" w:eastAsia="宋体" w:cs="宋体"/>
                <w:color w:val="auto"/>
                <w:sz w:val="21"/>
                <w:szCs w:val="21"/>
                <w:vertAlign w:val="baseline"/>
                <w:lang w:val="en-US" w:eastAsia="zh-CN"/>
              </w:rPr>
              <w:t>/年</w:t>
            </w:r>
          </w:p>
        </w:tc>
        <w:tc>
          <w:tcPr>
            <w:tcW w:w="2401" w:type="dxa"/>
            <w:vAlign w:val="center"/>
          </w:tcPr>
          <w:p w14:paraId="07861BA7">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snapToGrid w:val="0"/>
                <w:color w:val="auto"/>
                <w:spacing w:val="0"/>
                <w:sz w:val="21"/>
                <w:szCs w:val="21"/>
                <w:lang w:val="en-US" w:eastAsia="zh-CN"/>
              </w:rPr>
              <w:t>270</w:t>
            </w:r>
          </w:p>
        </w:tc>
      </w:tr>
      <w:tr w14:paraId="020F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48A10CBA">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5</w:t>
            </w:r>
          </w:p>
        </w:tc>
        <w:tc>
          <w:tcPr>
            <w:tcW w:w="3690" w:type="dxa"/>
            <w:gridSpan w:val="4"/>
            <w:vAlign w:val="center"/>
          </w:tcPr>
          <w:p w14:paraId="1B8314B8">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劳动定员</w:t>
            </w:r>
          </w:p>
        </w:tc>
        <w:tc>
          <w:tcPr>
            <w:tcW w:w="1485" w:type="dxa"/>
            <w:vAlign w:val="center"/>
          </w:tcPr>
          <w:p w14:paraId="7D37F82D">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人</w:t>
            </w:r>
          </w:p>
        </w:tc>
        <w:tc>
          <w:tcPr>
            <w:tcW w:w="2401" w:type="dxa"/>
            <w:vAlign w:val="center"/>
          </w:tcPr>
          <w:p w14:paraId="2CC42D61">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20</w:t>
            </w:r>
          </w:p>
        </w:tc>
      </w:tr>
      <w:tr w14:paraId="4982E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03EF0587">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w:t>
            </w:r>
          </w:p>
        </w:tc>
        <w:tc>
          <w:tcPr>
            <w:tcW w:w="3690" w:type="dxa"/>
            <w:gridSpan w:val="4"/>
            <w:vAlign w:val="center"/>
          </w:tcPr>
          <w:p w14:paraId="164BF52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szCs w:val="21"/>
                <w:vertAlign w:val="baseline"/>
                <w:lang w:val="en-US" w:eastAsia="zh-CN"/>
              </w:rPr>
            </w:pPr>
            <w:r>
              <w:rPr>
                <w:rFonts w:hint="default" w:ascii="Times New Roman" w:hAnsi="Times New Roman" w:eastAsia="宋体" w:cs="宋体"/>
                <w:color w:val="auto"/>
                <w:sz w:val="21"/>
                <w:vertAlign w:val="baseline"/>
                <w:lang w:val="en-US" w:eastAsia="zh-CN"/>
              </w:rPr>
              <w:t>规划总用地面积</w:t>
            </w:r>
          </w:p>
        </w:tc>
        <w:tc>
          <w:tcPr>
            <w:tcW w:w="1485" w:type="dxa"/>
            <w:vAlign w:val="center"/>
          </w:tcPr>
          <w:p w14:paraId="40EFBA82">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2401" w:type="dxa"/>
            <w:vAlign w:val="center"/>
          </w:tcPr>
          <w:p w14:paraId="74C1312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26184.86</w:t>
            </w:r>
          </w:p>
        </w:tc>
      </w:tr>
      <w:tr w14:paraId="0897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722162B4">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6.1</w:t>
            </w:r>
          </w:p>
        </w:tc>
        <w:tc>
          <w:tcPr>
            <w:tcW w:w="3690" w:type="dxa"/>
            <w:gridSpan w:val="4"/>
            <w:vAlign w:val="center"/>
          </w:tcPr>
          <w:p w14:paraId="44B0789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default" w:ascii="Times New Roman" w:hAnsi="Times New Roman" w:eastAsia="宋体" w:cs="宋体"/>
                <w:color w:val="auto"/>
                <w:sz w:val="21"/>
                <w:vertAlign w:val="baseline"/>
                <w:lang w:val="en-US" w:eastAsia="zh-CN"/>
              </w:rPr>
              <w:t>总建筑面积</w:t>
            </w:r>
          </w:p>
        </w:tc>
        <w:tc>
          <w:tcPr>
            <w:tcW w:w="1485" w:type="dxa"/>
            <w:vAlign w:val="center"/>
          </w:tcPr>
          <w:p w14:paraId="593F88F2">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2401" w:type="dxa"/>
            <w:vAlign w:val="center"/>
          </w:tcPr>
          <w:p w14:paraId="7369053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13414.05</w:t>
            </w:r>
          </w:p>
        </w:tc>
      </w:tr>
      <w:tr w14:paraId="7A8E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6A5AFCF">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6.2</w:t>
            </w:r>
          </w:p>
        </w:tc>
        <w:tc>
          <w:tcPr>
            <w:tcW w:w="717" w:type="dxa"/>
            <w:vMerge w:val="restart"/>
            <w:vAlign w:val="center"/>
          </w:tcPr>
          <w:p w14:paraId="581DF75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default" w:ascii="Times New Roman" w:hAnsi="Times New Roman" w:eastAsia="宋体" w:cs="宋体"/>
                <w:color w:val="auto"/>
                <w:sz w:val="21"/>
                <w:vertAlign w:val="baseline"/>
                <w:lang w:val="en-US" w:eastAsia="zh-CN"/>
              </w:rPr>
              <w:t>其中</w:t>
            </w:r>
          </w:p>
        </w:tc>
        <w:tc>
          <w:tcPr>
            <w:tcW w:w="2973" w:type="dxa"/>
            <w:gridSpan w:val="3"/>
            <w:vAlign w:val="center"/>
          </w:tcPr>
          <w:p w14:paraId="47C572A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r>
              <w:rPr>
                <w:rFonts w:hint="default" w:ascii="Times New Roman" w:hAnsi="Times New Roman" w:eastAsia="宋体" w:cs="宋体"/>
                <w:color w:val="auto"/>
                <w:sz w:val="21"/>
                <w:vertAlign w:val="baseline"/>
                <w:lang w:val="en-US" w:eastAsia="zh-CN"/>
              </w:rPr>
              <w:t>地上建筑面积</w:t>
            </w:r>
          </w:p>
        </w:tc>
        <w:tc>
          <w:tcPr>
            <w:tcW w:w="1485" w:type="dxa"/>
            <w:vAlign w:val="center"/>
          </w:tcPr>
          <w:p w14:paraId="696A09FD">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2401" w:type="dxa"/>
            <w:vAlign w:val="center"/>
          </w:tcPr>
          <w:p w14:paraId="3E1B28E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12814.05</w:t>
            </w:r>
          </w:p>
        </w:tc>
      </w:tr>
      <w:tr w14:paraId="7A2A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441746CD">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6.3</w:t>
            </w:r>
          </w:p>
        </w:tc>
        <w:tc>
          <w:tcPr>
            <w:tcW w:w="717" w:type="dxa"/>
            <w:vMerge w:val="continue"/>
            <w:vAlign w:val="center"/>
          </w:tcPr>
          <w:p w14:paraId="7ED6F6A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p>
        </w:tc>
        <w:tc>
          <w:tcPr>
            <w:tcW w:w="753" w:type="dxa"/>
            <w:vAlign w:val="center"/>
          </w:tcPr>
          <w:p w14:paraId="4168203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r>
              <w:rPr>
                <w:rFonts w:hint="default" w:ascii="Times New Roman" w:hAnsi="Times New Roman" w:eastAsia="宋体" w:cs="宋体"/>
                <w:color w:val="auto"/>
                <w:sz w:val="21"/>
                <w:vertAlign w:val="baseline"/>
                <w:lang w:val="en-US" w:eastAsia="zh-CN"/>
              </w:rPr>
              <w:t>已建</w:t>
            </w:r>
          </w:p>
        </w:tc>
        <w:tc>
          <w:tcPr>
            <w:tcW w:w="2220" w:type="dxa"/>
            <w:gridSpan w:val="2"/>
            <w:vAlign w:val="center"/>
          </w:tcPr>
          <w:p w14:paraId="49A34E1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r>
              <w:rPr>
                <w:rFonts w:hint="default" w:ascii="Times New Roman" w:hAnsi="Times New Roman" w:eastAsia="宋体" w:cs="宋体"/>
                <w:color w:val="auto"/>
                <w:sz w:val="21"/>
                <w:vertAlign w:val="baseline"/>
                <w:lang w:val="en-US" w:eastAsia="zh-CN"/>
              </w:rPr>
              <w:t>建筑面积</w:t>
            </w:r>
          </w:p>
        </w:tc>
        <w:tc>
          <w:tcPr>
            <w:tcW w:w="1485" w:type="dxa"/>
            <w:vAlign w:val="center"/>
          </w:tcPr>
          <w:p w14:paraId="125AAAD7">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2401" w:type="dxa"/>
            <w:vAlign w:val="center"/>
          </w:tcPr>
          <w:p w14:paraId="6E0A64E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2932.8</w:t>
            </w:r>
          </w:p>
        </w:tc>
      </w:tr>
      <w:tr w14:paraId="18A4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083E655E">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6.4</w:t>
            </w:r>
          </w:p>
        </w:tc>
        <w:tc>
          <w:tcPr>
            <w:tcW w:w="717" w:type="dxa"/>
            <w:vMerge w:val="continue"/>
            <w:vAlign w:val="center"/>
          </w:tcPr>
          <w:p w14:paraId="697F523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p>
        </w:tc>
        <w:tc>
          <w:tcPr>
            <w:tcW w:w="753" w:type="dxa"/>
            <w:vMerge w:val="restart"/>
            <w:vAlign w:val="center"/>
          </w:tcPr>
          <w:p w14:paraId="353551C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r>
              <w:rPr>
                <w:rFonts w:hint="default" w:ascii="Times New Roman" w:hAnsi="Times New Roman" w:eastAsia="宋体" w:cs="宋体"/>
                <w:color w:val="auto"/>
                <w:sz w:val="21"/>
                <w:vertAlign w:val="baseline"/>
                <w:lang w:val="en-US" w:eastAsia="zh-CN"/>
              </w:rPr>
              <w:t>新建</w:t>
            </w:r>
          </w:p>
        </w:tc>
        <w:tc>
          <w:tcPr>
            <w:tcW w:w="2220" w:type="dxa"/>
            <w:gridSpan w:val="2"/>
            <w:vAlign w:val="center"/>
          </w:tcPr>
          <w:p w14:paraId="7CF1429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r>
              <w:rPr>
                <w:rFonts w:hint="default" w:ascii="Times New Roman" w:hAnsi="Times New Roman" w:eastAsia="宋体" w:cs="宋体"/>
                <w:color w:val="auto"/>
                <w:sz w:val="21"/>
                <w:vertAlign w:val="baseline"/>
                <w:lang w:val="en-US" w:eastAsia="zh-CN"/>
              </w:rPr>
              <w:t>车间</w:t>
            </w:r>
          </w:p>
        </w:tc>
        <w:tc>
          <w:tcPr>
            <w:tcW w:w="1485" w:type="dxa"/>
            <w:vAlign w:val="center"/>
          </w:tcPr>
          <w:p w14:paraId="16FBFF4D">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2401" w:type="dxa"/>
            <w:vAlign w:val="center"/>
          </w:tcPr>
          <w:p w14:paraId="3B6EC16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1674.25</w:t>
            </w:r>
          </w:p>
        </w:tc>
      </w:tr>
      <w:tr w14:paraId="7304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6E19405">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6.5</w:t>
            </w:r>
          </w:p>
        </w:tc>
        <w:tc>
          <w:tcPr>
            <w:tcW w:w="717" w:type="dxa"/>
            <w:vMerge w:val="continue"/>
            <w:vAlign w:val="center"/>
          </w:tcPr>
          <w:p w14:paraId="2AE144A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p>
        </w:tc>
        <w:tc>
          <w:tcPr>
            <w:tcW w:w="753" w:type="dxa"/>
            <w:vMerge w:val="continue"/>
            <w:vAlign w:val="center"/>
          </w:tcPr>
          <w:p w14:paraId="2E146F8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p>
        </w:tc>
        <w:tc>
          <w:tcPr>
            <w:tcW w:w="2220" w:type="dxa"/>
            <w:gridSpan w:val="2"/>
            <w:vAlign w:val="center"/>
          </w:tcPr>
          <w:p w14:paraId="237F2DF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r>
              <w:rPr>
                <w:rFonts w:hint="default" w:ascii="Times New Roman" w:hAnsi="Times New Roman" w:eastAsia="宋体" w:cs="宋体"/>
                <w:color w:val="auto"/>
                <w:sz w:val="21"/>
                <w:vertAlign w:val="baseline"/>
                <w:lang w:val="en-US" w:eastAsia="zh-CN"/>
              </w:rPr>
              <w:t>锅炉房</w:t>
            </w:r>
          </w:p>
        </w:tc>
        <w:tc>
          <w:tcPr>
            <w:tcW w:w="1485" w:type="dxa"/>
            <w:vAlign w:val="center"/>
          </w:tcPr>
          <w:p w14:paraId="632A6A99">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2401" w:type="dxa"/>
            <w:vAlign w:val="center"/>
          </w:tcPr>
          <w:p w14:paraId="462EE82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192</w:t>
            </w:r>
          </w:p>
        </w:tc>
      </w:tr>
      <w:tr w14:paraId="563C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4C0E62C5">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6.6</w:t>
            </w:r>
          </w:p>
        </w:tc>
        <w:tc>
          <w:tcPr>
            <w:tcW w:w="717" w:type="dxa"/>
            <w:vMerge w:val="continue"/>
            <w:vAlign w:val="center"/>
          </w:tcPr>
          <w:p w14:paraId="67DA6EC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p>
        </w:tc>
        <w:tc>
          <w:tcPr>
            <w:tcW w:w="753" w:type="dxa"/>
            <w:vMerge w:val="continue"/>
            <w:vAlign w:val="center"/>
          </w:tcPr>
          <w:p w14:paraId="0AEA30F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p>
        </w:tc>
        <w:tc>
          <w:tcPr>
            <w:tcW w:w="2220" w:type="dxa"/>
            <w:gridSpan w:val="2"/>
            <w:vAlign w:val="center"/>
          </w:tcPr>
          <w:p w14:paraId="42AAACE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r>
              <w:rPr>
                <w:rFonts w:hint="default" w:ascii="Times New Roman" w:hAnsi="Times New Roman" w:eastAsia="宋体" w:cs="宋体"/>
                <w:color w:val="auto"/>
                <w:sz w:val="21"/>
                <w:vertAlign w:val="baseline"/>
                <w:lang w:val="en-US" w:eastAsia="zh-CN"/>
              </w:rPr>
              <w:t>办公室</w:t>
            </w:r>
          </w:p>
        </w:tc>
        <w:tc>
          <w:tcPr>
            <w:tcW w:w="1485" w:type="dxa"/>
            <w:vAlign w:val="center"/>
          </w:tcPr>
          <w:p w14:paraId="7E12703D">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2401" w:type="dxa"/>
            <w:vAlign w:val="center"/>
          </w:tcPr>
          <w:p w14:paraId="5DF2C6E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375</w:t>
            </w:r>
          </w:p>
        </w:tc>
      </w:tr>
      <w:tr w14:paraId="7DF6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535F8A43">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6.7</w:t>
            </w:r>
          </w:p>
        </w:tc>
        <w:tc>
          <w:tcPr>
            <w:tcW w:w="717" w:type="dxa"/>
            <w:vMerge w:val="continue"/>
            <w:vAlign w:val="center"/>
          </w:tcPr>
          <w:p w14:paraId="04F6050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53" w:type="dxa"/>
            <w:vMerge w:val="continue"/>
            <w:vAlign w:val="center"/>
          </w:tcPr>
          <w:p w14:paraId="39D942E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p>
        </w:tc>
        <w:tc>
          <w:tcPr>
            <w:tcW w:w="2220" w:type="dxa"/>
            <w:gridSpan w:val="2"/>
            <w:vAlign w:val="center"/>
          </w:tcPr>
          <w:p w14:paraId="0A7BC37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r>
              <w:rPr>
                <w:rFonts w:hint="default" w:ascii="Times New Roman" w:hAnsi="Times New Roman" w:eastAsia="宋体" w:cs="宋体"/>
                <w:color w:val="auto"/>
                <w:sz w:val="21"/>
                <w:vertAlign w:val="baseline"/>
                <w:lang w:val="en-US" w:eastAsia="zh-CN"/>
              </w:rPr>
              <w:t>消控室</w:t>
            </w:r>
          </w:p>
        </w:tc>
        <w:tc>
          <w:tcPr>
            <w:tcW w:w="1485" w:type="dxa"/>
            <w:vAlign w:val="center"/>
          </w:tcPr>
          <w:p w14:paraId="544A6A73">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2401" w:type="dxa"/>
            <w:vAlign w:val="center"/>
          </w:tcPr>
          <w:p w14:paraId="5A871C5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54.5</w:t>
            </w:r>
          </w:p>
        </w:tc>
      </w:tr>
      <w:tr w14:paraId="43B1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6B84720B">
            <w:pPr>
              <w:pStyle w:val="2"/>
              <w:jc w:val="center"/>
              <w:rPr>
                <w:rFonts w:hint="eastAsia" w:ascii="Times New Roman" w:hAnsi="Times New Roman" w:eastAsia="宋体" w:cs="宋体"/>
                <w:color w:val="auto"/>
                <w:sz w:val="21"/>
                <w:szCs w:val="21"/>
                <w:vertAlign w:val="baseline"/>
                <w:lang w:val="en-US" w:eastAsia="zh-CN"/>
              </w:rPr>
            </w:pPr>
          </w:p>
        </w:tc>
        <w:tc>
          <w:tcPr>
            <w:tcW w:w="717" w:type="dxa"/>
            <w:vMerge w:val="continue"/>
            <w:vAlign w:val="center"/>
          </w:tcPr>
          <w:p w14:paraId="02355F7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53" w:type="dxa"/>
            <w:vMerge w:val="continue"/>
            <w:vAlign w:val="center"/>
          </w:tcPr>
          <w:p w14:paraId="6CB1031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p>
        </w:tc>
        <w:tc>
          <w:tcPr>
            <w:tcW w:w="2220" w:type="dxa"/>
            <w:gridSpan w:val="2"/>
            <w:shd w:val="clear" w:color="auto" w:fill="auto"/>
            <w:vAlign w:val="center"/>
          </w:tcPr>
          <w:p w14:paraId="62DD415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1"/>
                <w:vertAlign w:val="baseline"/>
                <w:lang w:val="en-US" w:eastAsia="zh-CN" w:bidi="ar-SA"/>
              </w:rPr>
            </w:pPr>
            <w:r>
              <w:rPr>
                <w:rFonts w:hint="eastAsia" w:ascii="Times New Roman" w:hAnsi="Times New Roman" w:eastAsia="宋体" w:cs="宋体"/>
                <w:color w:val="auto"/>
                <w:sz w:val="21"/>
                <w:vertAlign w:val="baseline"/>
                <w:lang w:val="en-US" w:eastAsia="zh-CN"/>
              </w:rPr>
              <w:t>配电室</w:t>
            </w:r>
          </w:p>
        </w:tc>
        <w:tc>
          <w:tcPr>
            <w:tcW w:w="1485" w:type="dxa"/>
            <w:shd w:val="clear" w:color="auto" w:fill="auto"/>
            <w:vAlign w:val="center"/>
          </w:tcPr>
          <w:p w14:paraId="42F4FD3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snapToGrid w:val="0"/>
                <w:color w:val="auto"/>
                <w:kern w:val="0"/>
                <w:sz w:val="21"/>
                <w:szCs w:val="21"/>
                <w:vertAlign w:val="baseline"/>
                <w:lang w:val="en-US" w:eastAsia="zh-CN" w:bidi="ar-SA"/>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2401" w:type="dxa"/>
            <w:shd w:val="clear" w:color="auto" w:fill="auto"/>
            <w:vAlign w:val="center"/>
          </w:tcPr>
          <w:p w14:paraId="2FCAA19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snapToGrid w:val="0"/>
                <w:color w:val="auto"/>
                <w:kern w:val="0"/>
                <w:sz w:val="21"/>
                <w:szCs w:val="21"/>
                <w:vertAlign w:val="baseline"/>
                <w:lang w:val="en-US" w:eastAsia="zh-CN" w:bidi="ar-SA"/>
              </w:rPr>
            </w:pPr>
            <w:r>
              <w:rPr>
                <w:rFonts w:hint="eastAsia" w:ascii="Times New Roman" w:hAnsi="Times New Roman" w:eastAsia="宋体" w:cs="宋体"/>
                <w:color w:val="auto"/>
                <w:sz w:val="21"/>
                <w:vertAlign w:val="baseline"/>
                <w:lang w:val="en-US" w:eastAsia="zh-CN"/>
              </w:rPr>
              <w:t>96</w:t>
            </w:r>
          </w:p>
        </w:tc>
      </w:tr>
      <w:tr w14:paraId="4D34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5DF28C0F">
            <w:pPr>
              <w:pStyle w:val="2"/>
              <w:jc w:val="center"/>
              <w:rPr>
                <w:rFonts w:hint="eastAsia" w:ascii="Times New Roman" w:hAnsi="Times New Roman" w:eastAsia="宋体" w:cs="宋体"/>
                <w:color w:val="auto"/>
                <w:sz w:val="21"/>
                <w:szCs w:val="21"/>
                <w:vertAlign w:val="baseline"/>
                <w:lang w:val="en-US" w:eastAsia="zh-CN"/>
              </w:rPr>
            </w:pPr>
          </w:p>
        </w:tc>
        <w:tc>
          <w:tcPr>
            <w:tcW w:w="717" w:type="dxa"/>
            <w:vMerge w:val="continue"/>
            <w:vAlign w:val="center"/>
          </w:tcPr>
          <w:p w14:paraId="6852B6C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53" w:type="dxa"/>
            <w:vMerge w:val="continue"/>
            <w:vAlign w:val="center"/>
          </w:tcPr>
          <w:p w14:paraId="17A34CD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p>
        </w:tc>
        <w:tc>
          <w:tcPr>
            <w:tcW w:w="2220" w:type="dxa"/>
            <w:gridSpan w:val="2"/>
            <w:shd w:val="clear" w:color="auto" w:fill="auto"/>
            <w:vAlign w:val="center"/>
          </w:tcPr>
          <w:p w14:paraId="523C510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1"/>
                <w:vertAlign w:val="baseline"/>
                <w:lang w:val="en-US" w:eastAsia="zh-CN" w:bidi="ar-SA"/>
              </w:rPr>
            </w:pPr>
            <w:r>
              <w:rPr>
                <w:rFonts w:hint="eastAsia" w:ascii="Times New Roman" w:hAnsi="Times New Roman" w:eastAsia="宋体" w:cs="宋体"/>
                <w:color w:val="auto"/>
                <w:sz w:val="21"/>
                <w:vertAlign w:val="baseline"/>
                <w:lang w:val="en-US" w:eastAsia="zh-CN"/>
              </w:rPr>
              <w:t>登记室</w:t>
            </w:r>
          </w:p>
        </w:tc>
        <w:tc>
          <w:tcPr>
            <w:tcW w:w="1485" w:type="dxa"/>
            <w:shd w:val="clear" w:color="auto" w:fill="auto"/>
            <w:vAlign w:val="center"/>
          </w:tcPr>
          <w:p w14:paraId="1AB6547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snapToGrid w:val="0"/>
                <w:color w:val="auto"/>
                <w:kern w:val="0"/>
                <w:sz w:val="21"/>
                <w:szCs w:val="21"/>
                <w:vertAlign w:val="baseline"/>
                <w:lang w:val="en-US" w:eastAsia="zh-CN" w:bidi="ar-SA"/>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2401" w:type="dxa"/>
            <w:shd w:val="clear" w:color="auto" w:fill="auto"/>
            <w:vAlign w:val="center"/>
          </w:tcPr>
          <w:p w14:paraId="1492F13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snapToGrid w:val="0"/>
                <w:color w:val="auto"/>
                <w:kern w:val="0"/>
                <w:sz w:val="21"/>
                <w:szCs w:val="21"/>
                <w:vertAlign w:val="baseline"/>
                <w:lang w:val="en-US" w:eastAsia="zh-CN" w:bidi="ar-SA"/>
              </w:rPr>
            </w:pPr>
            <w:r>
              <w:rPr>
                <w:rFonts w:hint="eastAsia" w:ascii="Times New Roman" w:hAnsi="Times New Roman" w:eastAsia="宋体" w:cs="宋体"/>
                <w:color w:val="auto"/>
                <w:sz w:val="21"/>
                <w:vertAlign w:val="baseline"/>
                <w:lang w:val="en-US" w:eastAsia="zh-CN"/>
              </w:rPr>
              <w:t>150</w:t>
            </w:r>
          </w:p>
        </w:tc>
      </w:tr>
      <w:tr w14:paraId="6C7A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553477A0">
            <w:pPr>
              <w:pStyle w:val="2"/>
              <w:jc w:val="center"/>
              <w:rPr>
                <w:rFonts w:hint="eastAsia" w:ascii="Times New Roman" w:hAnsi="Times New Roman" w:eastAsia="宋体" w:cs="宋体"/>
                <w:color w:val="auto"/>
                <w:sz w:val="21"/>
                <w:szCs w:val="21"/>
                <w:vertAlign w:val="baseline"/>
                <w:lang w:val="en-US" w:eastAsia="zh-CN"/>
              </w:rPr>
            </w:pPr>
          </w:p>
        </w:tc>
        <w:tc>
          <w:tcPr>
            <w:tcW w:w="717" w:type="dxa"/>
            <w:vMerge w:val="continue"/>
            <w:vAlign w:val="center"/>
          </w:tcPr>
          <w:p w14:paraId="55C4E6D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53" w:type="dxa"/>
            <w:vMerge w:val="continue"/>
            <w:vAlign w:val="center"/>
          </w:tcPr>
          <w:p w14:paraId="627CF1E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p>
        </w:tc>
        <w:tc>
          <w:tcPr>
            <w:tcW w:w="2220" w:type="dxa"/>
            <w:gridSpan w:val="2"/>
            <w:shd w:val="clear" w:color="auto" w:fill="auto"/>
            <w:vAlign w:val="center"/>
          </w:tcPr>
          <w:p w14:paraId="1464A5C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1"/>
                <w:vertAlign w:val="baseline"/>
                <w:lang w:val="en-US" w:eastAsia="zh-CN" w:bidi="ar-SA"/>
              </w:rPr>
            </w:pPr>
            <w:r>
              <w:rPr>
                <w:rFonts w:hint="eastAsia" w:ascii="Times New Roman" w:hAnsi="Times New Roman" w:eastAsia="宋体" w:cs="宋体"/>
                <w:color w:val="auto"/>
                <w:sz w:val="21"/>
                <w:vertAlign w:val="baseline"/>
                <w:lang w:val="en-US" w:eastAsia="zh-CN"/>
              </w:rPr>
              <w:t>土豆池</w:t>
            </w:r>
          </w:p>
        </w:tc>
        <w:tc>
          <w:tcPr>
            <w:tcW w:w="1485" w:type="dxa"/>
            <w:shd w:val="clear" w:color="auto" w:fill="auto"/>
            <w:vAlign w:val="center"/>
          </w:tcPr>
          <w:p w14:paraId="25A5270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snapToGrid w:val="0"/>
                <w:color w:val="auto"/>
                <w:kern w:val="0"/>
                <w:sz w:val="21"/>
                <w:szCs w:val="21"/>
                <w:vertAlign w:val="baseline"/>
                <w:lang w:val="en-US" w:eastAsia="zh-CN" w:bidi="ar-SA"/>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2401" w:type="dxa"/>
            <w:shd w:val="clear" w:color="auto" w:fill="auto"/>
            <w:vAlign w:val="center"/>
          </w:tcPr>
          <w:p w14:paraId="5E5BB94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snapToGrid w:val="0"/>
                <w:color w:val="auto"/>
                <w:kern w:val="0"/>
                <w:sz w:val="21"/>
                <w:szCs w:val="21"/>
                <w:vertAlign w:val="baseline"/>
                <w:lang w:val="en-US" w:eastAsia="zh-CN" w:bidi="ar-SA"/>
              </w:rPr>
            </w:pPr>
            <w:r>
              <w:rPr>
                <w:rFonts w:hint="eastAsia" w:ascii="Times New Roman" w:hAnsi="Times New Roman" w:eastAsia="宋体" w:cs="宋体"/>
                <w:color w:val="auto"/>
                <w:sz w:val="21"/>
                <w:vertAlign w:val="baseline"/>
                <w:lang w:val="en-US" w:eastAsia="zh-CN"/>
              </w:rPr>
              <w:t>2080</w:t>
            </w:r>
          </w:p>
        </w:tc>
      </w:tr>
      <w:tr w14:paraId="397A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74729DC6">
            <w:pPr>
              <w:pStyle w:val="2"/>
              <w:jc w:val="center"/>
              <w:rPr>
                <w:rFonts w:hint="eastAsia" w:ascii="Times New Roman" w:hAnsi="Times New Roman" w:eastAsia="宋体" w:cs="宋体"/>
                <w:color w:val="auto"/>
                <w:sz w:val="21"/>
                <w:szCs w:val="21"/>
                <w:vertAlign w:val="baseline"/>
                <w:lang w:val="en-US" w:eastAsia="zh-CN"/>
              </w:rPr>
            </w:pPr>
          </w:p>
        </w:tc>
        <w:tc>
          <w:tcPr>
            <w:tcW w:w="717" w:type="dxa"/>
            <w:vMerge w:val="continue"/>
            <w:vAlign w:val="center"/>
          </w:tcPr>
          <w:p w14:paraId="4145B0C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53" w:type="dxa"/>
            <w:vMerge w:val="continue"/>
            <w:vAlign w:val="center"/>
          </w:tcPr>
          <w:p w14:paraId="12D0A5C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p>
        </w:tc>
        <w:tc>
          <w:tcPr>
            <w:tcW w:w="2220" w:type="dxa"/>
            <w:gridSpan w:val="2"/>
            <w:shd w:val="clear" w:color="auto" w:fill="auto"/>
            <w:vAlign w:val="center"/>
          </w:tcPr>
          <w:p w14:paraId="2C30136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1"/>
                <w:vertAlign w:val="baseline"/>
                <w:lang w:val="en-US" w:eastAsia="zh-CN" w:bidi="ar-SA"/>
              </w:rPr>
            </w:pPr>
            <w:r>
              <w:rPr>
                <w:rFonts w:hint="eastAsia" w:ascii="Times New Roman" w:hAnsi="Times New Roman" w:eastAsia="宋体" w:cs="宋体"/>
                <w:color w:val="auto"/>
                <w:sz w:val="21"/>
                <w:vertAlign w:val="baseline"/>
                <w:lang w:val="en-US" w:eastAsia="zh-CN"/>
              </w:rPr>
              <w:t>废水处理系统</w:t>
            </w:r>
          </w:p>
        </w:tc>
        <w:tc>
          <w:tcPr>
            <w:tcW w:w="1485" w:type="dxa"/>
            <w:shd w:val="clear" w:color="auto" w:fill="auto"/>
            <w:vAlign w:val="center"/>
          </w:tcPr>
          <w:p w14:paraId="2A9694C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snapToGrid w:val="0"/>
                <w:color w:val="auto"/>
                <w:kern w:val="0"/>
                <w:sz w:val="21"/>
                <w:szCs w:val="21"/>
                <w:vertAlign w:val="baseline"/>
                <w:lang w:val="en-US" w:eastAsia="zh-CN" w:bidi="ar-SA"/>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2401" w:type="dxa"/>
            <w:shd w:val="clear" w:color="auto" w:fill="auto"/>
            <w:vAlign w:val="center"/>
          </w:tcPr>
          <w:p w14:paraId="4067AE6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snapToGrid w:val="0"/>
                <w:color w:val="auto"/>
                <w:kern w:val="0"/>
                <w:sz w:val="21"/>
                <w:szCs w:val="21"/>
                <w:vertAlign w:val="baseline"/>
                <w:lang w:val="en-US" w:eastAsia="zh-CN" w:bidi="ar-SA"/>
              </w:rPr>
            </w:pPr>
            <w:r>
              <w:rPr>
                <w:rFonts w:hint="eastAsia" w:ascii="Times New Roman" w:hAnsi="Times New Roman" w:eastAsia="宋体" w:cs="宋体"/>
                <w:color w:val="auto"/>
                <w:sz w:val="21"/>
                <w:vertAlign w:val="baseline"/>
                <w:lang w:val="en-US" w:eastAsia="zh-CN"/>
              </w:rPr>
              <w:t>2489.5</w:t>
            </w:r>
          </w:p>
        </w:tc>
      </w:tr>
      <w:tr w14:paraId="3207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57D6933F">
            <w:pPr>
              <w:pStyle w:val="2"/>
              <w:jc w:val="center"/>
              <w:rPr>
                <w:rFonts w:hint="eastAsia" w:ascii="Times New Roman" w:hAnsi="Times New Roman" w:eastAsia="宋体" w:cs="宋体"/>
                <w:color w:val="auto"/>
                <w:sz w:val="21"/>
                <w:szCs w:val="21"/>
                <w:vertAlign w:val="baseline"/>
                <w:lang w:val="en-US" w:eastAsia="zh-CN"/>
              </w:rPr>
            </w:pPr>
          </w:p>
        </w:tc>
        <w:tc>
          <w:tcPr>
            <w:tcW w:w="717" w:type="dxa"/>
            <w:vMerge w:val="continue"/>
            <w:vAlign w:val="center"/>
          </w:tcPr>
          <w:p w14:paraId="14BD0AA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53" w:type="dxa"/>
            <w:vMerge w:val="continue"/>
            <w:vAlign w:val="center"/>
          </w:tcPr>
          <w:p w14:paraId="0CCEF4C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p>
        </w:tc>
        <w:tc>
          <w:tcPr>
            <w:tcW w:w="2220" w:type="dxa"/>
            <w:gridSpan w:val="2"/>
            <w:shd w:val="clear" w:color="auto" w:fill="auto"/>
            <w:vAlign w:val="center"/>
          </w:tcPr>
          <w:p w14:paraId="5DAE448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1"/>
                <w:vertAlign w:val="baseline"/>
                <w:lang w:val="en-US" w:eastAsia="zh-CN" w:bidi="ar-SA"/>
              </w:rPr>
            </w:pPr>
            <w:r>
              <w:rPr>
                <w:rFonts w:hint="eastAsia" w:ascii="Times New Roman" w:hAnsi="Times New Roman" w:eastAsia="宋体" w:cs="宋体"/>
                <w:color w:val="auto"/>
                <w:sz w:val="21"/>
                <w:vertAlign w:val="baseline"/>
                <w:lang w:val="en-US" w:eastAsia="zh-CN"/>
              </w:rPr>
              <w:t>装卸场地</w:t>
            </w:r>
          </w:p>
        </w:tc>
        <w:tc>
          <w:tcPr>
            <w:tcW w:w="1485" w:type="dxa"/>
            <w:shd w:val="clear" w:color="auto" w:fill="auto"/>
            <w:vAlign w:val="center"/>
          </w:tcPr>
          <w:p w14:paraId="043DB67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snapToGrid w:val="0"/>
                <w:color w:val="auto"/>
                <w:kern w:val="0"/>
                <w:sz w:val="21"/>
                <w:szCs w:val="21"/>
                <w:vertAlign w:val="baseline"/>
                <w:lang w:val="en-US" w:eastAsia="zh-CN" w:bidi="ar-SA"/>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2401" w:type="dxa"/>
            <w:shd w:val="clear" w:color="auto" w:fill="auto"/>
            <w:vAlign w:val="center"/>
          </w:tcPr>
          <w:p w14:paraId="5E7137B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snapToGrid w:val="0"/>
                <w:color w:val="auto"/>
                <w:kern w:val="0"/>
                <w:sz w:val="21"/>
                <w:szCs w:val="21"/>
                <w:vertAlign w:val="baseline"/>
                <w:lang w:val="en-US" w:eastAsia="zh-CN" w:bidi="ar-SA"/>
              </w:rPr>
            </w:pPr>
            <w:r>
              <w:rPr>
                <w:rFonts w:hint="eastAsia" w:ascii="Times New Roman" w:hAnsi="Times New Roman" w:eastAsia="宋体" w:cs="宋体"/>
                <w:color w:val="auto"/>
                <w:sz w:val="21"/>
                <w:vertAlign w:val="baseline"/>
                <w:lang w:val="en-US" w:eastAsia="zh-CN"/>
              </w:rPr>
              <w:t>2770</w:t>
            </w:r>
          </w:p>
        </w:tc>
      </w:tr>
      <w:tr w14:paraId="24B4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4317EAB8">
            <w:pPr>
              <w:pStyle w:val="2"/>
              <w:jc w:val="center"/>
              <w:rPr>
                <w:rFonts w:hint="eastAsia" w:ascii="Times New Roman" w:hAnsi="Times New Roman" w:eastAsia="宋体" w:cs="宋体"/>
                <w:color w:val="auto"/>
                <w:sz w:val="21"/>
                <w:szCs w:val="21"/>
                <w:vertAlign w:val="baseline"/>
                <w:lang w:val="en-US" w:eastAsia="zh-CN"/>
              </w:rPr>
            </w:pPr>
          </w:p>
        </w:tc>
        <w:tc>
          <w:tcPr>
            <w:tcW w:w="717" w:type="dxa"/>
            <w:vMerge w:val="continue"/>
            <w:vAlign w:val="center"/>
          </w:tcPr>
          <w:p w14:paraId="759045F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2973" w:type="dxa"/>
            <w:gridSpan w:val="3"/>
            <w:vAlign w:val="center"/>
          </w:tcPr>
          <w:p w14:paraId="2B7F0C1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地下建筑面积</w:t>
            </w:r>
          </w:p>
        </w:tc>
        <w:tc>
          <w:tcPr>
            <w:tcW w:w="1485" w:type="dxa"/>
            <w:vAlign w:val="center"/>
          </w:tcPr>
          <w:p w14:paraId="2DE544ED">
            <w:pPr>
              <w:pStyle w:val="2"/>
              <w:jc w:val="center"/>
              <w:rPr>
                <w:rFonts w:hint="eastAsia"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2401" w:type="dxa"/>
            <w:vAlign w:val="center"/>
          </w:tcPr>
          <w:p w14:paraId="0DF475E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600</w:t>
            </w:r>
          </w:p>
        </w:tc>
      </w:tr>
      <w:tr w14:paraId="449C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5196A944">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6.8</w:t>
            </w:r>
          </w:p>
        </w:tc>
        <w:tc>
          <w:tcPr>
            <w:tcW w:w="717" w:type="dxa"/>
            <w:vMerge w:val="continue"/>
            <w:vAlign w:val="center"/>
          </w:tcPr>
          <w:p w14:paraId="6B6DCC5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777" w:type="dxa"/>
            <w:gridSpan w:val="2"/>
            <w:vAlign w:val="center"/>
          </w:tcPr>
          <w:p w14:paraId="47E6A47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其中</w:t>
            </w:r>
          </w:p>
        </w:tc>
        <w:tc>
          <w:tcPr>
            <w:tcW w:w="2196" w:type="dxa"/>
            <w:vAlign w:val="center"/>
          </w:tcPr>
          <w:p w14:paraId="346DD45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消防水池及泵房</w:t>
            </w:r>
          </w:p>
        </w:tc>
        <w:tc>
          <w:tcPr>
            <w:tcW w:w="1485" w:type="dxa"/>
            <w:vAlign w:val="center"/>
          </w:tcPr>
          <w:p w14:paraId="76DA4A4F">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2401" w:type="dxa"/>
            <w:vAlign w:val="center"/>
          </w:tcPr>
          <w:p w14:paraId="7B9CE9F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600</w:t>
            </w:r>
          </w:p>
        </w:tc>
      </w:tr>
      <w:tr w14:paraId="0793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07A41F6C">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6.9</w:t>
            </w:r>
          </w:p>
        </w:tc>
        <w:tc>
          <w:tcPr>
            <w:tcW w:w="3690" w:type="dxa"/>
            <w:gridSpan w:val="4"/>
            <w:vAlign w:val="center"/>
          </w:tcPr>
          <w:p w14:paraId="72ABEA6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建筑基底面积</w:t>
            </w:r>
          </w:p>
        </w:tc>
        <w:tc>
          <w:tcPr>
            <w:tcW w:w="1485" w:type="dxa"/>
            <w:vAlign w:val="center"/>
          </w:tcPr>
          <w:p w14:paraId="03CB34DA">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m</w:t>
            </w:r>
            <w:r>
              <w:rPr>
                <w:rFonts w:hint="eastAsia" w:ascii="Times New Roman" w:hAnsi="Times New Roman" w:eastAsia="宋体" w:cs="宋体"/>
                <w:color w:val="auto"/>
                <w:sz w:val="21"/>
                <w:vertAlign w:val="superscript"/>
                <w:lang w:val="en-US" w:eastAsia="zh-CN"/>
              </w:rPr>
              <w:t>2</w:t>
            </w:r>
          </w:p>
        </w:tc>
        <w:tc>
          <w:tcPr>
            <w:tcW w:w="2401" w:type="dxa"/>
            <w:vAlign w:val="center"/>
          </w:tcPr>
          <w:p w14:paraId="08F4440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12349.05</w:t>
            </w:r>
          </w:p>
        </w:tc>
      </w:tr>
      <w:tr w14:paraId="7315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6335A9BB">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6.10</w:t>
            </w:r>
          </w:p>
        </w:tc>
        <w:tc>
          <w:tcPr>
            <w:tcW w:w="3690" w:type="dxa"/>
            <w:gridSpan w:val="4"/>
            <w:vAlign w:val="center"/>
          </w:tcPr>
          <w:p w14:paraId="7CBC9AD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容积率</w:t>
            </w:r>
          </w:p>
        </w:tc>
        <w:tc>
          <w:tcPr>
            <w:tcW w:w="1485" w:type="dxa"/>
            <w:vAlign w:val="center"/>
          </w:tcPr>
          <w:p w14:paraId="71F36B7A">
            <w:pPr>
              <w:pStyle w:val="2"/>
              <w:jc w:val="center"/>
              <w:rPr>
                <w:rFonts w:hint="eastAsia" w:ascii="Times New Roman" w:hAnsi="Times New Roman" w:eastAsia="宋体" w:cs="宋体"/>
                <w:color w:val="auto"/>
                <w:sz w:val="21"/>
                <w:szCs w:val="21"/>
                <w:vertAlign w:val="baseline"/>
                <w:lang w:val="en-US" w:eastAsia="zh-CN"/>
              </w:rPr>
            </w:pPr>
          </w:p>
        </w:tc>
        <w:tc>
          <w:tcPr>
            <w:tcW w:w="2401" w:type="dxa"/>
            <w:vAlign w:val="center"/>
          </w:tcPr>
          <w:p w14:paraId="796E219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0.64</w:t>
            </w:r>
          </w:p>
        </w:tc>
      </w:tr>
      <w:tr w14:paraId="2E0C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69377D17">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6.11</w:t>
            </w:r>
          </w:p>
        </w:tc>
        <w:tc>
          <w:tcPr>
            <w:tcW w:w="3690" w:type="dxa"/>
            <w:gridSpan w:val="4"/>
            <w:vAlign w:val="center"/>
          </w:tcPr>
          <w:p w14:paraId="68E36A4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建筑密度</w:t>
            </w:r>
          </w:p>
        </w:tc>
        <w:tc>
          <w:tcPr>
            <w:tcW w:w="1485" w:type="dxa"/>
            <w:vAlign w:val="center"/>
          </w:tcPr>
          <w:p w14:paraId="31E0DCA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w:t>
            </w:r>
          </w:p>
        </w:tc>
        <w:tc>
          <w:tcPr>
            <w:tcW w:w="2401" w:type="dxa"/>
            <w:vAlign w:val="center"/>
          </w:tcPr>
          <w:p w14:paraId="6397700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47.16</w:t>
            </w:r>
          </w:p>
        </w:tc>
      </w:tr>
      <w:tr w14:paraId="643A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07370AD0">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6.12</w:t>
            </w:r>
          </w:p>
        </w:tc>
        <w:tc>
          <w:tcPr>
            <w:tcW w:w="3690" w:type="dxa"/>
            <w:gridSpan w:val="4"/>
            <w:vAlign w:val="center"/>
          </w:tcPr>
          <w:p w14:paraId="50C5CFD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绿地率</w:t>
            </w:r>
          </w:p>
        </w:tc>
        <w:tc>
          <w:tcPr>
            <w:tcW w:w="1485" w:type="dxa"/>
            <w:vAlign w:val="center"/>
          </w:tcPr>
          <w:p w14:paraId="5DAB03F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w:t>
            </w:r>
          </w:p>
        </w:tc>
        <w:tc>
          <w:tcPr>
            <w:tcW w:w="2401" w:type="dxa"/>
            <w:vAlign w:val="center"/>
          </w:tcPr>
          <w:p w14:paraId="2AC8205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10.20</w:t>
            </w:r>
          </w:p>
        </w:tc>
      </w:tr>
      <w:tr w14:paraId="6B3EC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0FB7BD0C">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6.13</w:t>
            </w:r>
          </w:p>
        </w:tc>
        <w:tc>
          <w:tcPr>
            <w:tcW w:w="1470" w:type="dxa"/>
            <w:gridSpan w:val="2"/>
            <w:vMerge w:val="restart"/>
            <w:vAlign w:val="center"/>
          </w:tcPr>
          <w:p w14:paraId="3E296C4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停车位</w:t>
            </w:r>
          </w:p>
        </w:tc>
        <w:tc>
          <w:tcPr>
            <w:tcW w:w="2220" w:type="dxa"/>
            <w:gridSpan w:val="2"/>
            <w:vAlign w:val="center"/>
          </w:tcPr>
          <w:p w14:paraId="658E7C9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宋体"/>
                <w:color w:val="auto"/>
                <w:sz w:val="21"/>
              </w:rPr>
            </w:pPr>
            <w:r>
              <w:rPr>
                <w:rFonts w:hint="default" w:ascii="Times New Roman" w:hAnsi="Times New Roman" w:eastAsia="宋体" w:cs="宋体"/>
                <w:color w:val="auto"/>
                <w:sz w:val="21"/>
                <w:vertAlign w:val="baseline"/>
                <w:lang w:val="en-US" w:eastAsia="zh-CN"/>
              </w:rPr>
              <w:t>小车停车位</w:t>
            </w:r>
          </w:p>
        </w:tc>
        <w:tc>
          <w:tcPr>
            <w:tcW w:w="1485" w:type="dxa"/>
            <w:vAlign w:val="center"/>
          </w:tcPr>
          <w:p w14:paraId="4FD112F7">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位</w:t>
            </w:r>
          </w:p>
        </w:tc>
        <w:tc>
          <w:tcPr>
            <w:tcW w:w="2401" w:type="dxa"/>
            <w:vAlign w:val="center"/>
          </w:tcPr>
          <w:p w14:paraId="11638D3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8</w:t>
            </w:r>
          </w:p>
        </w:tc>
      </w:tr>
      <w:tr w14:paraId="322A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66995085">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6.14</w:t>
            </w:r>
          </w:p>
        </w:tc>
        <w:tc>
          <w:tcPr>
            <w:tcW w:w="1470" w:type="dxa"/>
            <w:gridSpan w:val="2"/>
            <w:vMerge w:val="continue"/>
            <w:vAlign w:val="center"/>
          </w:tcPr>
          <w:p w14:paraId="4D75BF7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p>
        </w:tc>
        <w:tc>
          <w:tcPr>
            <w:tcW w:w="2220" w:type="dxa"/>
            <w:gridSpan w:val="2"/>
            <w:vAlign w:val="center"/>
          </w:tcPr>
          <w:p w14:paraId="2C1C280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default" w:ascii="Times New Roman" w:hAnsi="Times New Roman" w:eastAsia="宋体" w:cs="宋体"/>
                <w:color w:val="auto"/>
                <w:sz w:val="21"/>
                <w:vertAlign w:val="baseline"/>
                <w:lang w:val="en-US" w:eastAsia="zh-CN"/>
              </w:rPr>
              <w:t>大车停车位</w:t>
            </w:r>
          </w:p>
        </w:tc>
        <w:tc>
          <w:tcPr>
            <w:tcW w:w="1485" w:type="dxa"/>
            <w:vAlign w:val="center"/>
          </w:tcPr>
          <w:p w14:paraId="7BEEE8B3">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位</w:t>
            </w:r>
          </w:p>
        </w:tc>
        <w:tc>
          <w:tcPr>
            <w:tcW w:w="2401" w:type="dxa"/>
            <w:vAlign w:val="center"/>
          </w:tcPr>
          <w:p w14:paraId="15301C9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vertAlign w:val="baseline"/>
                <w:lang w:val="en-US" w:eastAsia="zh-CN"/>
              </w:rPr>
              <w:t>5</w:t>
            </w:r>
          </w:p>
        </w:tc>
      </w:tr>
      <w:tr w14:paraId="689B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78863FC5">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7</w:t>
            </w:r>
          </w:p>
        </w:tc>
        <w:tc>
          <w:tcPr>
            <w:tcW w:w="3690" w:type="dxa"/>
            <w:gridSpan w:val="4"/>
            <w:vAlign w:val="center"/>
          </w:tcPr>
          <w:p w14:paraId="22CA18A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总投资</w:t>
            </w:r>
          </w:p>
        </w:tc>
        <w:tc>
          <w:tcPr>
            <w:tcW w:w="1485" w:type="dxa"/>
            <w:vAlign w:val="center"/>
          </w:tcPr>
          <w:p w14:paraId="4A8AF4D4">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万元</w:t>
            </w:r>
          </w:p>
        </w:tc>
        <w:tc>
          <w:tcPr>
            <w:tcW w:w="2401" w:type="dxa"/>
            <w:vAlign w:val="center"/>
          </w:tcPr>
          <w:p w14:paraId="64AA226A">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6169</w:t>
            </w:r>
          </w:p>
        </w:tc>
      </w:tr>
      <w:tr w14:paraId="147C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0C3DFF7">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7.1</w:t>
            </w:r>
          </w:p>
        </w:tc>
        <w:tc>
          <w:tcPr>
            <w:tcW w:w="3690" w:type="dxa"/>
            <w:gridSpan w:val="4"/>
            <w:vAlign w:val="center"/>
          </w:tcPr>
          <w:p w14:paraId="62A47ED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建设投资</w:t>
            </w:r>
          </w:p>
        </w:tc>
        <w:tc>
          <w:tcPr>
            <w:tcW w:w="1485" w:type="dxa"/>
            <w:vAlign w:val="center"/>
          </w:tcPr>
          <w:p w14:paraId="435874B5">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万元</w:t>
            </w:r>
          </w:p>
        </w:tc>
        <w:tc>
          <w:tcPr>
            <w:tcW w:w="2401" w:type="dxa"/>
            <w:vAlign w:val="center"/>
          </w:tcPr>
          <w:p w14:paraId="5118A0E9">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4169</w:t>
            </w:r>
          </w:p>
        </w:tc>
      </w:tr>
      <w:tr w14:paraId="7481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0D33B662">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7.2</w:t>
            </w:r>
          </w:p>
        </w:tc>
        <w:tc>
          <w:tcPr>
            <w:tcW w:w="3690" w:type="dxa"/>
            <w:gridSpan w:val="4"/>
            <w:vAlign w:val="center"/>
          </w:tcPr>
          <w:p w14:paraId="3A877F1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其中：建筑工程费用</w:t>
            </w:r>
          </w:p>
        </w:tc>
        <w:tc>
          <w:tcPr>
            <w:tcW w:w="1485" w:type="dxa"/>
            <w:vAlign w:val="center"/>
          </w:tcPr>
          <w:p w14:paraId="753117A4">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万元</w:t>
            </w:r>
          </w:p>
        </w:tc>
        <w:tc>
          <w:tcPr>
            <w:tcW w:w="2401" w:type="dxa"/>
            <w:vAlign w:val="center"/>
          </w:tcPr>
          <w:p w14:paraId="6FD8BF37">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2267.53</w:t>
            </w:r>
          </w:p>
        </w:tc>
      </w:tr>
      <w:tr w14:paraId="2720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46" w:type="dxa"/>
            <w:vAlign w:val="center"/>
          </w:tcPr>
          <w:p w14:paraId="47862691">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7.3</w:t>
            </w:r>
          </w:p>
        </w:tc>
        <w:tc>
          <w:tcPr>
            <w:tcW w:w="3690" w:type="dxa"/>
            <w:gridSpan w:val="4"/>
            <w:vAlign w:val="center"/>
          </w:tcPr>
          <w:p w14:paraId="054AF83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设备及工器具购置</w:t>
            </w:r>
          </w:p>
        </w:tc>
        <w:tc>
          <w:tcPr>
            <w:tcW w:w="1485" w:type="dxa"/>
            <w:vAlign w:val="center"/>
          </w:tcPr>
          <w:p w14:paraId="3109670F">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万元</w:t>
            </w:r>
          </w:p>
        </w:tc>
        <w:tc>
          <w:tcPr>
            <w:tcW w:w="2401" w:type="dxa"/>
            <w:vAlign w:val="center"/>
          </w:tcPr>
          <w:p w14:paraId="7929E572">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1791.72</w:t>
            </w:r>
          </w:p>
        </w:tc>
      </w:tr>
      <w:tr w14:paraId="7F99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06230C73">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7.4</w:t>
            </w:r>
          </w:p>
        </w:tc>
        <w:tc>
          <w:tcPr>
            <w:tcW w:w="3690" w:type="dxa"/>
            <w:gridSpan w:val="4"/>
            <w:vAlign w:val="center"/>
          </w:tcPr>
          <w:p w14:paraId="003C69C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安装工程费</w:t>
            </w:r>
          </w:p>
        </w:tc>
        <w:tc>
          <w:tcPr>
            <w:tcW w:w="1485" w:type="dxa"/>
            <w:vAlign w:val="center"/>
          </w:tcPr>
          <w:p w14:paraId="6BE0AFF3">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万元</w:t>
            </w:r>
          </w:p>
        </w:tc>
        <w:tc>
          <w:tcPr>
            <w:tcW w:w="2401" w:type="dxa"/>
            <w:vAlign w:val="center"/>
          </w:tcPr>
          <w:p w14:paraId="05B0895E">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109.75</w:t>
            </w:r>
          </w:p>
        </w:tc>
      </w:tr>
      <w:tr w14:paraId="0045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F3237D0">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7.5</w:t>
            </w:r>
          </w:p>
        </w:tc>
        <w:tc>
          <w:tcPr>
            <w:tcW w:w="3690" w:type="dxa"/>
            <w:gridSpan w:val="4"/>
            <w:vAlign w:val="center"/>
          </w:tcPr>
          <w:p w14:paraId="7FA17E5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工程建设其他费用</w:t>
            </w:r>
          </w:p>
        </w:tc>
        <w:tc>
          <w:tcPr>
            <w:tcW w:w="1485" w:type="dxa"/>
            <w:vAlign w:val="center"/>
          </w:tcPr>
          <w:p w14:paraId="151D3CEF">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万元</w:t>
            </w:r>
          </w:p>
        </w:tc>
        <w:tc>
          <w:tcPr>
            <w:tcW w:w="2401" w:type="dxa"/>
            <w:vAlign w:val="center"/>
          </w:tcPr>
          <w:p w14:paraId="5EC8ECED">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262.63</w:t>
            </w:r>
          </w:p>
        </w:tc>
      </w:tr>
      <w:tr w14:paraId="4B6A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68EA7C4A">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7.6</w:t>
            </w:r>
          </w:p>
        </w:tc>
        <w:tc>
          <w:tcPr>
            <w:tcW w:w="3690" w:type="dxa"/>
            <w:gridSpan w:val="4"/>
            <w:vAlign w:val="center"/>
          </w:tcPr>
          <w:p w14:paraId="13FD849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基本预备费</w:t>
            </w:r>
          </w:p>
        </w:tc>
        <w:tc>
          <w:tcPr>
            <w:tcW w:w="1485" w:type="dxa"/>
            <w:vAlign w:val="center"/>
          </w:tcPr>
          <w:p w14:paraId="73BE15DC">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万元</w:t>
            </w:r>
          </w:p>
        </w:tc>
        <w:tc>
          <w:tcPr>
            <w:tcW w:w="2401" w:type="dxa"/>
            <w:vAlign w:val="center"/>
          </w:tcPr>
          <w:p w14:paraId="75220FEC">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128.13</w:t>
            </w:r>
          </w:p>
        </w:tc>
      </w:tr>
      <w:tr w14:paraId="6DFC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69444206">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7.7</w:t>
            </w:r>
          </w:p>
        </w:tc>
        <w:tc>
          <w:tcPr>
            <w:tcW w:w="3690" w:type="dxa"/>
            <w:gridSpan w:val="4"/>
            <w:vAlign w:val="center"/>
          </w:tcPr>
          <w:p w14:paraId="47C14D8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铺底流动资金</w:t>
            </w:r>
          </w:p>
        </w:tc>
        <w:tc>
          <w:tcPr>
            <w:tcW w:w="1485" w:type="dxa"/>
            <w:vAlign w:val="center"/>
          </w:tcPr>
          <w:p w14:paraId="20081611">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万元</w:t>
            </w:r>
          </w:p>
        </w:tc>
        <w:tc>
          <w:tcPr>
            <w:tcW w:w="2401" w:type="dxa"/>
            <w:vAlign w:val="center"/>
          </w:tcPr>
          <w:p w14:paraId="484D9708">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1609.24</w:t>
            </w:r>
          </w:p>
        </w:tc>
      </w:tr>
      <w:tr w14:paraId="01EC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5350D2D6">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8</w:t>
            </w:r>
          </w:p>
        </w:tc>
        <w:tc>
          <w:tcPr>
            <w:tcW w:w="3690" w:type="dxa"/>
            <w:gridSpan w:val="4"/>
            <w:vAlign w:val="center"/>
          </w:tcPr>
          <w:p w14:paraId="392584C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投资资金筹措</w:t>
            </w:r>
          </w:p>
        </w:tc>
        <w:tc>
          <w:tcPr>
            <w:tcW w:w="1485" w:type="dxa"/>
            <w:vAlign w:val="center"/>
          </w:tcPr>
          <w:p w14:paraId="1A01548D">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万元</w:t>
            </w:r>
          </w:p>
        </w:tc>
        <w:tc>
          <w:tcPr>
            <w:tcW w:w="2401" w:type="dxa"/>
            <w:vAlign w:val="center"/>
          </w:tcPr>
          <w:p w14:paraId="7F7630F1">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6169</w:t>
            </w:r>
          </w:p>
        </w:tc>
      </w:tr>
      <w:tr w14:paraId="1F33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079FE965">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8.1</w:t>
            </w:r>
          </w:p>
        </w:tc>
        <w:tc>
          <w:tcPr>
            <w:tcW w:w="3690" w:type="dxa"/>
            <w:gridSpan w:val="4"/>
            <w:vAlign w:val="center"/>
          </w:tcPr>
          <w:p w14:paraId="4D39F28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vertAlign w:val="baseline"/>
                <w:lang w:val="en-US" w:eastAsia="zh-CN"/>
              </w:rPr>
            </w:pPr>
            <w:r>
              <w:rPr>
                <w:rFonts w:hint="eastAsia" w:ascii="Times New Roman" w:hAnsi="Times New Roman" w:eastAsia="宋体" w:cs="宋体"/>
                <w:color w:val="auto"/>
                <w:sz w:val="21"/>
                <w:vertAlign w:val="baseline"/>
                <w:lang w:val="en-US" w:eastAsia="zh-CN"/>
              </w:rPr>
              <w:t>企业自筹</w:t>
            </w:r>
          </w:p>
        </w:tc>
        <w:tc>
          <w:tcPr>
            <w:tcW w:w="1485" w:type="dxa"/>
            <w:vAlign w:val="center"/>
          </w:tcPr>
          <w:p w14:paraId="4E824AF3">
            <w:pPr>
              <w:pStyle w:val="2"/>
              <w:jc w:val="center"/>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万元</w:t>
            </w:r>
          </w:p>
        </w:tc>
        <w:tc>
          <w:tcPr>
            <w:tcW w:w="2401" w:type="dxa"/>
            <w:vAlign w:val="center"/>
          </w:tcPr>
          <w:p w14:paraId="722F414E">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6169</w:t>
            </w:r>
          </w:p>
        </w:tc>
      </w:tr>
      <w:tr w14:paraId="0CF2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586BA84F">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9</w:t>
            </w:r>
          </w:p>
        </w:tc>
        <w:tc>
          <w:tcPr>
            <w:tcW w:w="3690" w:type="dxa"/>
            <w:gridSpan w:val="4"/>
            <w:shd w:val="clear" w:color="auto" w:fill="auto"/>
            <w:vAlign w:val="top"/>
          </w:tcPr>
          <w:p w14:paraId="73F1983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3"/>
                <w:sz w:val="21"/>
                <w:szCs w:val="24"/>
              </w:rPr>
              <w:t>正常年营业收入</w:t>
            </w:r>
          </w:p>
        </w:tc>
        <w:tc>
          <w:tcPr>
            <w:tcW w:w="1485" w:type="dxa"/>
            <w:shd w:val="clear" w:color="auto" w:fill="auto"/>
            <w:vAlign w:val="top"/>
          </w:tcPr>
          <w:p w14:paraId="403A75B4">
            <w:pPr>
              <w:widowControl w:val="0"/>
              <w:spacing w:before="41" w:line="204" w:lineRule="auto"/>
              <w:jc w:val="center"/>
              <w:rPr>
                <w:rFonts w:hint="eastAsia"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8"/>
                <w:sz w:val="21"/>
                <w:szCs w:val="24"/>
              </w:rPr>
              <w:t>万元</w:t>
            </w:r>
          </w:p>
        </w:tc>
        <w:tc>
          <w:tcPr>
            <w:tcW w:w="2401" w:type="dxa"/>
            <w:vAlign w:val="center"/>
          </w:tcPr>
          <w:p w14:paraId="5F4BC497">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11200</w:t>
            </w:r>
          </w:p>
        </w:tc>
      </w:tr>
      <w:tr w14:paraId="38D8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2B472146">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10</w:t>
            </w:r>
          </w:p>
        </w:tc>
        <w:tc>
          <w:tcPr>
            <w:tcW w:w="3690" w:type="dxa"/>
            <w:gridSpan w:val="4"/>
            <w:shd w:val="clear" w:color="auto" w:fill="auto"/>
            <w:vAlign w:val="top"/>
          </w:tcPr>
          <w:p w14:paraId="7DD48B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3"/>
                <w:sz w:val="21"/>
                <w:szCs w:val="24"/>
              </w:rPr>
              <w:t>正常年产值</w:t>
            </w:r>
          </w:p>
        </w:tc>
        <w:tc>
          <w:tcPr>
            <w:tcW w:w="1485" w:type="dxa"/>
            <w:shd w:val="clear" w:color="auto" w:fill="auto"/>
            <w:vAlign w:val="top"/>
          </w:tcPr>
          <w:p w14:paraId="32395143">
            <w:pPr>
              <w:widowControl w:val="0"/>
              <w:spacing w:before="40" w:line="205" w:lineRule="auto"/>
              <w:jc w:val="center"/>
              <w:rPr>
                <w:rFonts w:hint="eastAsia"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8"/>
                <w:sz w:val="21"/>
                <w:szCs w:val="24"/>
              </w:rPr>
              <w:t>万元</w:t>
            </w:r>
          </w:p>
        </w:tc>
        <w:tc>
          <w:tcPr>
            <w:tcW w:w="2401" w:type="dxa"/>
            <w:vAlign w:val="center"/>
          </w:tcPr>
          <w:p w14:paraId="293A71E9">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11200</w:t>
            </w:r>
          </w:p>
        </w:tc>
      </w:tr>
      <w:tr w14:paraId="22D84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42CC0EDC">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11</w:t>
            </w:r>
          </w:p>
        </w:tc>
        <w:tc>
          <w:tcPr>
            <w:tcW w:w="3690" w:type="dxa"/>
            <w:gridSpan w:val="4"/>
            <w:shd w:val="clear" w:color="auto" w:fill="auto"/>
            <w:vAlign w:val="top"/>
          </w:tcPr>
          <w:p w14:paraId="3D1869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3"/>
                <w:sz w:val="21"/>
                <w:szCs w:val="24"/>
              </w:rPr>
              <w:t>正常年总成本</w:t>
            </w:r>
          </w:p>
        </w:tc>
        <w:tc>
          <w:tcPr>
            <w:tcW w:w="1485" w:type="dxa"/>
            <w:shd w:val="clear" w:color="auto" w:fill="auto"/>
            <w:vAlign w:val="top"/>
          </w:tcPr>
          <w:p w14:paraId="5899EAF4">
            <w:pPr>
              <w:widowControl w:val="0"/>
              <w:spacing w:before="43" w:line="203" w:lineRule="auto"/>
              <w:jc w:val="center"/>
              <w:rPr>
                <w:rFonts w:hint="eastAsia"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8"/>
                <w:sz w:val="21"/>
                <w:szCs w:val="24"/>
              </w:rPr>
              <w:t>万元</w:t>
            </w:r>
          </w:p>
        </w:tc>
        <w:tc>
          <w:tcPr>
            <w:tcW w:w="2401" w:type="dxa"/>
            <w:vAlign w:val="center"/>
          </w:tcPr>
          <w:p w14:paraId="65BFC11B">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10417.57</w:t>
            </w:r>
          </w:p>
        </w:tc>
      </w:tr>
      <w:tr w14:paraId="619D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369CE60E">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12</w:t>
            </w:r>
          </w:p>
        </w:tc>
        <w:tc>
          <w:tcPr>
            <w:tcW w:w="3690" w:type="dxa"/>
            <w:gridSpan w:val="4"/>
            <w:shd w:val="clear" w:color="auto" w:fill="auto"/>
            <w:vAlign w:val="top"/>
          </w:tcPr>
          <w:p w14:paraId="79B6C9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3"/>
                <w:sz w:val="21"/>
                <w:szCs w:val="24"/>
              </w:rPr>
              <w:t>正常年利润总额</w:t>
            </w:r>
          </w:p>
        </w:tc>
        <w:tc>
          <w:tcPr>
            <w:tcW w:w="1485" w:type="dxa"/>
            <w:shd w:val="clear" w:color="auto" w:fill="auto"/>
            <w:vAlign w:val="top"/>
          </w:tcPr>
          <w:p w14:paraId="044BF85C">
            <w:pPr>
              <w:widowControl w:val="0"/>
              <w:spacing w:before="42" w:line="205" w:lineRule="auto"/>
              <w:jc w:val="center"/>
              <w:rPr>
                <w:rFonts w:hint="eastAsia"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8"/>
                <w:sz w:val="21"/>
                <w:szCs w:val="24"/>
              </w:rPr>
              <w:t>万元</w:t>
            </w:r>
          </w:p>
        </w:tc>
        <w:tc>
          <w:tcPr>
            <w:tcW w:w="2401" w:type="dxa"/>
            <w:vAlign w:val="center"/>
          </w:tcPr>
          <w:p w14:paraId="47BABE72">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753.42</w:t>
            </w:r>
          </w:p>
        </w:tc>
      </w:tr>
      <w:tr w14:paraId="02D9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6EE5445C">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13</w:t>
            </w:r>
          </w:p>
        </w:tc>
        <w:tc>
          <w:tcPr>
            <w:tcW w:w="3690" w:type="dxa"/>
            <w:gridSpan w:val="4"/>
            <w:shd w:val="clear" w:color="auto" w:fill="auto"/>
            <w:vAlign w:val="top"/>
          </w:tcPr>
          <w:p w14:paraId="3A92B4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3"/>
                <w:sz w:val="21"/>
                <w:szCs w:val="24"/>
              </w:rPr>
              <w:t>正常年增值税</w:t>
            </w:r>
          </w:p>
        </w:tc>
        <w:tc>
          <w:tcPr>
            <w:tcW w:w="1485" w:type="dxa"/>
            <w:shd w:val="clear" w:color="auto" w:fill="auto"/>
            <w:vAlign w:val="top"/>
          </w:tcPr>
          <w:p w14:paraId="29B9C41A">
            <w:pPr>
              <w:widowControl w:val="0"/>
              <w:spacing w:before="37" w:line="207" w:lineRule="auto"/>
              <w:jc w:val="center"/>
              <w:rPr>
                <w:rFonts w:hint="eastAsia"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8"/>
                <w:sz w:val="21"/>
                <w:szCs w:val="24"/>
              </w:rPr>
              <w:t>万元</w:t>
            </w:r>
          </w:p>
        </w:tc>
        <w:tc>
          <w:tcPr>
            <w:tcW w:w="2401" w:type="dxa"/>
            <w:shd w:val="clear" w:color="auto" w:fill="auto"/>
            <w:vAlign w:val="top"/>
          </w:tcPr>
          <w:p w14:paraId="4415E130">
            <w:pPr>
              <w:widowControl w:val="0"/>
              <w:spacing w:before="79" w:line="188" w:lineRule="auto"/>
              <w:jc w:val="center"/>
              <w:rPr>
                <w:rFonts w:hint="default" w:ascii="Times New Roman" w:hAnsi="Times New Roman" w:eastAsia="宋体" w:cs="宋体"/>
                <w:snapToGrid w:val="0"/>
                <w:color w:val="auto"/>
                <w:kern w:val="0"/>
                <w:sz w:val="21"/>
                <w:szCs w:val="24"/>
                <w:lang w:val="en-US" w:eastAsia="zh-CN" w:bidi="ar-SA"/>
              </w:rPr>
            </w:pPr>
            <w:r>
              <w:rPr>
                <w:rFonts w:hint="eastAsia" w:ascii="Times New Roman" w:hAnsi="Times New Roman" w:eastAsia="宋体" w:cs="宋体"/>
                <w:snapToGrid w:val="0"/>
                <w:color w:val="auto"/>
                <w:kern w:val="0"/>
                <w:sz w:val="21"/>
                <w:szCs w:val="24"/>
                <w:lang w:val="en-US" w:eastAsia="zh-CN" w:bidi="ar-SA"/>
              </w:rPr>
              <w:t>431.27</w:t>
            </w:r>
          </w:p>
        </w:tc>
      </w:tr>
      <w:tr w14:paraId="18EC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0036E18C">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14</w:t>
            </w:r>
          </w:p>
        </w:tc>
        <w:tc>
          <w:tcPr>
            <w:tcW w:w="3690" w:type="dxa"/>
            <w:gridSpan w:val="4"/>
            <w:shd w:val="clear" w:color="auto" w:fill="auto"/>
            <w:vAlign w:val="top"/>
          </w:tcPr>
          <w:p w14:paraId="6751587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2"/>
                <w:sz w:val="21"/>
                <w:szCs w:val="24"/>
              </w:rPr>
              <w:t>正常年营业税金及附加</w:t>
            </w:r>
          </w:p>
        </w:tc>
        <w:tc>
          <w:tcPr>
            <w:tcW w:w="1485" w:type="dxa"/>
            <w:shd w:val="clear" w:color="auto" w:fill="auto"/>
            <w:vAlign w:val="top"/>
          </w:tcPr>
          <w:p w14:paraId="03E4DC40">
            <w:pPr>
              <w:widowControl w:val="0"/>
              <w:spacing w:before="36" w:line="208" w:lineRule="auto"/>
              <w:jc w:val="center"/>
              <w:rPr>
                <w:rFonts w:hint="eastAsia"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8"/>
                <w:sz w:val="21"/>
                <w:szCs w:val="24"/>
              </w:rPr>
              <w:t>万元</w:t>
            </w:r>
          </w:p>
        </w:tc>
        <w:tc>
          <w:tcPr>
            <w:tcW w:w="2401" w:type="dxa"/>
            <w:shd w:val="clear" w:color="auto" w:fill="auto"/>
            <w:vAlign w:val="top"/>
          </w:tcPr>
          <w:p w14:paraId="2CF049F9">
            <w:pPr>
              <w:widowControl w:val="0"/>
              <w:spacing w:before="78" w:line="188" w:lineRule="auto"/>
              <w:jc w:val="center"/>
              <w:rPr>
                <w:rFonts w:hint="default" w:ascii="Times New Roman" w:hAnsi="Times New Roman" w:eastAsia="宋体" w:cs="宋体"/>
                <w:snapToGrid w:val="0"/>
                <w:color w:val="auto"/>
                <w:kern w:val="0"/>
                <w:sz w:val="21"/>
                <w:szCs w:val="24"/>
                <w:lang w:val="en-US" w:eastAsia="zh-CN" w:bidi="ar-SA"/>
              </w:rPr>
            </w:pPr>
            <w:r>
              <w:rPr>
                <w:rFonts w:hint="eastAsia" w:ascii="Times New Roman" w:hAnsi="Times New Roman" w:eastAsia="宋体" w:cs="宋体"/>
                <w:snapToGrid w:val="0"/>
                <w:color w:val="auto"/>
                <w:kern w:val="0"/>
                <w:sz w:val="21"/>
                <w:szCs w:val="24"/>
                <w:lang w:val="en-US" w:eastAsia="zh-CN" w:bidi="ar-SA"/>
              </w:rPr>
              <w:t>29.01</w:t>
            </w:r>
          </w:p>
        </w:tc>
      </w:tr>
      <w:tr w14:paraId="3825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2B778C25">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15</w:t>
            </w:r>
          </w:p>
        </w:tc>
        <w:tc>
          <w:tcPr>
            <w:tcW w:w="3690" w:type="dxa"/>
            <w:gridSpan w:val="4"/>
            <w:shd w:val="clear" w:color="auto" w:fill="auto"/>
            <w:vAlign w:val="top"/>
          </w:tcPr>
          <w:p w14:paraId="097ABFE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3"/>
                <w:sz w:val="21"/>
                <w:szCs w:val="24"/>
              </w:rPr>
              <w:t>正常年所得税</w:t>
            </w:r>
          </w:p>
        </w:tc>
        <w:tc>
          <w:tcPr>
            <w:tcW w:w="1485" w:type="dxa"/>
            <w:shd w:val="clear" w:color="auto" w:fill="auto"/>
            <w:vAlign w:val="top"/>
          </w:tcPr>
          <w:p w14:paraId="364D29E9">
            <w:pPr>
              <w:widowControl w:val="0"/>
              <w:spacing w:before="36" w:line="207" w:lineRule="auto"/>
              <w:jc w:val="center"/>
              <w:rPr>
                <w:rFonts w:hint="eastAsia"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8"/>
                <w:sz w:val="21"/>
                <w:szCs w:val="24"/>
              </w:rPr>
              <w:t>万元</w:t>
            </w:r>
          </w:p>
        </w:tc>
        <w:tc>
          <w:tcPr>
            <w:tcW w:w="2401" w:type="dxa"/>
            <w:shd w:val="clear" w:color="auto" w:fill="auto"/>
            <w:vAlign w:val="top"/>
          </w:tcPr>
          <w:p w14:paraId="0F1EC81B">
            <w:pPr>
              <w:widowControl w:val="0"/>
              <w:spacing w:before="78" w:line="188" w:lineRule="auto"/>
              <w:jc w:val="center"/>
              <w:rPr>
                <w:rFonts w:hint="default" w:ascii="Times New Roman" w:hAnsi="Times New Roman" w:eastAsia="宋体" w:cs="宋体"/>
                <w:snapToGrid w:val="0"/>
                <w:color w:val="auto"/>
                <w:kern w:val="0"/>
                <w:sz w:val="21"/>
                <w:szCs w:val="24"/>
                <w:lang w:val="en-US" w:eastAsia="zh-CN" w:bidi="ar-SA"/>
              </w:rPr>
            </w:pPr>
            <w:r>
              <w:rPr>
                <w:rFonts w:hint="eastAsia" w:ascii="Times New Roman" w:hAnsi="Times New Roman" w:eastAsia="宋体" w:cs="宋体"/>
                <w:snapToGrid w:val="0"/>
                <w:color w:val="auto"/>
                <w:kern w:val="0"/>
                <w:sz w:val="21"/>
                <w:szCs w:val="24"/>
                <w:lang w:val="en-US" w:eastAsia="zh-CN" w:bidi="ar-SA"/>
              </w:rPr>
              <w:t>188.35</w:t>
            </w:r>
          </w:p>
        </w:tc>
      </w:tr>
      <w:tr w14:paraId="5012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0CBC0256">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16</w:t>
            </w:r>
          </w:p>
        </w:tc>
        <w:tc>
          <w:tcPr>
            <w:tcW w:w="3690" w:type="dxa"/>
            <w:gridSpan w:val="4"/>
            <w:shd w:val="clear" w:color="auto" w:fill="auto"/>
            <w:vAlign w:val="top"/>
          </w:tcPr>
          <w:p w14:paraId="1B73CA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3"/>
                <w:sz w:val="21"/>
                <w:szCs w:val="24"/>
              </w:rPr>
              <w:t>正常年净利润</w:t>
            </w:r>
          </w:p>
        </w:tc>
        <w:tc>
          <w:tcPr>
            <w:tcW w:w="1485" w:type="dxa"/>
            <w:shd w:val="clear" w:color="auto" w:fill="auto"/>
            <w:vAlign w:val="top"/>
          </w:tcPr>
          <w:p w14:paraId="05B9CFD2">
            <w:pPr>
              <w:widowControl w:val="0"/>
              <w:spacing w:before="39" w:line="205" w:lineRule="auto"/>
              <w:jc w:val="center"/>
              <w:rPr>
                <w:rFonts w:hint="eastAsia"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8"/>
                <w:sz w:val="21"/>
                <w:szCs w:val="24"/>
              </w:rPr>
              <w:t>万元</w:t>
            </w:r>
          </w:p>
        </w:tc>
        <w:tc>
          <w:tcPr>
            <w:tcW w:w="2401" w:type="dxa"/>
            <w:shd w:val="clear" w:color="auto" w:fill="auto"/>
            <w:vAlign w:val="top"/>
          </w:tcPr>
          <w:p w14:paraId="5A210740">
            <w:pPr>
              <w:widowControl w:val="0"/>
              <w:spacing w:before="81" w:line="188" w:lineRule="auto"/>
              <w:jc w:val="center"/>
              <w:rPr>
                <w:rFonts w:hint="default" w:ascii="Times New Roman" w:hAnsi="Times New Roman" w:eastAsia="宋体" w:cs="宋体"/>
                <w:snapToGrid w:val="0"/>
                <w:color w:val="auto"/>
                <w:kern w:val="0"/>
                <w:sz w:val="21"/>
                <w:szCs w:val="24"/>
                <w:lang w:val="en-US" w:eastAsia="zh-CN" w:bidi="ar-SA"/>
              </w:rPr>
            </w:pPr>
            <w:r>
              <w:rPr>
                <w:rFonts w:hint="eastAsia" w:ascii="Times New Roman" w:hAnsi="Times New Roman" w:eastAsia="宋体" w:cs="宋体"/>
                <w:snapToGrid w:val="0"/>
                <w:color w:val="auto"/>
                <w:kern w:val="0"/>
                <w:sz w:val="21"/>
                <w:szCs w:val="24"/>
                <w:lang w:val="en-US" w:eastAsia="zh-CN" w:bidi="ar-SA"/>
              </w:rPr>
              <w:t>565.06</w:t>
            </w:r>
          </w:p>
        </w:tc>
      </w:tr>
      <w:tr w14:paraId="7FDA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3E82807">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17</w:t>
            </w:r>
          </w:p>
        </w:tc>
        <w:tc>
          <w:tcPr>
            <w:tcW w:w="3690" w:type="dxa"/>
            <w:gridSpan w:val="4"/>
            <w:shd w:val="clear" w:color="auto" w:fill="auto"/>
            <w:vAlign w:val="top"/>
          </w:tcPr>
          <w:p w14:paraId="04A270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3"/>
                <w:sz w:val="21"/>
                <w:szCs w:val="24"/>
              </w:rPr>
              <w:t>资本金净利润率</w:t>
            </w:r>
          </w:p>
        </w:tc>
        <w:tc>
          <w:tcPr>
            <w:tcW w:w="1485" w:type="dxa"/>
            <w:shd w:val="clear" w:color="auto" w:fill="auto"/>
            <w:vAlign w:val="top"/>
          </w:tcPr>
          <w:p w14:paraId="7117C9B6">
            <w:pPr>
              <w:widowControl w:val="0"/>
              <w:jc w:val="center"/>
              <w:rPr>
                <w:rFonts w:hint="default"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snapToGrid w:val="0"/>
                <w:color w:val="auto"/>
                <w:kern w:val="0"/>
                <w:sz w:val="21"/>
                <w:szCs w:val="21"/>
                <w:lang w:val="en-US" w:eastAsia="zh-CN" w:bidi="ar-SA"/>
              </w:rPr>
              <w:t>%</w:t>
            </w:r>
          </w:p>
        </w:tc>
        <w:tc>
          <w:tcPr>
            <w:tcW w:w="2401" w:type="dxa"/>
            <w:shd w:val="clear" w:color="auto" w:fill="auto"/>
            <w:vAlign w:val="top"/>
          </w:tcPr>
          <w:p w14:paraId="00B929F7">
            <w:pPr>
              <w:widowControl w:val="0"/>
              <w:spacing w:before="86" w:line="188" w:lineRule="auto"/>
              <w:jc w:val="center"/>
              <w:rPr>
                <w:rFonts w:hint="default" w:ascii="Times New Roman" w:hAnsi="Times New Roman" w:eastAsia="宋体" w:cs="宋体"/>
                <w:snapToGrid w:val="0"/>
                <w:color w:val="auto"/>
                <w:kern w:val="0"/>
                <w:sz w:val="21"/>
                <w:szCs w:val="24"/>
                <w:lang w:val="en-US" w:eastAsia="zh-CN" w:bidi="ar-SA"/>
              </w:rPr>
            </w:pPr>
            <w:r>
              <w:rPr>
                <w:rFonts w:hint="eastAsia" w:ascii="Times New Roman" w:hAnsi="Times New Roman" w:eastAsia="宋体" w:cs="宋体"/>
                <w:snapToGrid w:val="0"/>
                <w:color w:val="auto"/>
                <w:kern w:val="0"/>
                <w:sz w:val="21"/>
                <w:szCs w:val="24"/>
                <w:lang w:val="en-US" w:eastAsia="zh-CN" w:bidi="ar-SA"/>
              </w:rPr>
              <w:t>9.16</w:t>
            </w:r>
          </w:p>
        </w:tc>
      </w:tr>
      <w:tr w14:paraId="04D5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2F0C30BB">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18</w:t>
            </w:r>
          </w:p>
        </w:tc>
        <w:tc>
          <w:tcPr>
            <w:tcW w:w="3690" w:type="dxa"/>
            <w:gridSpan w:val="4"/>
            <w:shd w:val="clear" w:color="auto" w:fill="auto"/>
            <w:vAlign w:val="top"/>
          </w:tcPr>
          <w:p w14:paraId="5BE98C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3"/>
                <w:sz w:val="21"/>
                <w:szCs w:val="24"/>
              </w:rPr>
              <w:t>总投资收益率</w:t>
            </w:r>
          </w:p>
        </w:tc>
        <w:tc>
          <w:tcPr>
            <w:tcW w:w="1485" w:type="dxa"/>
            <w:shd w:val="clear" w:color="auto" w:fill="auto"/>
            <w:vAlign w:val="top"/>
          </w:tcPr>
          <w:p w14:paraId="3B7231AE">
            <w:pPr>
              <w:widowControl w:val="0"/>
              <w:jc w:val="center"/>
              <w:rPr>
                <w:rFonts w:hint="default"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snapToGrid w:val="0"/>
                <w:color w:val="auto"/>
                <w:kern w:val="0"/>
                <w:sz w:val="21"/>
                <w:szCs w:val="21"/>
                <w:lang w:val="en-US" w:eastAsia="zh-CN" w:bidi="ar-SA"/>
              </w:rPr>
              <w:t>%</w:t>
            </w:r>
          </w:p>
        </w:tc>
        <w:tc>
          <w:tcPr>
            <w:tcW w:w="2401" w:type="dxa"/>
            <w:shd w:val="clear" w:color="auto" w:fill="auto"/>
            <w:vAlign w:val="top"/>
          </w:tcPr>
          <w:p w14:paraId="2B04A86A">
            <w:pPr>
              <w:widowControl w:val="0"/>
              <w:spacing w:before="82" w:line="188" w:lineRule="auto"/>
              <w:jc w:val="center"/>
              <w:rPr>
                <w:rFonts w:hint="default" w:ascii="Times New Roman" w:hAnsi="Times New Roman" w:eastAsia="宋体" w:cs="宋体"/>
                <w:snapToGrid w:val="0"/>
                <w:color w:val="auto"/>
                <w:kern w:val="0"/>
                <w:sz w:val="21"/>
                <w:szCs w:val="24"/>
                <w:lang w:val="en-US" w:eastAsia="zh-CN" w:bidi="ar-SA"/>
              </w:rPr>
            </w:pPr>
            <w:r>
              <w:rPr>
                <w:rFonts w:hint="eastAsia" w:ascii="Times New Roman" w:hAnsi="Times New Roman" w:eastAsia="宋体" w:cs="宋体"/>
                <w:snapToGrid w:val="0"/>
                <w:color w:val="auto"/>
                <w:kern w:val="0"/>
                <w:sz w:val="21"/>
                <w:szCs w:val="24"/>
                <w:lang w:val="en-US" w:eastAsia="zh-CN" w:bidi="ar-SA"/>
              </w:rPr>
              <w:t>12.21</w:t>
            </w:r>
          </w:p>
        </w:tc>
      </w:tr>
      <w:tr w14:paraId="69A24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B98F3C9">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19</w:t>
            </w:r>
          </w:p>
        </w:tc>
        <w:tc>
          <w:tcPr>
            <w:tcW w:w="3690" w:type="dxa"/>
            <w:gridSpan w:val="4"/>
            <w:shd w:val="clear" w:color="auto" w:fill="auto"/>
            <w:vAlign w:val="top"/>
          </w:tcPr>
          <w:p w14:paraId="078AB9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1"/>
                <w:sz w:val="21"/>
                <w:szCs w:val="24"/>
              </w:rPr>
              <w:t>静态投资回收期（含建设期）</w:t>
            </w:r>
          </w:p>
        </w:tc>
        <w:tc>
          <w:tcPr>
            <w:tcW w:w="1485" w:type="dxa"/>
            <w:shd w:val="clear" w:color="auto" w:fill="auto"/>
            <w:vAlign w:val="top"/>
          </w:tcPr>
          <w:p w14:paraId="32D3A7E5">
            <w:pPr>
              <w:widowControl w:val="0"/>
              <w:spacing w:before="40" w:line="205" w:lineRule="auto"/>
              <w:jc w:val="center"/>
              <w:rPr>
                <w:rFonts w:hint="eastAsia"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z w:val="21"/>
                <w:szCs w:val="24"/>
              </w:rPr>
              <w:t>年</w:t>
            </w:r>
          </w:p>
        </w:tc>
        <w:tc>
          <w:tcPr>
            <w:tcW w:w="2401" w:type="dxa"/>
            <w:shd w:val="clear" w:color="auto" w:fill="auto"/>
            <w:vAlign w:val="top"/>
          </w:tcPr>
          <w:p w14:paraId="36444D1F">
            <w:pPr>
              <w:widowControl w:val="0"/>
              <w:spacing w:before="81" w:line="188" w:lineRule="auto"/>
              <w:jc w:val="center"/>
              <w:rPr>
                <w:rFonts w:hint="default" w:ascii="Times New Roman" w:hAnsi="Times New Roman" w:eastAsia="宋体" w:cs="宋体"/>
                <w:snapToGrid w:val="0"/>
                <w:color w:val="auto"/>
                <w:kern w:val="0"/>
                <w:sz w:val="21"/>
                <w:szCs w:val="24"/>
                <w:lang w:val="en-US" w:eastAsia="zh-CN" w:bidi="ar-SA"/>
              </w:rPr>
            </w:pPr>
            <w:r>
              <w:rPr>
                <w:rFonts w:hint="eastAsia" w:ascii="Times New Roman" w:hAnsi="Times New Roman" w:eastAsia="宋体" w:cs="宋体"/>
                <w:snapToGrid w:val="0"/>
                <w:color w:val="auto"/>
                <w:kern w:val="0"/>
                <w:sz w:val="21"/>
                <w:szCs w:val="24"/>
                <w:lang w:val="en-US" w:eastAsia="zh-CN" w:bidi="ar-SA"/>
              </w:rPr>
              <w:t>3.65</w:t>
            </w:r>
          </w:p>
        </w:tc>
      </w:tr>
      <w:tr w14:paraId="2E7E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420CF785">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20</w:t>
            </w:r>
          </w:p>
        </w:tc>
        <w:tc>
          <w:tcPr>
            <w:tcW w:w="3690" w:type="dxa"/>
            <w:gridSpan w:val="4"/>
            <w:shd w:val="clear" w:color="auto" w:fill="auto"/>
            <w:vAlign w:val="center"/>
          </w:tcPr>
          <w:p w14:paraId="3626495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2"/>
                <w:sz w:val="21"/>
                <w:szCs w:val="24"/>
              </w:rPr>
              <w:t>动态投资回收期</w:t>
            </w:r>
            <w:r>
              <w:rPr>
                <w:rFonts w:ascii="Times New Roman" w:hAnsi="Times New Roman" w:eastAsia="宋体" w:cs="宋体"/>
                <w:color w:val="auto"/>
                <w:spacing w:val="-7"/>
                <w:sz w:val="21"/>
                <w:szCs w:val="24"/>
              </w:rPr>
              <w:t>（ic=12，含建设期）</w:t>
            </w:r>
          </w:p>
        </w:tc>
        <w:tc>
          <w:tcPr>
            <w:tcW w:w="1485" w:type="dxa"/>
            <w:shd w:val="clear" w:color="auto" w:fill="auto"/>
            <w:vAlign w:val="center"/>
          </w:tcPr>
          <w:p w14:paraId="6B101723">
            <w:pPr>
              <w:widowControl w:val="0"/>
              <w:spacing w:before="78" w:line="205" w:lineRule="auto"/>
              <w:jc w:val="center"/>
              <w:rPr>
                <w:rFonts w:hint="eastAsia"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z w:val="21"/>
                <w:szCs w:val="24"/>
              </w:rPr>
              <w:t>年</w:t>
            </w:r>
          </w:p>
        </w:tc>
        <w:tc>
          <w:tcPr>
            <w:tcW w:w="2401" w:type="dxa"/>
            <w:shd w:val="clear" w:color="auto" w:fill="auto"/>
            <w:vAlign w:val="center"/>
          </w:tcPr>
          <w:p w14:paraId="4A6D9903">
            <w:pPr>
              <w:widowControl w:val="0"/>
              <w:spacing w:before="69" w:line="188" w:lineRule="auto"/>
              <w:jc w:val="center"/>
              <w:rPr>
                <w:rFonts w:hint="default" w:ascii="Times New Roman" w:hAnsi="Times New Roman" w:eastAsia="宋体" w:cs="宋体"/>
                <w:snapToGrid w:val="0"/>
                <w:color w:val="auto"/>
                <w:kern w:val="0"/>
                <w:sz w:val="21"/>
                <w:szCs w:val="24"/>
                <w:lang w:val="en-US" w:eastAsia="zh-CN" w:bidi="ar-SA"/>
              </w:rPr>
            </w:pPr>
            <w:r>
              <w:rPr>
                <w:rFonts w:hint="eastAsia" w:ascii="Times New Roman" w:hAnsi="Times New Roman" w:eastAsia="宋体" w:cs="宋体"/>
                <w:snapToGrid w:val="0"/>
                <w:color w:val="auto"/>
                <w:kern w:val="0"/>
                <w:sz w:val="21"/>
                <w:szCs w:val="24"/>
                <w:lang w:val="en-US" w:eastAsia="zh-CN" w:bidi="ar-SA"/>
              </w:rPr>
              <w:t>4.3</w:t>
            </w:r>
          </w:p>
        </w:tc>
      </w:tr>
      <w:tr w14:paraId="1751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4383F308">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21</w:t>
            </w:r>
          </w:p>
        </w:tc>
        <w:tc>
          <w:tcPr>
            <w:tcW w:w="3690" w:type="dxa"/>
            <w:gridSpan w:val="4"/>
            <w:shd w:val="clear" w:color="auto" w:fill="auto"/>
            <w:vAlign w:val="top"/>
          </w:tcPr>
          <w:p w14:paraId="6E0C00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2"/>
                <w:sz w:val="21"/>
                <w:szCs w:val="24"/>
              </w:rPr>
              <w:t>财务内部收益率：税前</w:t>
            </w:r>
          </w:p>
        </w:tc>
        <w:tc>
          <w:tcPr>
            <w:tcW w:w="1485" w:type="dxa"/>
            <w:shd w:val="clear" w:color="auto" w:fill="auto"/>
            <w:vAlign w:val="top"/>
          </w:tcPr>
          <w:p w14:paraId="766A12B2">
            <w:pPr>
              <w:widowControl w:val="0"/>
              <w:jc w:val="center"/>
              <w:rPr>
                <w:rFonts w:hint="default"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snapToGrid w:val="0"/>
                <w:color w:val="auto"/>
                <w:kern w:val="0"/>
                <w:sz w:val="21"/>
                <w:szCs w:val="21"/>
                <w:lang w:val="en-US" w:eastAsia="zh-CN" w:bidi="ar-SA"/>
              </w:rPr>
              <w:t>%</w:t>
            </w:r>
          </w:p>
        </w:tc>
        <w:tc>
          <w:tcPr>
            <w:tcW w:w="2401" w:type="dxa"/>
            <w:shd w:val="clear" w:color="auto" w:fill="auto"/>
            <w:vAlign w:val="top"/>
          </w:tcPr>
          <w:p w14:paraId="1CAFB8BA">
            <w:pPr>
              <w:widowControl w:val="0"/>
              <w:spacing w:before="84" w:line="188" w:lineRule="auto"/>
              <w:jc w:val="center"/>
              <w:rPr>
                <w:rFonts w:hint="default" w:ascii="Times New Roman" w:hAnsi="Times New Roman" w:eastAsia="宋体" w:cs="宋体"/>
                <w:snapToGrid w:val="0"/>
                <w:color w:val="auto"/>
                <w:kern w:val="0"/>
                <w:sz w:val="21"/>
                <w:szCs w:val="24"/>
                <w:lang w:val="en-US" w:eastAsia="zh-CN" w:bidi="ar-SA"/>
              </w:rPr>
            </w:pPr>
            <w:r>
              <w:rPr>
                <w:rFonts w:hint="eastAsia" w:ascii="Times New Roman" w:hAnsi="Times New Roman" w:eastAsia="宋体" w:cs="宋体"/>
                <w:snapToGrid w:val="0"/>
                <w:color w:val="auto"/>
                <w:kern w:val="0"/>
                <w:sz w:val="21"/>
                <w:szCs w:val="24"/>
                <w:lang w:val="en-US" w:eastAsia="zh-CN" w:bidi="ar-SA"/>
              </w:rPr>
              <w:t>22.96</w:t>
            </w:r>
          </w:p>
        </w:tc>
      </w:tr>
      <w:tr w14:paraId="6BB2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0BE68780">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22</w:t>
            </w:r>
          </w:p>
        </w:tc>
        <w:tc>
          <w:tcPr>
            <w:tcW w:w="3690" w:type="dxa"/>
            <w:gridSpan w:val="4"/>
            <w:shd w:val="clear" w:color="auto" w:fill="auto"/>
            <w:vAlign w:val="top"/>
          </w:tcPr>
          <w:p w14:paraId="26D15A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1"/>
                <w:sz w:val="21"/>
                <w:szCs w:val="24"/>
              </w:rPr>
              <w:t>财务净现值税前（ic=12%）</w:t>
            </w:r>
          </w:p>
        </w:tc>
        <w:tc>
          <w:tcPr>
            <w:tcW w:w="1485" w:type="dxa"/>
            <w:shd w:val="clear" w:color="auto" w:fill="auto"/>
            <w:vAlign w:val="top"/>
          </w:tcPr>
          <w:p w14:paraId="33126DB7">
            <w:pPr>
              <w:widowControl w:val="0"/>
              <w:spacing w:before="41" w:line="204" w:lineRule="auto"/>
              <w:jc w:val="center"/>
              <w:rPr>
                <w:rFonts w:hint="eastAsia"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8"/>
                <w:sz w:val="21"/>
                <w:szCs w:val="24"/>
              </w:rPr>
              <w:t>万元</w:t>
            </w:r>
          </w:p>
        </w:tc>
        <w:tc>
          <w:tcPr>
            <w:tcW w:w="2401" w:type="dxa"/>
            <w:shd w:val="clear" w:color="auto" w:fill="auto"/>
            <w:vAlign w:val="top"/>
          </w:tcPr>
          <w:p w14:paraId="23DE7013">
            <w:pPr>
              <w:widowControl w:val="0"/>
              <w:spacing w:before="83" w:line="188" w:lineRule="auto"/>
              <w:jc w:val="center"/>
              <w:rPr>
                <w:rFonts w:hint="default" w:ascii="Times New Roman" w:hAnsi="Times New Roman" w:eastAsia="宋体" w:cs="宋体"/>
                <w:snapToGrid w:val="0"/>
                <w:color w:val="auto"/>
                <w:kern w:val="0"/>
                <w:sz w:val="21"/>
                <w:szCs w:val="24"/>
                <w:lang w:val="en-US" w:eastAsia="zh-CN" w:bidi="ar-SA"/>
              </w:rPr>
            </w:pPr>
            <w:r>
              <w:rPr>
                <w:rFonts w:hint="eastAsia" w:ascii="Times New Roman" w:hAnsi="Times New Roman" w:eastAsia="宋体" w:cs="宋体"/>
                <w:snapToGrid w:val="0"/>
                <w:color w:val="auto"/>
                <w:kern w:val="0"/>
                <w:sz w:val="21"/>
                <w:szCs w:val="24"/>
                <w:lang w:val="en-US" w:eastAsia="zh-CN" w:bidi="ar-SA"/>
              </w:rPr>
              <w:t>6462.60</w:t>
            </w:r>
          </w:p>
        </w:tc>
      </w:tr>
      <w:tr w14:paraId="4AA3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734137F2">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23</w:t>
            </w:r>
          </w:p>
        </w:tc>
        <w:tc>
          <w:tcPr>
            <w:tcW w:w="3690" w:type="dxa"/>
            <w:gridSpan w:val="4"/>
            <w:shd w:val="clear" w:color="auto" w:fill="auto"/>
            <w:vAlign w:val="top"/>
          </w:tcPr>
          <w:p w14:paraId="07F6E9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1"/>
                <w:sz w:val="21"/>
                <w:szCs w:val="24"/>
              </w:rPr>
              <w:t>税后（ic=12%）</w:t>
            </w:r>
          </w:p>
        </w:tc>
        <w:tc>
          <w:tcPr>
            <w:tcW w:w="1485" w:type="dxa"/>
            <w:shd w:val="clear" w:color="auto" w:fill="auto"/>
            <w:vAlign w:val="top"/>
          </w:tcPr>
          <w:p w14:paraId="5E20FEA3">
            <w:pPr>
              <w:widowControl w:val="0"/>
              <w:spacing w:before="41" w:line="204" w:lineRule="auto"/>
              <w:jc w:val="center"/>
              <w:rPr>
                <w:rFonts w:hint="eastAsia"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8"/>
                <w:sz w:val="21"/>
                <w:szCs w:val="24"/>
              </w:rPr>
              <w:t>万元</w:t>
            </w:r>
          </w:p>
        </w:tc>
        <w:tc>
          <w:tcPr>
            <w:tcW w:w="2401" w:type="dxa"/>
            <w:shd w:val="clear" w:color="auto" w:fill="auto"/>
            <w:vAlign w:val="top"/>
          </w:tcPr>
          <w:p w14:paraId="4DD07CD3">
            <w:pPr>
              <w:widowControl w:val="0"/>
              <w:spacing w:before="83" w:line="188" w:lineRule="auto"/>
              <w:jc w:val="center"/>
              <w:rPr>
                <w:rFonts w:hint="default" w:ascii="Times New Roman" w:hAnsi="Times New Roman" w:eastAsia="宋体" w:cs="宋体"/>
                <w:snapToGrid w:val="0"/>
                <w:color w:val="auto"/>
                <w:kern w:val="0"/>
                <w:sz w:val="21"/>
                <w:szCs w:val="24"/>
                <w:lang w:val="en-US" w:eastAsia="zh-CN" w:bidi="ar-SA"/>
              </w:rPr>
            </w:pPr>
            <w:r>
              <w:rPr>
                <w:rFonts w:hint="eastAsia" w:ascii="Times New Roman" w:hAnsi="Times New Roman" w:eastAsia="宋体" w:cs="宋体"/>
                <w:snapToGrid w:val="0"/>
                <w:color w:val="auto"/>
                <w:kern w:val="0"/>
                <w:sz w:val="21"/>
                <w:szCs w:val="24"/>
                <w:lang w:val="en-US" w:eastAsia="zh-CN" w:bidi="ar-SA"/>
              </w:rPr>
              <w:t>4215.80</w:t>
            </w:r>
          </w:p>
        </w:tc>
      </w:tr>
      <w:tr w14:paraId="24762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5899E165">
            <w:pPr>
              <w:pStyle w:val="2"/>
              <w:jc w:val="center"/>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24</w:t>
            </w:r>
          </w:p>
        </w:tc>
        <w:tc>
          <w:tcPr>
            <w:tcW w:w="3690" w:type="dxa"/>
            <w:gridSpan w:val="4"/>
            <w:shd w:val="clear" w:color="auto" w:fill="auto"/>
            <w:vAlign w:val="top"/>
          </w:tcPr>
          <w:p w14:paraId="62671B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4"/>
                <w:lang w:val="en-US" w:eastAsia="zh-CN" w:bidi="ar-SA"/>
              </w:rPr>
            </w:pPr>
            <w:r>
              <w:rPr>
                <w:rFonts w:ascii="Times New Roman" w:hAnsi="Times New Roman" w:eastAsia="宋体" w:cs="宋体"/>
                <w:color w:val="auto"/>
                <w:spacing w:val="-3"/>
                <w:sz w:val="21"/>
                <w:szCs w:val="24"/>
              </w:rPr>
              <w:t>盈亏平衡点</w:t>
            </w:r>
          </w:p>
        </w:tc>
        <w:tc>
          <w:tcPr>
            <w:tcW w:w="1485" w:type="dxa"/>
            <w:shd w:val="clear" w:color="auto" w:fill="auto"/>
            <w:vAlign w:val="top"/>
          </w:tcPr>
          <w:p w14:paraId="1AACDE98">
            <w:pPr>
              <w:widowControl w:val="0"/>
              <w:jc w:val="center"/>
              <w:rPr>
                <w:rFonts w:hint="default"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snapToGrid w:val="0"/>
                <w:color w:val="auto"/>
                <w:kern w:val="0"/>
                <w:sz w:val="21"/>
                <w:szCs w:val="21"/>
                <w:lang w:val="en-US" w:eastAsia="zh-CN" w:bidi="ar-SA"/>
              </w:rPr>
              <w:t>%</w:t>
            </w:r>
          </w:p>
        </w:tc>
        <w:tc>
          <w:tcPr>
            <w:tcW w:w="2401" w:type="dxa"/>
            <w:shd w:val="clear" w:color="auto" w:fill="auto"/>
            <w:vAlign w:val="top"/>
          </w:tcPr>
          <w:p w14:paraId="5E7DD55E">
            <w:pPr>
              <w:widowControl w:val="0"/>
              <w:spacing w:before="82" w:line="188" w:lineRule="auto"/>
              <w:jc w:val="center"/>
              <w:rPr>
                <w:rFonts w:hint="default" w:ascii="Times New Roman" w:hAnsi="Times New Roman" w:eastAsia="宋体" w:cs="宋体"/>
                <w:snapToGrid w:val="0"/>
                <w:color w:val="auto"/>
                <w:kern w:val="0"/>
                <w:sz w:val="21"/>
                <w:szCs w:val="24"/>
                <w:lang w:val="en-US" w:eastAsia="zh-CN" w:bidi="ar-SA"/>
              </w:rPr>
            </w:pPr>
            <w:r>
              <w:rPr>
                <w:rFonts w:hint="eastAsia" w:ascii="Times New Roman" w:hAnsi="Times New Roman" w:eastAsia="宋体" w:cs="宋体"/>
                <w:snapToGrid w:val="0"/>
                <w:color w:val="auto"/>
                <w:kern w:val="0"/>
                <w:sz w:val="21"/>
                <w:szCs w:val="24"/>
                <w:lang w:val="en-US" w:eastAsia="zh-CN" w:bidi="ar-SA"/>
              </w:rPr>
              <w:t>45.70</w:t>
            </w:r>
          </w:p>
        </w:tc>
      </w:tr>
    </w:tbl>
    <w:p w14:paraId="63F0496E">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1.4.2社会效益</w:t>
      </w:r>
    </w:p>
    <w:p w14:paraId="39812DC2">
      <w:pPr>
        <w:pStyle w:val="2"/>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本项目建成后，可增加当地农民收入，解决部分人员就业问题，促进当地文化、教育、卫生事业的发展；改善和加快项目建设区域的基础设施、社会服务体系等的建设，其社会效益主要表现在以下几个方面：</w:t>
      </w:r>
    </w:p>
    <w:p w14:paraId="5BC7F4AC">
      <w:pPr>
        <w:pStyle w:val="2"/>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（1）项目建立以市场为导向，企业为龙头，形成马铃薯收购、淀粉加工、销售一条龙的企业发展格局，有利于发挥地区特色产业优势，将大大促进地区经济向产业化、高效化、规模化方向发展。</w:t>
      </w:r>
    </w:p>
    <w:p w14:paraId="6FA52456">
      <w:pPr>
        <w:pStyle w:val="2"/>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（2）通过实行订单农业，对扶持带动农户发展种植业、促进农民增收、农业增效起到重要作用。</w:t>
      </w:r>
    </w:p>
    <w:p w14:paraId="59F3C2B3">
      <w:pPr>
        <w:pStyle w:val="2"/>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（3）本项目与种植、加工、运输、销售等产业密切相关，既能巩固和提高农产品生产地位，又能提升加工业技术效益水平，还能带动第三产业扩大规模，带动相关产业扩张。</w:t>
      </w:r>
    </w:p>
    <w:p w14:paraId="2B059238">
      <w:pPr>
        <w:pStyle w:val="2"/>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（4）该项目产生的污染物在设计时已考虑到处理方案，不会对环境造成污染，破坏生态平衡。</w:t>
      </w:r>
    </w:p>
    <w:p w14:paraId="025BDF50">
      <w:pPr>
        <w:pStyle w:val="2"/>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（5）项目的实施，正常年所得税</w:t>
      </w:r>
      <w:r>
        <w:rPr>
          <w:rFonts w:hint="eastAsia" w:ascii="Times New Roman" w:hAnsi="Times New Roman" w:eastAsia="宋体" w:cs="宋体"/>
          <w:color w:val="auto"/>
          <w:highlight w:val="none"/>
          <w:lang w:val="en-US" w:eastAsia="zh-CN"/>
        </w:rPr>
        <w:t>188.38万元，</w:t>
      </w:r>
      <w:r>
        <w:rPr>
          <w:rFonts w:hint="eastAsia" w:ascii="Times New Roman" w:hAnsi="Times New Roman" w:eastAsia="宋体" w:cs="宋体"/>
          <w:color w:val="auto"/>
          <w:lang w:val="en-US" w:eastAsia="zh-CN"/>
        </w:rPr>
        <w:t>并能增加到20个就业岗位。同时，项目的实施可以有效促进高新技术的应用及农业增产，惠及当地农户，提高农民收入，带动了当地村民的经济收入，增加了村集体经济收入。为实施乡村振兴打下坚实基础。既增强了党和政府在人民群众心目中的凝聚力、向心力，同时又改善了农民的生产生活条件，更有利于保持社会安定团结，有利于共建社会主义和谐社会，有利于建成小康社会。</w:t>
      </w:r>
    </w:p>
    <w:p w14:paraId="359DF1AF">
      <w:pPr>
        <w:pStyle w:val="2"/>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总之，本项目的建设，对该地区社会、经济和文化的发展会有较大的促进作用，项目与所在地有较强的互适性，社会可行性良好。</w:t>
      </w:r>
    </w:p>
    <w:p w14:paraId="4845C217">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9" w:name="_Toc8292"/>
      <w:r>
        <w:rPr>
          <w:rFonts w:hint="eastAsia" w:ascii="Times New Roman" w:hAnsi="Times New Roman" w:eastAsia="宋体" w:cs="宋体"/>
          <w:b/>
          <w:bCs/>
          <w:color w:val="auto"/>
          <w:sz w:val="28"/>
          <w:szCs w:val="28"/>
          <w:lang w:val="en-US" w:eastAsia="zh-CN"/>
        </w:rPr>
        <w:t>1.5、实施方案编制依据</w:t>
      </w:r>
      <w:bookmarkEnd w:id="9"/>
    </w:p>
    <w:p w14:paraId="62ADA71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Times New Roman" w:hAnsi="Times New Roman" w:eastAsia="宋体" w:cs="宋体"/>
          <w:color w:val="auto"/>
          <w:sz w:val="24"/>
          <w:szCs w:val="24"/>
        </w:rPr>
      </w:pPr>
      <w:r>
        <w:rPr>
          <w:rFonts w:hint="eastAsia" w:ascii="Times New Roman" w:hAnsi="Times New Roman" w:eastAsia="宋体" w:cs="宋体"/>
          <w:color w:val="auto"/>
          <w:spacing w:val="-4"/>
          <w:sz w:val="24"/>
          <w:szCs w:val="24"/>
          <w:lang w:eastAsia="zh-CN"/>
        </w:rPr>
        <w:t>（</w:t>
      </w:r>
      <w:r>
        <w:rPr>
          <w:rFonts w:hint="eastAsia" w:ascii="Times New Roman" w:hAnsi="Times New Roman" w:eastAsia="宋体" w:cs="宋体"/>
          <w:color w:val="auto"/>
          <w:spacing w:val="-4"/>
          <w:sz w:val="24"/>
          <w:szCs w:val="24"/>
          <w:lang w:val="en-US" w:eastAsia="zh-CN"/>
        </w:rPr>
        <w:t>1</w:t>
      </w:r>
      <w:r>
        <w:rPr>
          <w:rFonts w:hint="eastAsia" w:ascii="Times New Roman" w:hAnsi="Times New Roman" w:eastAsia="宋体" w:cs="宋体"/>
          <w:color w:val="auto"/>
          <w:spacing w:val="-4"/>
          <w:sz w:val="24"/>
          <w:szCs w:val="24"/>
          <w:lang w:eastAsia="zh-CN"/>
        </w:rPr>
        <w:t>）</w:t>
      </w:r>
      <w:r>
        <w:rPr>
          <w:rFonts w:ascii="Times New Roman" w:hAnsi="Times New Roman" w:eastAsia="宋体" w:cs="宋体"/>
          <w:color w:val="auto"/>
          <w:spacing w:val="-4"/>
          <w:sz w:val="24"/>
          <w:szCs w:val="24"/>
        </w:rPr>
        <w:t>《中华人民共和国国民经济和社会发展第十四个五年规划和</w:t>
      </w:r>
      <w:r>
        <w:rPr>
          <w:rFonts w:ascii="Times New Roman" w:hAnsi="Times New Roman" w:eastAsia="宋体" w:cs="宋体"/>
          <w:color w:val="auto"/>
          <w:spacing w:val="-1"/>
          <w:sz w:val="24"/>
          <w:szCs w:val="24"/>
        </w:rPr>
        <w:t>2035年远景目标纲要》；</w:t>
      </w:r>
    </w:p>
    <w:p w14:paraId="0114331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Times New Roman" w:hAnsi="Times New Roman" w:eastAsia="宋体" w:cs="宋体"/>
          <w:color w:val="auto"/>
          <w:sz w:val="24"/>
          <w:szCs w:val="24"/>
        </w:rPr>
      </w:pPr>
      <w:r>
        <w:rPr>
          <w:rFonts w:hint="eastAsia" w:ascii="Times New Roman" w:hAnsi="Times New Roman" w:eastAsia="宋体" w:cs="宋体"/>
          <w:color w:val="auto"/>
          <w:spacing w:val="-4"/>
          <w:sz w:val="24"/>
          <w:szCs w:val="24"/>
          <w:lang w:eastAsia="zh-CN"/>
        </w:rPr>
        <w:t>（</w:t>
      </w:r>
      <w:r>
        <w:rPr>
          <w:rFonts w:hint="eastAsia" w:ascii="Times New Roman" w:hAnsi="Times New Roman" w:eastAsia="宋体" w:cs="宋体"/>
          <w:color w:val="auto"/>
          <w:spacing w:val="-4"/>
          <w:sz w:val="24"/>
          <w:szCs w:val="24"/>
          <w:lang w:val="en-US" w:eastAsia="zh-CN"/>
        </w:rPr>
        <w:t>2</w:t>
      </w:r>
      <w:r>
        <w:rPr>
          <w:rFonts w:hint="eastAsia" w:ascii="Times New Roman" w:hAnsi="Times New Roman" w:eastAsia="宋体" w:cs="宋体"/>
          <w:color w:val="auto"/>
          <w:spacing w:val="-4"/>
          <w:sz w:val="24"/>
          <w:szCs w:val="24"/>
          <w:lang w:eastAsia="zh-CN"/>
        </w:rPr>
        <w:t>）</w:t>
      </w:r>
      <w:r>
        <w:rPr>
          <w:rFonts w:ascii="Times New Roman" w:hAnsi="Times New Roman" w:eastAsia="宋体" w:cs="宋体"/>
          <w:color w:val="auto"/>
          <w:spacing w:val="-17"/>
          <w:sz w:val="24"/>
          <w:szCs w:val="24"/>
        </w:rPr>
        <w:t>《全国乡村产业发展规划（2020—2025年）》（农产发〔2020〕</w:t>
      </w:r>
      <w:r>
        <w:rPr>
          <w:rFonts w:ascii="Times New Roman" w:hAnsi="Times New Roman" w:eastAsia="宋体" w:cs="宋体"/>
          <w:color w:val="auto"/>
          <w:spacing w:val="-11"/>
          <w:sz w:val="24"/>
          <w:szCs w:val="24"/>
        </w:rPr>
        <w:t>4号</w:t>
      </w:r>
      <w:r>
        <w:rPr>
          <w:rFonts w:ascii="Times New Roman" w:hAnsi="Times New Roman" w:eastAsia="宋体" w:cs="宋体"/>
          <w:color w:val="auto"/>
          <w:sz w:val="24"/>
          <w:szCs w:val="24"/>
        </w:rPr>
        <w:t>）；</w:t>
      </w:r>
    </w:p>
    <w:p w14:paraId="56F82DD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Times New Roman" w:hAnsi="Times New Roman" w:eastAsia="宋体" w:cs="宋体"/>
          <w:color w:val="auto"/>
          <w:sz w:val="24"/>
          <w:szCs w:val="24"/>
        </w:rPr>
      </w:pPr>
      <w:r>
        <w:rPr>
          <w:rFonts w:hint="eastAsia" w:ascii="Times New Roman" w:hAnsi="Times New Roman" w:eastAsia="宋体" w:cs="宋体"/>
          <w:color w:val="auto"/>
          <w:spacing w:val="-4"/>
          <w:sz w:val="24"/>
          <w:szCs w:val="24"/>
          <w:lang w:eastAsia="zh-CN"/>
        </w:rPr>
        <w:t>（</w:t>
      </w:r>
      <w:r>
        <w:rPr>
          <w:rFonts w:hint="eastAsia" w:ascii="Times New Roman" w:hAnsi="Times New Roman" w:eastAsia="宋体" w:cs="宋体"/>
          <w:color w:val="auto"/>
          <w:spacing w:val="-4"/>
          <w:sz w:val="24"/>
          <w:szCs w:val="24"/>
          <w:lang w:val="en-US" w:eastAsia="zh-CN"/>
        </w:rPr>
        <w:t>3</w:t>
      </w:r>
      <w:r>
        <w:rPr>
          <w:rFonts w:hint="eastAsia" w:ascii="Times New Roman" w:hAnsi="Times New Roman" w:eastAsia="宋体" w:cs="宋体"/>
          <w:color w:val="auto"/>
          <w:spacing w:val="-4"/>
          <w:sz w:val="24"/>
          <w:szCs w:val="24"/>
          <w:lang w:eastAsia="zh-CN"/>
        </w:rPr>
        <w:t>）</w:t>
      </w:r>
      <w:r>
        <w:rPr>
          <w:rFonts w:ascii="Times New Roman" w:hAnsi="Times New Roman" w:eastAsia="宋体" w:cs="宋体"/>
          <w:color w:val="auto"/>
          <w:spacing w:val="-1"/>
          <w:sz w:val="24"/>
          <w:szCs w:val="24"/>
        </w:rPr>
        <w:t>《“十四五”全国农业机械化发展规划》；</w:t>
      </w:r>
    </w:p>
    <w:p w14:paraId="6812FEA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Times New Roman" w:hAnsi="Times New Roman" w:eastAsia="宋体" w:cs="宋体"/>
          <w:color w:val="auto"/>
          <w:sz w:val="24"/>
          <w:szCs w:val="24"/>
        </w:rPr>
      </w:pPr>
      <w:r>
        <w:rPr>
          <w:rFonts w:hint="eastAsia" w:ascii="Times New Roman" w:hAnsi="Times New Roman" w:eastAsia="宋体" w:cs="宋体"/>
          <w:color w:val="auto"/>
          <w:spacing w:val="-4"/>
          <w:sz w:val="24"/>
          <w:szCs w:val="24"/>
          <w:lang w:eastAsia="zh-CN"/>
        </w:rPr>
        <w:t>（</w:t>
      </w:r>
      <w:r>
        <w:rPr>
          <w:rFonts w:hint="eastAsia" w:ascii="Times New Roman" w:hAnsi="Times New Roman" w:eastAsia="宋体" w:cs="宋体"/>
          <w:color w:val="auto"/>
          <w:spacing w:val="-4"/>
          <w:sz w:val="24"/>
          <w:szCs w:val="24"/>
          <w:lang w:val="en-US" w:eastAsia="zh-CN"/>
        </w:rPr>
        <w:t>4</w:t>
      </w:r>
      <w:r>
        <w:rPr>
          <w:rFonts w:hint="eastAsia" w:ascii="Times New Roman" w:hAnsi="Times New Roman" w:eastAsia="宋体" w:cs="宋体"/>
          <w:color w:val="auto"/>
          <w:spacing w:val="-4"/>
          <w:sz w:val="24"/>
          <w:szCs w:val="24"/>
          <w:lang w:eastAsia="zh-CN"/>
        </w:rPr>
        <w:t>）</w:t>
      </w:r>
      <w:r>
        <w:rPr>
          <w:rFonts w:ascii="Times New Roman" w:hAnsi="Times New Roman" w:eastAsia="宋体" w:cs="宋体"/>
          <w:color w:val="auto"/>
          <w:spacing w:val="-3"/>
          <w:sz w:val="24"/>
          <w:szCs w:val="24"/>
        </w:rPr>
        <w:t>《</w:t>
      </w:r>
      <w:r>
        <w:rPr>
          <w:rFonts w:hint="eastAsia" w:ascii="Times New Roman" w:hAnsi="Times New Roman" w:eastAsia="宋体" w:cs="宋体"/>
          <w:color w:val="auto"/>
          <w:spacing w:val="-3"/>
          <w:sz w:val="24"/>
          <w:szCs w:val="24"/>
          <w:lang w:eastAsia="zh-CN"/>
        </w:rPr>
        <w:t>中共中央、国务院</w:t>
      </w:r>
      <w:r>
        <w:rPr>
          <w:rFonts w:ascii="Times New Roman" w:hAnsi="Times New Roman" w:eastAsia="宋体" w:cs="宋体"/>
          <w:color w:val="auto"/>
          <w:spacing w:val="-3"/>
          <w:sz w:val="24"/>
          <w:szCs w:val="24"/>
        </w:rPr>
        <w:t>关于加大改革创新力度加快农业现代化建设的若干意见》</w:t>
      </w:r>
    </w:p>
    <w:p w14:paraId="625AD79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Times New Roman" w:hAnsi="Times New Roman" w:eastAsia="宋体" w:cs="宋体"/>
          <w:color w:val="auto"/>
          <w:sz w:val="24"/>
          <w:szCs w:val="24"/>
        </w:rPr>
      </w:pPr>
      <w:r>
        <w:rPr>
          <w:rFonts w:hint="eastAsia" w:ascii="Times New Roman" w:hAnsi="Times New Roman" w:eastAsia="宋体" w:cs="宋体"/>
          <w:color w:val="auto"/>
          <w:spacing w:val="-4"/>
          <w:sz w:val="24"/>
          <w:szCs w:val="24"/>
          <w:lang w:eastAsia="zh-CN"/>
        </w:rPr>
        <w:t>（</w:t>
      </w:r>
      <w:r>
        <w:rPr>
          <w:rFonts w:hint="eastAsia" w:ascii="Times New Roman" w:hAnsi="Times New Roman" w:eastAsia="宋体" w:cs="宋体"/>
          <w:color w:val="auto"/>
          <w:spacing w:val="-4"/>
          <w:sz w:val="24"/>
          <w:szCs w:val="24"/>
          <w:lang w:val="en-US" w:eastAsia="zh-CN"/>
        </w:rPr>
        <w:t>5</w:t>
      </w:r>
      <w:r>
        <w:rPr>
          <w:rFonts w:hint="eastAsia" w:ascii="Times New Roman" w:hAnsi="Times New Roman" w:eastAsia="宋体" w:cs="宋体"/>
          <w:color w:val="auto"/>
          <w:spacing w:val="-4"/>
          <w:sz w:val="24"/>
          <w:szCs w:val="24"/>
          <w:lang w:eastAsia="zh-CN"/>
        </w:rPr>
        <w:t>）</w:t>
      </w:r>
      <w:r>
        <w:rPr>
          <w:rFonts w:ascii="Times New Roman" w:hAnsi="Times New Roman" w:eastAsia="宋体" w:cs="宋体"/>
          <w:color w:val="auto"/>
          <w:spacing w:val="-10"/>
          <w:sz w:val="24"/>
          <w:szCs w:val="24"/>
        </w:rPr>
        <w:t>《关于加大改革创新力度加快农业现代化建设的若干意见》；</w:t>
      </w:r>
    </w:p>
    <w:p w14:paraId="51F09E2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Times New Roman" w:hAnsi="Times New Roman" w:eastAsia="宋体" w:cs="宋体"/>
          <w:color w:val="auto"/>
          <w:sz w:val="24"/>
          <w:szCs w:val="24"/>
        </w:rPr>
      </w:pPr>
      <w:r>
        <w:rPr>
          <w:rFonts w:hint="eastAsia" w:ascii="Times New Roman" w:hAnsi="Times New Roman" w:eastAsia="宋体" w:cs="宋体"/>
          <w:color w:val="auto"/>
          <w:spacing w:val="-4"/>
          <w:sz w:val="24"/>
          <w:szCs w:val="24"/>
          <w:lang w:eastAsia="zh-CN"/>
        </w:rPr>
        <w:t>（</w:t>
      </w:r>
      <w:r>
        <w:rPr>
          <w:rFonts w:hint="eastAsia" w:ascii="Times New Roman" w:hAnsi="Times New Roman" w:eastAsia="宋体" w:cs="宋体"/>
          <w:color w:val="auto"/>
          <w:spacing w:val="-4"/>
          <w:sz w:val="24"/>
          <w:szCs w:val="24"/>
          <w:lang w:val="en-US" w:eastAsia="zh-CN"/>
        </w:rPr>
        <w:t>6</w:t>
      </w:r>
      <w:r>
        <w:rPr>
          <w:rFonts w:hint="eastAsia" w:ascii="Times New Roman" w:hAnsi="Times New Roman" w:eastAsia="宋体" w:cs="宋体"/>
          <w:color w:val="auto"/>
          <w:spacing w:val="-4"/>
          <w:sz w:val="24"/>
          <w:szCs w:val="24"/>
          <w:lang w:eastAsia="zh-CN"/>
        </w:rPr>
        <w:t>）</w:t>
      </w:r>
      <w:r>
        <w:rPr>
          <w:rFonts w:ascii="Times New Roman" w:hAnsi="Times New Roman" w:eastAsia="宋体" w:cs="宋体"/>
          <w:color w:val="auto"/>
          <w:spacing w:val="-1"/>
          <w:sz w:val="24"/>
          <w:szCs w:val="24"/>
        </w:rPr>
        <w:t>《甘肃省“十四五”推进农业农村现代化规划》；</w:t>
      </w:r>
    </w:p>
    <w:p w14:paraId="2DBD2AA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Times New Roman" w:hAnsi="Times New Roman" w:eastAsia="宋体" w:cs="宋体"/>
          <w:color w:val="auto"/>
          <w:spacing w:val="-2"/>
          <w:sz w:val="24"/>
          <w:szCs w:val="24"/>
        </w:rPr>
      </w:pPr>
      <w:r>
        <w:rPr>
          <w:rFonts w:hint="eastAsia" w:ascii="Times New Roman" w:hAnsi="Times New Roman" w:eastAsia="宋体" w:cs="宋体"/>
          <w:color w:val="auto"/>
          <w:spacing w:val="-4"/>
          <w:sz w:val="24"/>
          <w:szCs w:val="24"/>
          <w:lang w:eastAsia="zh-CN"/>
        </w:rPr>
        <w:t>（</w:t>
      </w:r>
      <w:r>
        <w:rPr>
          <w:rFonts w:hint="eastAsia" w:ascii="Times New Roman" w:hAnsi="Times New Roman" w:eastAsia="宋体" w:cs="宋体"/>
          <w:color w:val="auto"/>
          <w:spacing w:val="-4"/>
          <w:sz w:val="24"/>
          <w:szCs w:val="24"/>
          <w:lang w:val="en-US" w:eastAsia="zh-CN"/>
        </w:rPr>
        <w:t>7</w:t>
      </w:r>
      <w:r>
        <w:rPr>
          <w:rFonts w:hint="eastAsia" w:ascii="Times New Roman" w:hAnsi="Times New Roman" w:eastAsia="宋体" w:cs="宋体"/>
          <w:color w:val="auto"/>
          <w:spacing w:val="-4"/>
          <w:sz w:val="24"/>
          <w:szCs w:val="24"/>
          <w:lang w:eastAsia="zh-CN"/>
        </w:rPr>
        <w:t>）</w:t>
      </w:r>
      <w:r>
        <w:rPr>
          <w:rFonts w:ascii="Times New Roman" w:hAnsi="Times New Roman" w:eastAsia="宋体" w:cs="宋体"/>
          <w:color w:val="auto"/>
          <w:spacing w:val="-3"/>
          <w:sz w:val="24"/>
          <w:szCs w:val="24"/>
        </w:rPr>
        <w:t>《甘肃省国民经济和社会发展第十四个五年规划和二〇三五</w:t>
      </w:r>
      <w:r>
        <w:rPr>
          <w:rFonts w:ascii="Times New Roman" w:hAnsi="Times New Roman" w:eastAsia="宋体" w:cs="宋体"/>
          <w:color w:val="auto"/>
          <w:spacing w:val="-2"/>
          <w:sz w:val="24"/>
          <w:szCs w:val="24"/>
        </w:rPr>
        <w:t>年远景目标纲要》；</w:t>
      </w:r>
    </w:p>
    <w:p w14:paraId="076925A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Times New Roman" w:hAnsi="Times New Roman" w:eastAsia="宋体" w:cs="宋体"/>
          <w:color w:val="auto"/>
          <w:sz w:val="24"/>
          <w:szCs w:val="24"/>
        </w:rPr>
      </w:pPr>
      <w:r>
        <w:rPr>
          <w:rFonts w:hint="eastAsia" w:ascii="Times New Roman" w:hAnsi="Times New Roman" w:eastAsia="宋体" w:cs="宋体"/>
          <w:color w:val="auto"/>
          <w:spacing w:val="-4"/>
          <w:sz w:val="24"/>
          <w:szCs w:val="24"/>
          <w:lang w:eastAsia="zh-CN"/>
        </w:rPr>
        <w:t>（</w:t>
      </w:r>
      <w:r>
        <w:rPr>
          <w:rFonts w:hint="eastAsia" w:ascii="Times New Roman" w:hAnsi="Times New Roman" w:eastAsia="宋体" w:cs="宋体"/>
          <w:color w:val="auto"/>
          <w:spacing w:val="-4"/>
          <w:sz w:val="24"/>
          <w:szCs w:val="24"/>
          <w:lang w:val="en-US" w:eastAsia="zh-CN"/>
        </w:rPr>
        <w:t>8</w:t>
      </w:r>
      <w:r>
        <w:rPr>
          <w:rFonts w:hint="eastAsia" w:ascii="Times New Roman" w:hAnsi="Times New Roman" w:eastAsia="宋体" w:cs="宋体"/>
          <w:color w:val="auto"/>
          <w:spacing w:val="-4"/>
          <w:sz w:val="24"/>
          <w:szCs w:val="24"/>
          <w:lang w:eastAsia="zh-CN"/>
        </w:rPr>
        <w:t>）</w:t>
      </w:r>
      <w:r>
        <w:rPr>
          <w:rFonts w:ascii="Times New Roman" w:hAnsi="Times New Roman" w:eastAsia="宋体" w:cs="宋体"/>
          <w:color w:val="auto"/>
          <w:spacing w:val="2"/>
          <w:sz w:val="24"/>
          <w:szCs w:val="24"/>
        </w:rPr>
        <w:t>《中共甘肃省委甘肃省人民政府关于做好2022年“三农”重</w:t>
      </w:r>
      <w:r>
        <w:rPr>
          <w:rFonts w:ascii="Times New Roman" w:hAnsi="Times New Roman" w:eastAsia="宋体" w:cs="宋体"/>
          <w:color w:val="auto"/>
          <w:spacing w:val="-2"/>
          <w:sz w:val="24"/>
          <w:szCs w:val="24"/>
        </w:rPr>
        <w:t>点工作全面推进乡村振兴的意见》；</w:t>
      </w:r>
    </w:p>
    <w:p w14:paraId="6205303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Times New Roman" w:hAnsi="Times New Roman" w:eastAsia="宋体" w:cs="宋体"/>
          <w:color w:val="auto"/>
          <w:sz w:val="24"/>
          <w:szCs w:val="24"/>
        </w:rPr>
      </w:pPr>
      <w:r>
        <w:rPr>
          <w:rFonts w:hint="eastAsia" w:ascii="Times New Roman" w:hAnsi="Times New Roman" w:eastAsia="宋体" w:cs="宋体"/>
          <w:color w:val="auto"/>
          <w:spacing w:val="-4"/>
          <w:sz w:val="24"/>
          <w:szCs w:val="24"/>
          <w:lang w:eastAsia="zh-CN"/>
        </w:rPr>
        <w:t>（</w:t>
      </w:r>
      <w:r>
        <w:rPr>
          <w:rFonts w:hint="eastAsia" w:ascii="Times New Roman" w:hAnsi="Times New Roman" w:eastAsia="宋体" w:cs="宋体"/>
          <w:color w:val="auto"/>
          <w:spacing w:val="-4"/>
          <w:sz w:val="24"/>
          <w:szCs w:val="24"/>
          <w:lang w:val="en-US" w:eastAsia="zh-CN"/>
        </w:rPr>
        <w:t>9</w:t>
      </w:r>
      <w:r>
        <w:rPr>
          <w:rFonts w:hint="eastAsia" w:ascii="Times New Roman" w:hAnsi="Times New Roman" w:eastAsia="宋体" w:cs="宋体"/>
          <w:color w:val="auto"/>
          <w:spacing w:val="-4"/>
          <w:sz w:val="24"/>
          <w:szCs w:val="24"/>
          <w:lang w:eastAsia="zh-CN"/>
        </w:rPr>
        <w:t>）</w:t>
      </w:r>
      <w:r>
        <w:rPr>
          <w:rFonts w:ascii="Times New Roman" w:hAnsi="Times New Roman" w:eastAsia="宋体" w:cs="宋体"/>
          <w:color w:val="auto"/>
          <w:spacing w:val="-3"/>
          <w:sz w:val="24"/>
          <w:szCs w:val="24"/>
        </w:rPr>
        <w:t>《民乐县国民经济和社会发展第十四个五年规划和二〇三五</w:t>
      </w:r>
      <w:r>
        <w:rPr>
          <w:rFonts w:ascii="Times New Roman" w:hAnsi="Times New Roman" w:eastAsia="宋体" w:cs="宋体"/>
          <w:color w:val="auto"/>
          <w:spacing w:val="-2"/>
          <w:sz w:val="24"/>
          <w:szCs w:val="24"/>
        </w:rPr>
        <w:t>年远景目标》；</w:t>
      </w:r>
    </w:p>
    <w:p w14:paraId="706AB26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Times New Roman" w:hAnsi="Times New Roman" w:eastAsia="宋体" w:cs="宋体"/>
          <w:color w:val="auto"/>
          <w:sz w:val="24"/>
          <w:szCs w:val="24"/>
        </w:rPr>
      </w:pPr>
      <w:r>
        <w:rPr>
          <w:rFonts w:hint="eastAsia" w:ascii="Times New Roman" w:hAnsi="Times New Roman" w:eastAsia="宋体" w:cs="宋体"/>
          <w:color w:val="auto"/>
          <w:spacing w:val="-4"/>
          <w:sz w:val="24"/>
          <w:szCs w:val="24"/>
          <w:lang w:eastAsia="zh-CN"/>
        </w:rPr>
        <w:t>（</w:t>
      </w:r>
      <w:r>
        <w:rPr>
          <w:rFonts w:hint="eastAsia" w:ascii="Times New Roman" w:hAnsi="Times New Roman" w:eastAsia="宋体" w:cs="宋体"/>
          <w:color w:val="auto"/>
          <w:spacing w:val="-4"/>
          <w:sz w:val="24"/>
          <w:szCs w:val="24"/>
          <w:lang w:val="en-US" w:eastAsia="zh-CN"/>
        </w:rPr>
        <w:t>10</w:t>
      </w:r>
      <w:r>
        <w:rPr>
          <w:rFonts w:hint="eastAsia" w:ascii="Times New Roman" w:hAnsi="Times New Roman" w:eastAsia="宋体" w:cs="宋体"/>
          <w:color w:val="auto"/>
          <w:spacing w:val="-4"/>
          <w:sz w:val="24"/>
          <w:szCs w:val="24"/>
          <w:lang w:eastAsia="zh-CN"/>
        </w:rPr>
        <w:t>）</w:t>
      </w:r>
      <w:r>
        <w:rPr>
          <w:rFonts w:ascii="Times New Roman" w:hAnsi="Times New Roman" w:eastAsia="宋体" w:cs="宋体"/>
          <w:color w:val="auto"/>
          <w:spacing w:val="1"/>
          <w:sz w:val="24"/>
          <w:szCs w:val="24"/>
        </w:rPr>
        <w:t>《甘肃省农业农村厅关于印发全省小麦绿色化玉米循环化</w:t>
      </w:r>
      <w:r>
        <w:rPr>
          <w:rFonts w:ascii="Times New Roman" w:hAnsi="Times New Roman" w:eastAsia="宋体" w:cs="宋体"/>
          <w:color w:val="auto"/>
          <w:sz w:val="24"/>
          <w:szCs w:val="24"/>
        </w:rPr>
        <w:t>和马铃薯产业化发展实施方案的通知》（甘</w:t>
      </w:r>
      <w:r>
        <w:rPr>
          <w:rFonts w:ascii="Times New Roman" w:hAnsi="Times New Roman" w:eastAsia="宋体" w:cs="宋体"/>
          <w:color w:val="auto"/>
          <w:spacing w:val="-1"/>
          <w:sz w:val="24"/>
          <w:szCs w:val="24"/>
        </w:rPr>
        <w:t>农农发〔2023〕6号</w:t>
      </w:r>
      <w:r>
        <w:rPr>
          <w:rFonts w:ascii="Times New Roman" w:hAnsi="Times New Roman" w:eastAsia="宋体" w:cs="宋体"/>
          <w:color w:val="auto"/>
          <w:spacing w:val="-34"/>
          <w:sz w:val="24"/>
          <w:szCs w:val="24"/>
        </w:rPr>
        <w:t>）；</w:t>
      </w:r>
    </w:p>
    <w:p w14:paraId="14FFB84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Times New Roman" w:hAnsi="Times New Roman" w:eastAsia="宋体" w:cs="宋体"/>
          <w:color w:val="auto"/>
          <w:sz w:val="24"/>
          <w:szCs w:val="24"/>
        </w:rPr>
      </w:pPr>
      <w:r>
        <w:rPr>
          <w:rFonts w:hint="eastAsia" w:ascii="Times New Roman" w:hAnsi="Times New Roman" w:eastAsia="宋体" w:cs="宋体"/>
          <w:color w:val="auto"/>
          <w:spacing w:val="-4"/>
          <w:sz w:val="24"/>
          <w:szCs w:val="24"/>
          <w:lang w:eastAsia="zh-CN"/>
        </w:rPr>
        <w:t>（</w:t>
      </w:r>
      <w:r>
        <w:rPr>
          <w:rFonts w:hint="eastAsia" w:ascii="Times New Roman" w:hAnsi="Times New Roman" w:eastAsia="宋体" w:cs="宋体"/>
          <w:color w:val="auto"/>
          <w:spacing w:val="-4"/>
          <w:sz w:val="24"/>
          <w:szCs w:val="24"/>
          <w:lang w:val="en-US" w:eastAsia="zh-CN"/>
        </w:rPr>
        <w:t>11</w:t>
      </w:r>
      <w:r>
        <w:rPr>
          <w:rFonts w:hint="eastAsia" w:ascii="Times New Roman" w:hAnsi="Times New Roman" w:eastAsia="宋体" w:cs="宋体"/>
          <w:color w:val="auto"/>
          <w:spacing w:val="-4"/>
          <w:sz w:val="24"/>
          <w:szCs w:val="24"/>
          <w:lang w:eastAsia="zh-CN"/>
        </w:rPr>
        <w:t>）</w:t>
      </w:r>
      <w:r>
        <w:rPr>
          <w:rFonts w:ascii="Times New Roman" w:hAnsi="Times New Roman" w:eastAsia="宋体" w:cs="宋体"/>
          <w:color w:val="auto"/>
          <w:spacing w:val="1"/>
          <w:sz w:val="24"/>
          <w:szCs w:val="24"/>
        </w:rPr>
        <w:t>《关于坚持农业农村优先发展推动实施乡村振兴战略落地</w:t>
      </w:r>
      <w:r>
        <w:rPr>
          <w:rFonts w:ascii="Times New Roman" w:hAnsi="Times New Roman" w:eastAsia="宋体" w:cs="宋体"/>
          <w:color w:val="auto"/>
          <w:spacing w:val="-2"/>
          <w:sz w:val="24"/>
          <w:szCs w:val="24"/>
        </w:rPr>
        <w:t>落实的意见》；</w:t>
      </w:r>
    </w:p>
    <w:p w14:paraId="1E66168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Times New Roman" w:hAnsi="Times New Roman" w:eastAsia="宋体" w:cs="宋体"/>
          <w:color w:val="auto"/>
          <w:sz w:val="24"/>
          <w:szCs w:val="24"/>
        </w:rPr>
      </w:pPr>
      <w:r>
        <w:rPr>
          <w:rFonts w:hint="eastAsia" w:ascii="Times New Roman" w:hAnsi="Times New Roman" w:eastAsia="宋体" w:cs="宋体"/>
          <w:color w:val="auto"/>
          <w:spacing w:val="-4"/>
          <w:sz w:val="24"/>
          <w:szCs w:val="24"/>
          <w:lang w:eastAsia="zh-CN"/>
        </w:rPr>
        <w:t>（</w:t>
      </w:r>
      <w:r>
        <w:rPr>
          <w:rFonts w:hint="eastAsia" w:ascii="Times New Roman" w:hAnsi="Times New Roman" w:eastAsia="宋体" w:cs="宋体"/>
          <w:color w:val="auto"/>
          <w:spacing w:val="-4"/>
          <w:sz w:val="24"/>
          <w:szCs w:val="24"/>
          <w:lang w:val="en-US" w:eastAsia="zh-CN"/>
        </w:rPr>
        <w:t>12</w:t>
      </w:r>
      <w:r>
        <w:rPr>
          <w:rFonts w:hint="eastAsia" w:ascii="Times New Roman" w:hAnsi="Times New Roman" w:eastAsia="宋体" w:cs="宋体"/>
          <w:color w:val="auto"/>
          <w:spacing w:val="-4"/>
          <w:sz w:val="24"/>
          <w:szCs w:val="24"/>
          <w:lang w:eastAsia="zh-CN"/>
        </w:rPr>
        <w:t>）</w:t>
      </w:r>
      <w:r>
        <w:rPr>
          <w:rFonts w:ascii="Times New Roman" w:hAnsi="Times New Roman" w:eastAsia="宋体" w:cs="宋体"/>
          <w:color w:val="auto"/>
          <w:spacing w:val="-8"/>
          <w:sz w:val="24"/>
          <w:szCs w:val="24"/>
        </w:rPr>
        <w:t>《关于下达</w:t>
      </w:r>
      <w:r>
        <w:rPr>
          <w:rFonts w:hint="default" w:ascii="Times New Roman" w:hAnsi="Times New Roman" w:eastAsia="宋体" w:cs="宋体"/>
          <w:color w:val="auto"/>
          <w:spacing w:val="-8"/>
          <w:sz w:val="24"/>
          <w:szCs w:val="24"/>
          <w:lang w:val="en-US" w:eastAsia="zh-CN"/>
        </w:rPr>
        <w:t>2</w:t>
      </w:r>
      <w:r>
        <w:rPr>
          <w:rFonts w:hint="default" w:ascii="Times New Roman" w:hAnsi="Times New Roman" w:eastAsia="宋体" w:cs="宋体"/>
          <w:color w:val="auto"/>
          <w:spacing w:val="-8"/>
          <w:sz w:val="24"/>
          <w:szCs w:val="24"/>
        </w:rPr>
        <w:t>02</w:t>
      </w:r>
      <w:r>
        <w:rPr>
          <w:rFonts w:ascii="Times New Roman" w:hAnsi="Times New Roman" w:eastAsia="宋体" w:cs="宋体"/>
          <w:color w:val="auto"/>
          <w:spacing w:val="-8"/>
          <w:sz w:val="24"/>
          <w:szCs w:val="24"/>
        </w:rPr>
        <w:t>2年省级现代丝路寒旱农业发展资金</w:t>
      </w:r>
      <w:r>
        <w:rPr>
          <w:rFonts w:ascii="Times New Roman" w:hAnsi="Times New Roman" w:eastAsia="宋体" w:cs="宋体"/>
          <w:color w:val="auto"/>
          <w:spacing w:val="-9"/>
          <w:sz w:val="24"/>
          <w:szCs w:val="24"/>
        </w:rPr>
        <w:t>的通知》</w:t>
      </w:r>
      <w:r>
        <w:rPr>
          <w:rFonts w:ascii="Times New Roman" w:hAnsi="Times New Roman" w:eastAsia="宋体" w:cs="宋体"/>
          <w:color w:val="auto"/>
          <w:spacing w:val="-2"/>
          <w:sz w:val="24"/>
          <w:szCs w:val="24"/>
        </w:rPr>
        <w:t>（甘财农〔2022〕75号</w:t>
      </w:r>
      <w:r>
        <w:rPr>
          <w:rFonts w:ascii="Times New Roman" w:hAnsi="Times New Roman" w:eastAsia="宋体" w:cs="宋体"/>
          <w:color w:val="auto"/>
          <w:spacing w:val="4"/>
          <w:sz w:val="24"/>
          <w:szCs w:val="24"/>
        </w:rPr>
        <w:t>）；</w:t>
      </w:r>
    </w:p>
    <w:p w14:paraId="024E70A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Times New Roman" w:hAnsi="Times New Roman" w:eastAsia="宋体" w:cs="宋体"/>
          <w:color w:val="auto"/>
          <w:sz w:val="24"/>
          <w:szCs w:val="24"/>
        </w:rPr>
      </w:pPr>
      <w:r>
        <w:rPr>
          <w:rFonts w:hint="eastAsia" w:ascii="Times New Roman" w:hAnsi="Times New Roman" w:eastAsia="宋体" w:cs="宋体"/>
          <w:color w:val="auto"/>
          <w:spacing w:val="-4"/>
          <w:sz w:val="24"/>
          <w:szCs w:val="24"/>
          <w:lang w:eastAsia="zh-CN"/>
        </w:rPr>
        <w:t>（</w:t>
      </w:r>
      <w:r>
        <w:rPr>
          <w:rFonts w:hint="eastAsia" w:ascii="Times New Roman" w:hAnsi="Times New Roman" w:eastAsia="宋体" w:cs="宋体"/>
          <w:color w:val="auto"/>
          <w:spacing w:val="-4"/>
          <w:sz w:val="24"/>
          <w:szCs w:val="24"/>
          <w:lang w:val="en-US" w:eastAsia="zh-CN"/>
        </w:rPr>
        <w:t>13</w:t>
      </w:r>
      <w:r>
        <w:rPr>
          <w:rFonts w:hint="eastAsia" w:ascii="Times New Roman" w:hAnsi="Times New Roman" w:eastAsia="宋体" w:cs="宋体"/>
          <w:color w:val="auto"/>
          <w:spacing w:val="-4"/>
          <w:sz w:val="24"/>
          <w:szCs w:val="24"/>
          <w:lang w:eastAsia="zh-CN"/>
        </w:rPr>
        <w:t>）</w:t>
      </w:r>
      <w:r>
        <w:rPr>
          <w:rFonts w:ascii="Times New Roman" w:hAnsi="Times New Roman" w:eastAsia="宋体" w:cs="宋体"/>
          <w:color w:val="auto"/>
          <w:spacing w:val="-6"/>
          <w:sz w:val="24"/>
          <w:szCs w:val="24"/>
        </w:rPr>
        <w:t>《2022年现代寒旱特色农业马铃薯产业发展项目实施方案》</w:t>
      </w:r>
      <w:r>
        <w:rPr>
          <w:rFonts w:ascii="Times New Roman" w:hAnsi="Times New Roman" w:eastAsia="宋体" w:cs="宋体"/>
          <w:color w:val="auto"/>
          <w:spacing w:val="-2"/>
          <w:sz w:val="24"/>
          <w:szCs w:val="24"/>
        </w:rPr>
        <w:t>（甘财农发〔2022〕56号</w:t>
      </w:r>
      <w:r>
        <w:rPr>
          <w:rFonts w:ascii="Times New Roman" w:hAnsi="Times New Roman" w:eastAsia="宋体" w:cs="宋体"/>
          <w:color w:val="auto"/>
          <w:spacing w:val="5"/>
          <w:sz w:val="24"/>
          <w:szCs w:val="24"/>
        </w:rPr>
        <w:t>）；</w:t>
      </w:r>
    </w:p>
    <w:p w14:paraId="0F1F50E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ascii="Times New Roman" w:hAnsi="Times New Roman" w:eastAsia="宋体" w:cs="宋体"/>
          <w:color w:val="auto"/>
          <w:sz w:val="24"/>
          <w:szCs w:val="24"/>
        </w:rPr>
      </w:pPr>
      <w:r>
        <w:rPr>
          <w:rFonts w:hint="eastAsia" w:ascii="Times New Roman" w:hAnsi="Times New Roman" w:eastAsia="宋体" w:cs="宋体"/>
          <w:color w:val="auto"/>
          <w:spacing w:val="-4"/>
          <w:sz w:val="24"/>
          <w:szCs w:val="24"/>
          <w:lang w:eastAsia="zh-CN"/>
        </w:rPr>
        <w:t>（</w:t>
      </w:r>
      <w:r>
        <w:rPr>
          <w:rFonts w:hint="eastAsia" w:ascii="Times New Roman" w:hAnsi="Times New Roman" w:eastAsia="宋体" w:cs="宋体"/>
          <w:color w:val="auto"/>
          <w:spacing w:val="-4"/>
          <w:sz w:val="24"/>
          <w:szCs w:val="24"/>
          <w:lang w:val="en-US" w:eastAsia="zh-CN"/>
        </w:rPr>
        <w:t>14</w:t>
      </w:r>
      <w:r>
        <w:rPr>
          <w:rFonts w:hint="eastAsia" w:ascii="Times New Roman" w:hAnsi="Times New Roman" w:eastAsia="宋体" w:cs="宋体"/>
          <w:color w:val="auto"/>
          <w:spacing w:val="-4"/>
          <w:sz w:val="24"/>
          <w:szCs w:val="24"/>
          <w:lang w:eastAsia="zh-CN"/>
        </w:rPr>
        <w:t>）</w:t>
      </w:r>
      <w:r>
        <w:rPr>
          <w:rFonts w:ascii="Times New Roman" w:hAnsi="Times New Roman" w:eastAsia="宋体" w:cs="宋体"/>
          <w:color w:val="auto"/>
          <w:spacing w:val="-2"/>
          <w:sz w:val="24"/>
          <w:szCs w:val="24"/>
        </w:rPr>
        <w:t>《项目建设工程投资估算编制规定》；</w:t>
      </w:r>
    </w:p>
    <w:p w14:paraId="2F91470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color w:val="auto"/>
          <w:spacing w:val="-4"/>
          <w:sz w:val="24"/>
          <w:szCs w:val="24"/>
          <w:lang w:eastAsia="zh-CN"/>
        </w:rPr>
        <w:t>（</w:t>
      </w:r>
      <w:r>
        <w:rPr>
          <w:rFonts w:hint="eastAsia" w:ascii="Times New Roman" w:hAnsi="Times New Roman" w:eastAsia="宋体" w:cs="宋体"/>
          <w:color w:val="auto"/>
          <w:spacing w:val="-4"/>
          <w:sz w:val="24"/>
          <w:szCs w:val="24"/>
          <w:lang w:val="en-US" w:eastAsia="zh-CN"/>
        </w:rPr>
        <w:t>15</w:t>
      </w:r>
      <w:r>
        <w:rPr>
          <w:rFonts w:hint="eastAsia" w:ascii="Times New Roman" w:hAnsi="Times New Roman" w:eastAsia="宋体" w:cs="宋体"/>
          <w:color w:val="auto"/>
          <w:spacing w:val="-4"/>
          <w:sz w:val="24"/>
          <w:szCs w:val="24"/>
          <w:lang w:eastAsia="zh-CN"/>
        </w:rPr>
        <w:t>）</w:t>
      </w:r>
      <w:r>
        <w:rPr>
          <w:rFonts w:hint="default" w:ascii="Times New Roman" w:hAnsi="Times New Roman" w:eastAsia="宋体" w:cs="宋体"/>
          <w:snapToGrid w:val="0"/>
          <w:color w:val="auto"/>
          <w:kern w:val="0"/>
          <w:sz w:val="24"/>
          <w:szCs w:val="24"/>
          <w:lang w:val="en-US" w:eastAsia="zh-CN" w:bidi="ar"/>
        </w:rPr>
        <w:t>《淀粉工业水污染物排放标准》</w:t>
      </w:r>
      <w:r>
        <w:rPr>
          <w:rFonts w:hint="eastAsia" w:ascii="Times New Roman" w:hAnsi="Times New Roman" w:eastAsia="宋体" w:cs="宋体"/>
          <w:snapToGrid w:val="0"/>
          <w:color w:val="auto"/>
          <w:kern w:val="0"/>
          <w:sz w:val="24"/>
          <w:szCs w:val="24"/>
          <w:lang w:val="en-US" w:eastAsia="zh-CN" w:bidi="ar"/>
        </w:rPr>
        <w:t>（</w:t>
      </w:r>
      <w:r>
        <w:rPr>
          <w:rFonts w:hint="default" w:ascii="Times New Roman" w:hAnsi="Times New Roman" w:eastAsia="宋体" w:cs="宋体"/>
          <w:snapToGrid w:val="0"/>
          <w:color w:val="auto"/>
          <w:kern w:val="0"/>
          <w:sz w:val="24"/>
          <w:szCs w:val="24"/>
          <w:lang w:val="en-US" w:eastAsia="zh-CN" w:bidi="ar"/>
        </w:rPr>
        <w:t>GB25461-2010</w:t>
      </w:r>
      <w:r>
        <w:rPr>
          <w:rFonts w:hint="eastAsia" w:ascii="Times New Roman" w:hAnsi="Times New Roman" w:eastAsia="宋体" w:cs="宋体"/>
          <w:snapToGrid w:val="0"/>
          <w:color w:val="auto"/>
          <w:kern w:val="0"/>
          <w:sz w:val="24"/>
          <w:szCs w:val="24"/>
          <w:lang w:val="en-US" w:eastAsia="zh-CN" w:bidi="ar"/>
        </w:rPr>
        <w:t>）</w:t>
      </w:r>
    </w:p>
    <w:p w14:paraId="6948D27D">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eastAsia="zh-CN" w:bidi="ar"/>
        </w:rPr>
      </w:pPr>
      <w:r>
        <w:rPr>
          <w:rFonts w:hint="eastAsia" w:ascii="Times New Roman" w:hAnsi="Times New Roman" w:eastAsia="宋体" w:cs="宋体"/>
          <w:color w:val="auto"/>
          <w:sz w:val="24"/>
          <w:szCs w:val="24"/>
          <w:lang w:eastAsia="zh-CN" w:bidi="ar"/>
        </w:rPr>
        <w:t>（</w:t>
      </w:r>
      <w:r>
        <w:rPr>
          <w:rFonts w:hint="eastAsia" w:ascii="Times New Roman" w:hAnsi="Times New Roman" w:eastAsia="宋体" w:cs="宋体"/>
          <w:color w:val="auto"/>
          <w:sz w:val="24"/>
          <w:szCs w:val="24"/>
          <w:lang w:val="en-US" w:eastAsia="zh-CN" w:bidi="ar"/>
        </w:rPr>
        <w:t>16</w:t>
      </w:r>
      <w:r>
        <w:rPr>
          <w:rFonts w:hint="eastAsia" w:ascii="Times New Roman" w:hAnsi="Times New Roman" w:eastAsia="宋体" w:cs="宋体"/>
          <w:color w:val="auto"/>
          <w:sz w:val="24"/>
          <w:szCs w:val="24"/>
          <w:lang w:eastAsia="zh-CN" w:bidi="ar"/>
        </w:rPr>
        <w:t>）《大气污染物综合排放标准》（GB16297-1996）；</w:t>
      </w:r>
    </w:p>
    <w:p w14:paraId="0ECFE7F7">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宋体"/>
          <w:color w:val="auto"/>
          <w:sz w:val="24"/>
          <w:szCs w:val="24"/>
          <w:lang w:eastAsia="zh-CN" w:bidi="ar"/>
        </w:rPr>
      </w:pPr>
      <w:r>
        <w:rPr>
          <w:rFonts w:hint="eastAsia" w:ascii="Times New Roman" w:hAnsi="Times New Roman" w:eastAsia="宋体" w:cs="宋体"/>
          <w:color w:val="auto"/>
          <w:sz w:val="24"/>
          <w:szCs w:val="24"/>
          <w:lang w:eastAsia="zh-CN" w:bidi="ar"/>
        </w:rPr>
        <w:t>（</w:t>
      </w:r>
      <w:r>
        <w:rPr>
          <w:rFonts w:hint="eastAsia" w:ascii="Times New Roman" w:hAnsi="Times New Roman" w:eastAsia="宋体" w:cs="宋体"/>
          <w:color w:val="auto"/>
          <w:sz w:val="24"/>
          <w:szCs w:val="24"/>
          <w:lang w:val="en-US" w:eastAsia="zh-CN" w:bidi="ar"/>
        </w:rPr>
        <w:t>17</w:t>
      </w:r>
      <w:r>
        <w:rPr>
          <w:rFonts w:hint="eastAsia" w:ascii="Times New Roman" w:hAnsi="Times New Roman" w:eastAsia="宋体" w:cs="宋体"/>
          <w:color w:val="auto"/>
          <w:sz w:val="24"/>
          <w:szCs w:val="24"/>
          <w:lang w:eastAsia="zh-CN" w:bidi="ar"/>
        </w:rPr>
        <w:t>）</w:t>
      </w:r>
      <w:r>
        <w:rPr>
          <w:rFonts w:ascii="Times New Roman" w:hAnsi="Times New Roman" w:eastAsia="宋体" w:cs="宋体"/>
          <w:color w:val="auto"/>
          <w:sz w:val="24"/>
          <w:szCs w:val="24"/>
          <w:lang w:eastAsia="zh-CN" w:bidi="ar"/>
        </w:rPr>
        <w:t>《马铃薯淀粉工业有机肥水农田利用技术规范》</w:t>
      </w:r>
      <w:r>
        <w:rPr>
          <w:rFonts w:hint="eastAsia" w:ascii="Times New Roman" w:hAnsi="Times New Roman" w:eastAsia="宋体" w:cs="宋体"/>
          <w:snapToGrid w:val="0"/>
          <w:color w:val="auto"/>
          <w:kern w:val="0"/>
          <w:sz w:val="24"/>
          <w:szCs w:val="24"/>
          <w:lang w:val="en-US" w:eastAsia="zh-CN" w:bidi="ar"/>
        </w:rPr>
        <w:t>（</w:t>
      </w:r>
      <w:r>
        <w:rPr>
          <w:rFonts w:ascii="Times New Roman" w:hAnsi="Times New Roman" w:eastAsia="宋体" w:cs="宋体"/>
          <w:color w:val="auto"/>
          <w:sz w:val="24"/>
          <w:szCs w:val="24"/>
          <w:lang w:eastAsia="zh-CN" w:bidi="ar"/>
        </w:rPr>
        <w:t>T/SIACN01-2018</w:t>
      </w:r>
      <w:r>
        <w:rPr>
          <w:rFonts w:hint="eastAsia"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color w:val="auto"/>
          <w:sz w:val="24"/>
          <w:szCs w:val="24"/>
          <w:lang w:eastAsia="zh-CN" w:bidi="ar"/>
        </w:rPr>
        <w:t>；</w:t>
      </w:r>
    </w:p>
    <w:p w14:paraId="6C5675CD">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宋体"/>
          <w:color w:val="auto"/>
          <w:sz w:val="24"/>
          <w:szCs w:val="24"/>
          <w:lang w:eastAsia="zh-CN" w:bidi="ar"/>
        </w:rPr>
      </w:pPr>
      <w:r>
        <w:rPr>
          <w:rFonts w:hint="eastAsia" w:ascii="Times New Roman" w:hAnsi="Times New Roman" w:eastAsia="宋体" w:cs="宋体"/>
          <w:color w:val="auto"/>
          <w:sz w:val="24"/>
          <w:szCs w:val="24"/>
          <w:lang w:eastAsia="zh-CN" w:bidi="ar"/>
        </w:rPr>
        <w:t>（</w:t>
      </w:r>
      <w:r>
        <w:rPr>
          <w:rFonts w:hint="eastAsia" w:ascii="Times New Roman" w:hAnsi="Times New Roman" w:eastAsia="宋体" w:cs="宋体"/>
          <w:color w:val="auto"/>
          <w:sz w:val="24"/>
          <w:szCs w:val="24"/>
          <w:lang w:val="en-US" w:eastAsia="zh-CN" w:bidi="ar"/>
        </w:rPr>
        <w:t>18</w:t>
      </w:r>
      <w:r>
        <w:rPr>
          <w:rFonts w:hint="eastAsia" w:ascii="Times New Roman" w:hAnsi="Times New Roman" w:eastAsia="宋体" w:cs="宋体"/>
          <w:color w:val="auto"/>
          <w:sz w:val="24"/>
          <w:szCs w:val="24"/>
          <w:lang w:eastAsia="zh-CN" w:bidi="ar"/>
        </w:rPr>
        <w:t>）</w:t>
      </w:r>
      <w:r>
        <w:rPr>
          <w:rFonts w:ascii="Times New Roman" w:hAnsi="Times New Roman" w:eastAsia="宋体" w:cs="宋体"/>
          <w:color w:val="auto"/>
          <w:sz w:val="24"/>
          <w:szCs w:val="24"/>
          <w:lang w:eastAsia="zh-CN" w:bidi="ar"/>
        </w:rPr>
        <w:t>《淀粉废水治理工程技术规范》</w:t>
      </w:r>
      <w:r>
        <w:rPr>
          <w:rFonts w:hint="eastAsia" w:ascii="Times New Roman" w:hAnsi="Times New Roman" w:eastAsia="宋体" w:cs="宋体"/>
          <w:color w:val="auto"/>
          <w:sz w:val="24"/>
          <w:szCs w:val="24"/>
          <w:lang w:eastAsia="zh-CN" w:bidi="ar"/>
        </w:rPr>
        <w:t>（</w:t>
      </w:r>
      <w:r>
        <w:rPr>
          <w:rFonts w:ascii="Times New Roman" w:hAnsi="Times New Roman" w:eastAsia="宋体" w:cs="宋体"/>
          <w:color w:val="auto"/>
          <w:sz w:val="24"/>
          <w:szCs w:val="24"/>
          <w:lang w:eastAsia="zh-CN" w:bidi="ar"/>
        </w:rPr>
        <w:t>HJ2043-2014</w:t>
      </w:r>
      <w:r>
        <w:rPr>
          <w:rFonts w:hint="eastAsia" w:ascii="Times New Roman" w:hAnsi="Times New Roman" w:eastAsia="宋体" w:cs="宋体"/>
          <w:color w:val="auto"/>
          <w:sz w:val="24"/>
          <w:szCs w:val="24"/>
          <w:lang w:eastAsia="zh-CN" w:bidi="ar"/>
        </w:rPr>
        <w:t>）；</w:t>
      </w:r>
    </w:p>
    <w:p w14:paraId="529DF7D7">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宋体"/>
          <w:color w:val="auto"/>
          <w:sz w:val="24"/>
          <w:szCs w:val="24"/>
          <w:lang w:eastAsia="zh-CN" w:bidi="ar"/>
        </w:rPr>
      </w:pPr>
      <w:r>
        <w:rPr>
          <w:rFonts w:hint="eastAsia" w:ascii="Times New Roman" w:hAnsi="Times New Roman" w:eastAsia="宋体" w:cs="宋体"/>
          <w:color w:val="auto"/>
          <w:sz w:val="24"/>
          <w:szCs w:val="24"/>
          <w:lang w:eastAsia="zh-CN" w:bidi="ar"/>
        </w:rPr>
        <w:t>（</w:t>
      </w:r>
      <w:r>
        <w:rPr>
          <w:rFonts w:hint="eastAsia" w:ascii="Times New Roman" w:hAnsi="Times New Roman" w:eastAsia="宋体" w:cs="宋体"/>
          <w:color w:val="auto"/>
          <w:sz w:val="24"/>
          <w:szCs w:val="24"/>
          <w:lang w:val="en-US" w:eastAsia="zh-CN" w:bidi="ar"/>
        </w:rPr>
        <w:t>19</w:t>
      </w:r>
      <w:r>
        <w:rPr>
          <w:rFonts w:hint="eastAsia" w:ascii="Times New Roman" w:hAnsi="Times New Roman" w:eastAsia="宋体" w:cs="宋体"/>
          <w:color w:val="auto"/>
          <w:sz w:val="24"/>
          <w:szCs w:val="24"/>
          <w:lang w:eastAsia="zh-CN" w:bidi="ar"/>
        </w:rPr>
        <w:t>）</w:t>
      </w:r>
      <w:r>
        <w:rPr>
          <w:rFonts w:ascii="Times New Roman" w:hAnsi="Times New Roman" w:eastAsia="宋体" w:cs="宋体"/>
          <w:color w:val="auto"/>
          <w:sz w:val="24"/>
          <w:szCs w:val="24"/>
          <w:lang w:eastAsia="zh-CN" w:bidi="ar"/>
        </w:rPr>
        <w:t>《室外排水设计规范》（GB50014-2006）</w:t>
      </w:r>
      <w:r>
        <w:rPr>
          <w:rFonts w:hint="eastAsia" w:ascii="Times New Roman" w:hAnsi="Times New Roman" w:eastAsia="宋体" w:cs="宋体"/>
          <w:color w:val="auto"/>
          <w:sz w:val="24"/>
          <w:szCs w:val="24"/>
          <w:lang w:eastAsia="zh-CN" w:bidi="ar"/>
        </w:rPr>
        <w:t>；</w:t>
      </w:r>
    </w:p>
    <w:p w14:paraId="2696B8A0">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宋体"/>
          <w:color w:val="auto"/>
          <w:sz w:val="24"/>
          <w:szCs w:val="24"/>
          <w:lang w:eastAsia="zh-CN" w:bidi="ar"/>
        </w:rPr>
      </w:pPr>
      <w:r>
        <w:rPr>
          <w:rFonts w:hint="eastAsia" w:ascii="Times New Roman" w:hAnsi="Times New Roman" w:eastAsia="宋体" w:cs="宋体"/>
          <w:color w:val="auto"/>
          <w:sz w:val="24"/>
          <w:szCs w:val="24"/>
          <w:lang w:eastAsia="zh-CN" w:bidi="ar"/>
        </w:rPr>
        <w:t>（</w:t>
      </w:r>
      <w:r>
        <w:rPr>
          <w:rFonts w:hint="eastAsia" w:ascii="Times New Roman" w:hAnsi="Times New Roman" w:eastAsia="宋体" w:cs="宋体"/>
          <w:color w:val="auto"/>
          <w:sz w:val="24"/>
          <w:szCs w:val="24"/>
          <w:lang w:val="en-US" w:eastAsia="zh-CN" w:bidi="ar"/>
        </w:rPr>
        <w:t>20</w:t>
      </w:r>
      <w:r>
        <w:rPr>
          <w:rFonts w:hint="eastAsia" w:ascii="Times New Roman" w:hAnsi="Times New Roman" w:eastAsia="宋体" w:cs="宋体"/>
          <w:color w:val="auto"/>
          <w:sz w:val="24"/>
          <w:szCs w:val="24"/>
          <w:lang w:eastAsia="zh-CN" w:bidi="ar"/>
        </w:rPr>
        <w:t>）</w:t>
      </w:r>
      <w:r>
        <w:rPr>
          <w:rFonts w:ascii="Times New Roman" w:hAnsi="Times New Roman" w:eastAsia="宋体" w:cs="宋体"/>
          <w:color w:val="auto"/>
          <w:sz w:val="24"/>
          <w:szCs w:val="24"/>
          <w:lang w:eastAsia="zh-CN" w:bidi="ar"/>
        </w:rPr>
        <w:t>《污水混凝与絮凝处理工程技术规范》（HJ2006-2010）</w:t>
      </w:r>
      <w:r>
        <w:rPr>
          <w:rFonts w:hint="eastAsia" w:ascii="Times New Roman" w:hAnsi="Times New Roman" w:eastAsia="宋体" w:cs="宋体"/>
          <w:color w:val="auto"/>
          <w:sz w:val="24"/>
          <w:szCs w:val="24"/>
          <w:lang w:eastAsia="zh-CN" w:bidi="ar"/>
        </w:rPr>
        <w:t>；</w:t>
      </w:r>
    </w:p>
    <w:p w14:paraId="4752FFCC">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宋体"/>
          <w:color w:val="auto"/>
          <w:sz w:val="24"/>
          <w:szCs w:val="24"/>
          <w:lang w:eastAsia="zh-CN" w:bidi="ar"/>
        </w:rPr>
      </w:pPr>
      <w:r>
        <w:rPr>
          <w:rFonts w:hint="eastAsia" w:ascii="Times New Roman" w:hAnsi="Times New Roman" w:eastAsia="宋体" w:cs="宋体"/>
          <w:color w:val="auto"/>
          <w:sz w:val="24"/>
          <w:szCs w:val="24"/>
          <w:lang w:eastAsia="zh-CN" w:bidi="ar"/>
        </w:rPr>
        <w:t>（</w:t>
      </w:r>
      <w:r>
        <w:rPr>
          <w:rFonts w:hint="eastAsia" w:ascii="Times New Roman" w:hAnsi="Times New Roman" w:eastAsia="宋体" w:cs="宋体"/>
          <w:color w:val="auto"/>
          <w:sz w:val="24"/>
          <w:szCs w:val="24"/>
          <w:lang w:val="en-US" w:eastAsia="zh-CN" w:bidi="ar"/>
        </w:rPr>
        <w:t>21</w:t>
      </w:r>
      <w:r>
        <w:rPr>
          <w:rFonts w:hint="eastAsia" w:ascii="Times New Roman" w:hAnsi="Times New Roman" w:eastAsia="宋体" w:cs="宋体"/>
          <w:color w:val="auto"/>
          <w:sz w:val="24"/>
          <w:szCs w:val="24"/>
          <w:lang w:eastAsia="zh-CN" w:bidi="ar"/>
        </w:rPr>
        <w:t>）</w:t>
      </w:r>
      <w:r>
        <w:rPr>
          <w:rFonts w:ascii="Times New Roman" w:hAnsi="Times New Roman" w:eastAsia="宋体" w:cs="宋体"/>
          <w:color w:val="auto"/>
          <w:sz w:val="24"/>
          <w:szCs w:val="24"/>
          <w:lang w:eastAsia="zh-CN" w:bidi="ar"/>
        </w:rPr>
        <w:t>《厌氧</w:t>
      </w:r>
      <w:r>
        <w:rPr>
          <w:rFonts w:hint="eastAsia" w:ascii="Times New Roman" w:hAnsi="Times New Roman" w:eastAsia="宋体" w:cs="宋体"/>
          <w:color w:val="auto"/>
          <w:sz w:val="24"/>
          <w:szCs w:val="24"/>
          <w:lang w:val="en-US" w:eastAsia="zh-CN" w:bidi="ar"/>
        </w:rPr>
        <w:t>-</w:t>
      </w:r>
      <w:r>
        <w:rPr>
          <w:rFonts w:ascii="Times New Roman" w:hAnsi="Times New Roman" w:eastAsia="宋体" w:cs="宋体"/>
          <w:color w:val="auto"/>
          <w:sz w:val="24"/>
          <w:szCs w:val="24"/>
          <w:lang w:eastAsia="zh-CN" w:bidi="ar"/>
        </w:rPr>
        <w:t>缺氧</w:t>
      </w:r>
      <w:r>
        <w:rPr>
          <w:rFonts w:hint="eastAsia" w:ascii="Times New Roman" w:hAnsi="Times New Roman" w:eastAsia="宋体" w:cs="宋体"/>
          <w:color w:val="auto"/>
          <w:sz w:val="24"/>
          <w:szCs w:val="24"/>
          <w:lang w:val="en-US" w:eastAsia="zh-CN" w:bidi="ar"/>
        </w:rPr>
        <w:t>-</w:t>
      </w:r>
      <w:r>
        <w:rPr>
          <w:rFonts w:ascii="Times New Roman" w:hAnsi="Times New Roman" w:eastAsia="宋体" w:cs="宋体"/>
          <w:color w:val="auto"/>
          <w:sz w:val="24"/>
          <w:szCs w:val="24"/>
          <w:lang w:eastAsia="zh-CN" w:bidi="ar"/>
        </w:rPr>
        <w:t>好氧活性污泥法污水处理工程技术规范》（HJ576-2010）</w:t>
      </w:r>
      <w:r>
        <w:rPr>
          <w:rFonts w:hint="eastAsia" w:ascii="Times New Roman" w:hAnsi="Times New Roman" w:eastAsia="宋体" w:cs="宋体"/>
          <w:color w:val="auto"/>
          <w:sz w:val="24"/>
          <w:szCs w:val="24"/>
          <w:lang w:eastAsia="zh-CN" w:bidi="ar"/>
        </w:rPr>
        <w:t>；</w:t>
      </w:r>
    </w:p>
    <w:p w14:paraId="2D9D60A4">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宋体"/>
          <w:color w:val="auto"/>
          <w:sz w:val="24"/>
          <w:szCs w:val="24"/>
          <w:lang w:eastAsia="zh-CN" w:bidi="ar"/>
        </w:rPr>
      </w:pPr>
      <w:r>
        <w:rPr>
          <w:rFonts w:hint="eastAsia" w:ascii="Times New Roman" w:hAnsi="Times New Roman" w:eastAsia="宋体" w:cs="宋体"/>
          <w:color w:val="auto"/>
          <w:sz w:val="24"/>
          <w:szCs w:val="24"/>
          <w:lang w:eastAsia="zh-CN" w:bidi="ar"/>
        </w:rPr>
        <w:t>（</w:t>
      </w:r>
      <w:r>
        <w:rPr>
          <w:rFonts w:hint="eastAsia" w:ascii="Times New Roman" w:hAnsi="Times New Roman" w:eastAsia="宋体" w:cs="宋体"/>
          <w:color w:val="auto"/>
          <w:sz w:val="24"/>
          <w:szCs w:val="24"/>
          <w:lang w:val="en-US" w:eastAsia="zh-CN" w:bidi="ar"/>
        </w:rPr>
        <w:t>22</w:t>
      </w:r>
      <w:r>
        <w:rPr>
          <w:rFonts w:hint="eastAsia" w:ascii="Times New Roman" w:hAnsi="Times New Roman" w:eastAsia="宋体" w:cs="宋体"/>
          <w:color w:val="auto"/>
          <w:sz w:val="24"/>
          <w:szCs w:val="24"/>
          <w:lang w:eastAsia="zh-CN" w:bidi="ar"/>
        </w:rPr>
        <w:t>）</w:t>
      </w:r>
      <w:r>
        <w:rPr>
          <w:rFonts w:ascii="Times New Roman" w:hAnsi="Times New Roman" w:eastAsia="宋体" w:cs="宋体"/>
          <w:color w:val="auto"/>
          <w:sz w:val="24"/>
          <w:szCs w:val="24"/>
          <w:lang w:eastAsia="zh-CN" w:bidi="ar"/>
        </w:rPr>
        <w:t>《建筑设计防火规范》（GB50016-2014）</w:t>
      </w:r>
      <w:r>
        <w:rPr>
          <w:rFonts w:hint="eastAsia" w:ascii="Times New Roman" w:hAnsi="Times New Roman" w:eastAsia="宋体" w:cs="宋体"/>
          <w:color w:val="auto"/>
          <w:sz w:val="24"/>
          <w:szCs w:val="24"/>
          <w:lang w:eastAsia="zh-CN" w:bidi="ar"/>
        </w:rPr>
        <w:t>；</w:t>
      </w:r>
    </w:p>
    <w:p w14:paraId="448D1FE8">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宋体"/>
          <w:color w:val="auto"/>
          <w:sz w:val="24"/>
          <w:szCs w:val="24"/>
          <w:lang w:eastAsia="zh-CN" w:bidi="ar"/>
        </w:rPr>
      </w:pPr>
      <w:r>
        <w:rPr>
          <w:rFonts w:hint="eastAsia" w:ascii="Times New Roman" w:hAnsi="Times New Roman" w:eastAsia="宋体" w:cs="宋体"/>
          <w:color w:val="auto"/>
          <w:sz w:val="24"/>
          <w:szCs w:val="24"/>
          <w:lang w:eastAsia="zh-CN" w:bidi="ar"/>
        </w:rPr>
        <w:t>（</w:t>
      </w:r>
      <w:r>
        <w:rPr>
          <w:rFonts w:hint="eastAsia" w:ascii="Times New Roman" w:hAnsi="Times New Roman" w:eastAsia="宋体" w:cs="宋体"/>
          <w:color w:val="auto"/>
          <w:sz w:val="24"/>
          <w:szCs w:val="24"/>
          <w:lang w:val="en-US" w:eastAsia="zh-CN" w:bidi="ar"/>
        </w:rPr>
        <w:t>23</w:t>
      </w:r>
      <w:r>
        <w:rPr>
          <w:rFonts w:hint="eastAsia" w:ascii="Times New Roman" w:hAnsi="Times New Roman" w:eastAsia="宋体" w:cs="宋体"/>
          <w:color w:val="auto"/>
          <w:sz w:val="24"/>
          <w:szCs w:val="24"/>
          <w:lang w:eastAsia="zh-CN" w:bidi="ar"/>
        </w:rPr>
        <w:t>）</w:t>
      </w:r>
      <w:r>
        <w:rPr>
          <w:rFonts w:ascii="Times New Roman" w:hAnsi="Times New Roman" w:eastAsia="宋体" w:cs="宋体"/>
          <w:color w:val="auto"/>
          <w:sz w:val="24"/>
          <w:szCs w:val="24"/>
          <w:lang w:eastAsia="zh-CN" w:bidi="ar"/>
        </w:rPr>
        <w:t>《供配电系统设计规范》（GB50052-2009）</w:t>
      </w:r>
      <w:r>
        <w:rPr>
          <w:rFonts w:hint="eastAsia" w:ascii="Times New Roman" w:hAnsi="Times New Roman" w:eastAsia="宋体" w:cs="宋体"/>
          <w:color w:val="auto"/>
          <w:sz w:val="24"/>
          <w:szCs w:val="24"/>
          <w:lang w:eastAsia="zh-CN" w:bidi="ar"/>
        </w:rPr>
        <w:t>；</w:t>
      </w:r>
    </w:p>
    <w:p w14:paraId="46B39367">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eastAsia="zh-CN" w:bidi="ar"/>
        </w:rPr>
      </w:pPr>
      <w:r>
        <w:rPr>
          <w:rFonts w:hint="eastAsia" w:ascii="Times New Roman" w:hAnsi="Times New Roman" w:eastAsia="宋体" w:cs="宋体"/>
          <w:color w:val="auto"/>
          <w:sz w:val="24"/>
          <w:szCs w:val="24"/>
          <w:lang w:eastAsia="zh-CN" w:bidi="ar"/>
        </w:rPr>
        <w:t>（</w:t>
      </w:r>
      <w:r>
        <w:rPr>
          <w:rFonts w:hint="eastAsia" w:ascii="Times New Roman" w:hAnsi="Times New Roman" w:eastAsia="宋体" w:cs="宋体"/>
          <w:color w:val="auto"/>
          <w:sz w:val="24"/>
          <w:szCs w:val="24"/>
          <w:lang w:val="en-US" w:eastAsia="zh-CN" w:bidi="ar"/>
        </w:rPr>
        <w:t>24</w:t>
      </w:r>
      <w:r>
        <w:rPr>
          <w:rFonts w:hint="eastAsia" w:ascii="Times New Roman" w:hAnsi="Times New Roman" w:eastAsia="宋体" w:cs="宋体"/>
          <w:color w:val="auto"/>
          <w:sz w:val="24"/>
          <w:szCs w:val="24"/>
          <w:lang w:eastAsia="zh-CN" w:bidi="ar"/>
        </w:rPr>
        <w:t>）《定西市马铃薯淀粉加工汁水综合利用试点工作实施方案》（</w:t>
      </w:r>
      <w:r>
        <w:rPr>
          <w:rFonts w:hint="eastAsia" w:ascii="Times New Roman" w:hAnsi="Times New Roman" w:eastAsia="宋体" w:cs="宋体"/>
          <w:color w:val="auto"/>
          <w:sz w:val="24"/>
          <w:szCs w:val="24"/>
          <w:lang w:val="en-US" w:eastAsia="zh-CN" w:bidi="ar"/>
        </w:rPr>
        <w:t>定环发〔2024〕88号</w:t>
      </w:r>
      <w:r>
        <w:rPr>
          <w:rFonts w:hint="eastAsia" w:ascii="Times New Roman" w:hAnsi="Times New Roman" w:eastAsia="宋体" w:cs="宋体"/>
          <w:color w:val="auto"/>
          <w:sz w:val="24"/>
          <w:szCs w:val="24"/>
          <w:lang w:eastAsia="zh-CN" w:bidi="ar"/>
        </w:rPr>
        <w:t>；</w:t>
      </w:r>
    </w:p>
    <w:p w14:paraId="002E98D5">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highlight w:val="none"/>
          <w:lang w:val="en-US" w:eastAsia="zh-CN" w:bidi="ar"/>
        </w:rPr>
      </w:pPr>
      <w:r>
        <w:rPr>
          <w:rFonts w:hint="eastAsia" w:ascii="Times New Roman" w:hAnsi="Times New Roman" w:eastAsia="宋体" w:cs="宋体"/>
          <w:color w:val="auto"/>
          <w:sz w:val="24"/>
          <w:szCs w:val="24"/>
          <w:highlight w:val="none"/>
          <w:lang w:val="en-US" w:eastAsia="zh-CN" w:bidi="ar"/>
        </w:rPr>
        <w:t>（25）《农田灌溉水质标准》（GB 5084-2021）</w:t>
      </w:r>
    </w:p>
    <w:p w14:paraId="11A36286">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highlight w:val="none"/>
          <w:lang w:val="en-US" w:eastAsia="zh-CN" w:bidi="ar"/>
        </w:rPr>
      </w:pPr>
      <w:r>
        <w:rPr>
          <w:rFonts w:hint="eastAsia" w:ascii="Times New Roman" w:hAnsi="Times New Roman" w:eastAsia="宋体" w:cs="宋体"/>
          <w:color w:val="auto"/>
          <w:sz w:val="24"/>
          <w:szCs w:val="24"/>
          <w:highlight w:val="none"/>
          <w:lang w:val="en-US" w:eastAsia="zh-CN" w:bidi="ar"/>
        </w:rPr>
        <w:t>（26）《农用沼液》（GB/T40750-2021）；</w:t>
      </w:r>
    </w:p>
    <w:p w14:paraId="23EF02D1">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highlight w:val="none"/>
          <w:lang w:val="en-US" w:eastAsia="zh-CN" w:bidi="ar"/>
        </w:rPr>
      </w:pPr>
      <w:r>
        <w:rPr>
          <w:rFonts w:hint="eastAsia" w:ascii="Times New Roman" w:hAnsi="Times New Roman" w:eastAsia="宋体" w:cs="宋体"/>
          <w:color w:val="auto"/>
          <w:sz w:val="24"/>
          <w:szCs w:val="24"/>
          <w:highlight w:val="none"/>
          <w:lang w:val="en-US" w:eastAsia="zh-CN" w:bidi="ar"/>
        </w:rPr>
        <w:t>（27）《沼肥》（NY/T2596-2022）；</w:t>
      </w:r>
    </w:p>
    <w:p w14:paraId="50FFF14C">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宋体"/>
          <w:color w:val="auto"/>
          <w:sz w:val="24"/>
          <w:szCs w:val="24"/>
          <w:highlight w:val="none"/>
          <w:lang w:val="en-US" w:eastAsia="zh-CN" w:bidi="ar"/>
        </w:rPr>
      </w:pPr>
      <w:r>
        <w:rPr>
          <w:rFonts w:hint="eastAsia" w:ascii="Times New Roman" w:hAnsi="Times New Roman" w:eastAsia="宋体" w:cs="宋体"/>
          <w:color w:val="auto"/>
          <w:sz w:val="24"/>
          <w:szCs w:val="24"/>
          <w:highlight w:val="none"/>
          <w:lang w:val="en-US" w:eastAsia="zh-CN" w:bidi="ar"/>
        </w:rPr>
        <w:t>（28）《排污许可证申请与核发技术规范 农副食品加工工业-淀粉工业》</w:t>
      </w:r>
    </w:p>
    <w:p w14:paraId="634A024B">
      <w:pPr>
        <w:keepNext w:val="0"/>
        <w:keepLines w:val="0"/>
        <w:pageBreakBefore w:val="0"/>
        <w:widowControl w:val="0"/>
        <w:kinsoku/>
        <w:wordWrap w:val="0"/>
        <w:overflowPunct/>
        <w:topLinePunct w:val="0"/>
        <w:autoSpaceDE w:val="0"/>
        <w:autoSpaceDN w:val="0"/>
        <w:bidi w:val="0"/>
        <w:adjustRightInd w:val="0"/>
        <w:snapToGrid w:val="0"/>
        <w:spacing w:line="360" w:lineRule="auto"/>
        <w:jc w:val="both"/>
        <w:textAlignment w:val="baseline"/>
        <w:rPr>
          <w:rFonts w:hint="eastAsia" w:ascii="Times New Roman" w:hAnsi="Times New Roman" w:eastAsia="宋体" w:cs="宋体"/>
          <w:color w:val="auto"/>
          <w:sz w:val="24"/>
          <w:szCs w:val="24"/>
          <w:highlight w:val="none"/>
          <w:lang w:val="en-US" w:eastAsia="zh-CN" w:bidi="ar"/>
        </w:rPr>
      </w:pPr>
      <w:r>
        <w:rPr>
          <w:rFonts w:hint="eastAsia" w:ascii="Times New Roman" w:hAnsi="Times New Roman" w:eastAsia="宋体" w:cs="宋体"/>
          <w:color w:val="auto"/>
          <w:sz w:val="24"/>
          <w:szCs w:val="24"/>
          <w:highlight w:val="none"/>
          <w:lang w:val="en-US" w:eastAsia="zh-CN" w:bidi="ar"/>
        </w:rPr>
        <w:t>（HJ860.2-2018）；</w:t>
      </w:r>
    </w:p>
    <w:p w14:paraId="30AF5576">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textAlignment w:val="baseline"/>
        <w:rPr>
          <w:rFonts w:hint="eastAsia"/>
          <w:color w:val="auto"/>
          <w:lang w:val="en-US" w:eastAsia="zh-CN"/>
        </w:rPr>
      </w:pPr>
      <w:r>
        <w:rPr>
          <w:rFonts w:hint="eastAsia" w:ascii="Times New Roman" w:hAnsi="Times New Roman" w:eastAsia="宋体" w:cs="宋体"/>
          <w:color w:val="auto"/>
          <w:sz w:val="24"/>
          <w:szCs w:val="24"/>
          <w:highlight w:val="none"/>
          <w:lang w:val="en-US" w:eastAsia="zh-CN" w:bidi="ar"/>
        </w:rPr>
        <w:t>（29）《排污单位自行监测技术指南-总则》（HJ819-2017）；</w:t>
      </w:r>
    </w:p>
    <w:p w14:paraId="6BC0CF84">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72" w:firstLineChars="200"/>
        <w:textAlignment w:val="baseline"/>
        <w:rPr>
          <w:rFonts w:ascii="Times New Roman" w:hAnsi="Times New Roman" w:eastAsia="宋体" w:cs="宋体"/>
          <w:color w:val="auto"/>
          <w:sz w:val="24"/>
          <w:szCs w:val="24"/>
        </w:rPr>
      </w:pPr>
      <w:r>
        <w:rPr>
          <w:rFonts w:hint="default" w:ascii="Times New Roman" w:hAnsi="Times New Roman" w:eastAsia="宋体" w:cs="宋体"/>
          <w:color w:val="auto"/>
          <w:spacing w:val="-2"/>
          <w:sz w:val="24"/>
          <w:szCs w:val="24"/>
          <w:lang w:eastAsia="zh-CN"/>
        </w:rPr>
        <w:t>（</w:t>
      </w:r>
      <w:r>
        <w:rPr>
          <w:rFonts w:hint="eastAsia" w:ascii="Times New Roman" w:hAnsi="Times New Roman" w:eastAsia="宋体" w:cs="宋体"/>
          <w:color w:val="auto"/>
          <w:spacing w:val="-2"/>
          <w:sz w:val="24"/>
          <w:szCs w:val="24"/>
          <w:lang w:val="en-US" w:eastAsia="zh-CN"/>
        </w:rPr>
        <w:t>30</w:t>
      </w:r>
      <w:r>
        <w:rPr>
          <w:rFonts w:hint="default" w:ascii="Times New Roman" w:hAnsi="Times New Roman" w:eastAsia="宋体" w:cs="宋体"/>
          <w:color w:val="auto"/>
          <w:spacing w:val="-2"/>
          <w:sz w:val="24"/>
          <w:szCs w:val="24"/>
          <w:lang w:eastAsia="zh-CN"/>
        </w:rPr>
        <w:t>）</w:t>
      </w:r>
      <w:r>
        <w:rPr>
          <w:rFonts w:hint="default" w:ascii="Times New Roman" w:hAnsi="Times New Roman" w:eastAsia="宋体" w:cs="宋体"/>
          <w:color w:val="auto"/>
          <w:spacing w:val="-2"/>
          <w:sz w:val="24"/>
          <w:szCs w:val="24"/>
        </w:rPr>
        <w:t>建设单位</w:t>
      </w:r>
      <w:r>
        <w:rPr>
          <w:rFonts w:ascii="Times New Roman" w:hAnsi="Times New Roman" w:eastAsia="宋体" w:cs="宋体"/>
          <w:color w:val="auto"/>
          <w:spacing w:val="-2"/>
          <w:sz w:val="24"/>
          <w:szCs w:val="24"/>
        </w:rPr>
        <w:t>所提供的</w:t>
      </w:r>
      <w:r>
        <w:rPr>
          <w:rFonts w:hint="eastAsia" w:ascii="Times New Roman" w:hAnsi="Times New Roman" w:eastAsia="宋体" w:cs="宋体"/>
          <w:color w:val="auto"/>
          <w:spacing w:val="-2"/>
          <w:sz w:val="24"/>
          <w:szCs w:val="24"/>
          <w:lang w:val="en-US" w:eastAsia="zh-CN"/>
        </w:rPr>
        <w:t>其他</w:t>
      </w:r>
      <w:r>
        <w:rPr>
          <w:rFonts w:ascii="Times New Roman" w:hAnsi="Times New Roman" w:eastAsia="宋体" w:cs="宋体"/>
          <w:color w:val="auto"/>
          <w:spacing w:val="-2"/>
          <w:sz w:val="24"/>
          <w:szCs w:val="24"/>
        </w:rPr>
        <w:t>有关的基础资料。</w:t>
      </w:r>
    </w:p>
    <w:p w14:paraId="047FF07F">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10" w:name="_Toc17693"/>
      <w:r>
        <w:rPr>
          <w:rFonts w:hint="eastAsia" w:ascii="Times New Roman" w:hAnsi="Times New Roman" w:eastAsia="宋体" w:cs="宋体"/>
          <w:b/>
          <w:bCs/>
          <w:color w:val="auto"/>
          <w:sz w:val="28"/>
          <w:szCs w:val="28"/>
          <w:lang w:val="en-US" w:eastAsia="zh-CN"/>
        </w:rPr>
        <w:t>1.6、实施方案编制原则</w:t>
      </w:r>
      <w:bookmarkEnd w:id="10"/>
    </w:p>
    <w:p w14:paraId="4F00780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（1）在设计中认真贯彻国家基本建设的方针政策，严格执行国家、地方政府及主管部门的有关标准、规范和规定。</w:t>
      </w:r>
    </w:p>
    <w:p w14:paraId="5469CCB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（2）根据整体规划通盘考虑，结合工艺设计，合理组织人流、物流，交通路线简捷、畅通、互不干扰。建筑布置合理，与周围环境形成有机整体，与相邻建筑物间距满足防火要求，周围按规定设置消防通道。</w:t>
      </w:r>
    </w:p>
    <w:p w14:paraId="1F4E375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3）本着切合实际、技术先进可靠、经济合理、安全适用的原则，积极采用新工艺、新技术、新设备、新材料，提高自动化水平，节约能源，减轻劳动强度，改善操作条件，提高劳动生产率，力求达到投资少，见效快、质量好、成本低的要求。</w:t>
      </w:r>
    </w:p>
    <w:p w14:paraId="34AE947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（4）注意环境保护和环境绿化美化。结合当地的气候特点，合理安排新建建筑物周边绿化方案，选择适宜的景观植物组合，使得建筑与环境融为一体。</w:t>
      </w:r>
    </w:p>
    <w:p w14:paraId="59858573">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11" w:name="_Toc1797"/>
      <w:r>
        <w:rPr>
          <w:rFonts w:hint="eastAsia" w:ascii="Times New Roman" w:hAnsi="Times New Roman" w:eastAsia="宋体" w:cs="宋体"/>
          <w:b/>
          <w:bCs/>
          <w:color w:val="auto"/>
          <w:sz w:val="28"/>
          <w:szCs w:val="28"/>
          <w:lang w:val="en-US" w:eastAsia="zh-CN"/>
        </w:rPr>
        <w:t>1.7、</w:t>
      </w:r>
      <w:r>
        <w:rPr>
          <w:rFonts w:ascii="Times New Roman" w:hAnsi="Times New Roman" w:eastAsia="宋体" w:cs="宋体"/>
          <w:b/>
          <w:bCs/>
          <w:color w:val="auto"/>
          <w:spacing w:val="-7"/>
          <w:sz w:val="30"/>
          <w:szCs w:val="30"/>
        </w:rPr>
        <w:t>综合评价</w:t>
      </w:r>
      <w:bookmarkEnd w:id="11"/>
    </w:p>
    <w:p w14:paraId="600DAA93">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8" w:firstLineChars="200"/>
        <w:jc w:val="left"/>
        <w:textAlignment w:val="baseline"/>
        <w:rPr>
          <w:rFonts w:ascii="Times New Roman" w:hAnsi="Times New Roman" w:eastAsia="宋体" w:cs="宋体"/>
          <w:color w:val="auto"/>
          <w:spacing w:val="-1"/>
          <w:sz w:val="24"/>
          <w:szCs w:val="24"/>
        </w:rPr>
      </w:pPr>
      <w:r>
        <w:rPr>
          <w:rFonts w:ascii="Times New Roman" w:hAnsi="Times New Roman" w:eastAsia="宋体" w:cs="宋体"/>
          <w:color w:val="auto"/>
          <w:spacing w:val="2"/>
          <w:sz w:val="24"/>
          <w:szCs w:val="24"/>
        </w:rPr>
        <w:t>本项目立足甘肃省及民乐县马铃薯产业优势，利用现有厂房配套条件新建民乐县马铃薯</w:t>
      </w:r>
      <w:r>
        <w:rPr>
          <w:rFonts w:hint="eastAsia" w:ascii="Times New Roman" w:hAnsi="Times New Roman" w:eastAsia="宋体" w:cs="宋体"/>
          <w:color w:val="auto"/>
          <w:spacing w:val="2"/>
          <w:sz w:val="24"/>
          <w:szCs w:val="24"/>
          <w:lang w:val="en-US" w:eastAsia="zh-CN"/>
        </w:rPr>
        <w:t>淀粉</w:t>
      </w:r>
      <w:r>
        <w:rPr>
          <w:rFonts w:ascii="Times New Roman" w:hAnsi="Times New Roman" w:eastAsia="宋体" w:cs="宋体"/>
          <w:color w:val="auto"/>
          <w:spacing w:val="-2"/>
          <w:sz w:val="24"/>
          <w:szCs w:val="24"/>
        </w:rPr>
        <w:t>生产线建设项目</w:t>
      </w:r>
      <w:r>
        <w:rPr>
          <w:rFonts w:ascii="Times New Roman" w:hAnsi="Times New Roman" w:eastAsia="宋体" w:cs="宋体"/>
          <w:color w:val="auto"/>
          <w:spacing w:val="-3"/>
          <w:sz w:val="24"/>
          <w:szCs w:val="24"/>
        </w:rPr>
        <w:t>，以马铃薯</w:t>
      </w:r>
      <w:r>
        <w:rPr>
          <w:rFonts w:hint="eastAsia" w:ascii="Times New Roman" w:hAnsi="Times New Roman" w:eastAsia="宋体" w:cs="宋体"/>
          <w:color w:val="auto"/>
          <w:spacing w:val="-3"/>
          <w:sz w:val="24"/>
          <w:szCs w:val="24"/>
          <w:lang w:val="en-US" w:eastAsia="zh-CN"/>
        </w:rPr>
        <w:t>淀粉</w:t>
      </w:r>
      <w:r>
        <w:rPr>
          <w:rFonts w:ascii="Times New Roman" w:hAnsi="Times New Roman" w:eastAsia="宋体" w:cs="宋体"/>
          <w:color w:val="auto"/>
          <w:spacing w:val="2"/>
          <w:sz w:val="24"/>
          <w:szCs w:val="24"/>
        </w:rPr>
        <w:t>为主要产品，延长产业链条，提升企业效益。项目实施后，将大幅提升马铃薯加工能力，降低能源消耗、环境污染和生产成本，提高资源利用率和产品质量，进一步强化产业带动能力，推动民乐</w:t>
      </w:r>
      <w:r>
        <w:rPr>
          <w:rFonts w:hint="eastAsia" w:ascii="Times New Roman" w:hAnsi="Times New Roman" w:eastAsia="宋体" w:cs="宋体"/>
          <w:color w:val="auto"/>
          <w:spacing w:val="2"/>
          <w:sz w:val="24"/>
          <w:szCs w:val="24"/>
          <w:lang w:val="en-US" w:eastAsia="zh-CN"/>
        </w:rPr>
        <w:t>县</w:t>
      </w:r>
      <w:r>
        <w:rPr>
          <w:rFonts w:ascii="Times New Roman" w:hAnsi="Times New Roman" w:eastAsia="宋体" w:cs="宋体"/>
          <w:color w:val="auto"/>
          <w:spacing w:val="2"/>
          <w:sz w:val="24"/>
          <w:szCs w:val="24"/>
        </w:rPr>
        <w:t>马</w:t>
      </w:r>
      <w:r>
        <w:rPr>
          <w:rFonts w:ascii="Times New Roman" w:hAnsi="Times New Roman" w:eastAsia="宋体" w:cs="宋体"/>
          <w:color w:val="auto"/>
          <w:spacing w:val="-1"/>
          <w:sz w:val="24"/>
          <w:szCs w:val="24"/>
        </w:rPr>
        <w:t>铃薯产业向高效模式方向发展。</w:t>
      </w:r>
    </w:p>
    <w:p w14:paraId="522C4E43">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68" w:firstLineChars="200"/>
        <w:jc w:val="left"/>
        <w:textAlignment w:val="baseline"/>
        <w:rPr>
          <w:rFonts w:ascii="Times New Roman" w:hAnsi="Times New Roman" w:eastAsia="宋体" w:cs="宋体"/>
          <w:color w:val="auto"/>
          <w:sz w:val="24"/>
          <w:szCs w:val="24"/>
        </w:rPr>
      </w:pPr>
      <w:r>
        <w:rPr>
          <w:rFonts w:ascii="Times New Roman" w:hAnsi="Times New Roman" w:eastAsia="宋体" w:cs="宋体"/>
          <w:color w:val="auto"/>
          <w:spacing w:val="-3"/>
          <w:sz w:val="24"/>
          <w:szCs w:val="24"/>
        </w:rPr>
        <w:t>项目将显著提升企业实力和民乐县马铃薯产业发展水平，为“一</w:t>
      </w:r>
      <w:r>
        <w:rPr>
          <w:rFonts w:ascii="Times New Roman" w:hAnsi="Times New Roman" w:eastAsia="宋体" w:cs="宋体"/>
          <w:color w:val="auto"/>
          <w:spacing w:val="-2"/>
          <w:sz w:val="24"/>
          <w:szCs w:val="24"/>
        </w:rPr>
        <w:t>带一路”东延西扩打下坚实的物质基础。项目还有利于拓</w:t>
      </w:r>
      <w:r>
        <w:rPr>
          <w:rFonts w:ascii="Times New Roman" w:hAnsi="Times New Roman" w:eastAsia="宋体" w:cs="宋体"/>
          <w:color w:val="auto"/>
          <w:spacing w:val="-3"/>
          <w:sz w:val="24"/>
          <w:szCs w:val="24"/>
        </w:rPr>
        <w:t>宽农村就业</w:t>
      </w:r>
      <w:r>
        <w:rPr>
          <w:rFonts w:ascii="Times New Roman" w:hAnsi="Times New Roman" w:eastAsia="宋体" w:cs="宋体"/>
          <w:color w:val="auto"/>
          <w:spacing w:val="2"/>
          <w:sz w:val="24"/>
          <w:szCs w:val="24"/>
        </w:rPr>
        <w:t>渠道，转移剩余劳动力，增加农民收入，对当地社会与经济发展、</w:t>
      </w:r>
      <w:r>
        <w:rPr>
          <w:rFonts w:ascii="Times New Roman" w:hAnsi="Times New Roman" w:eastAsia="宋体" w:cs="宋体"/>
          <w:color w:val="auto"/>
          <w:spacing w:val="-1"/>
          <w:sz w:val="24"/>
          <w:szCs w:val="24"/>
        </w:rPr>
        <w:t>农业产业结构优化都有重要意义。</w:t>
      </w:r>
    </w:p>
    <w:p w14:paraId="72ECD616">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60" w:firstLineChars="200"/>
        <w:jc w:val="left"/>
        <w:textAlignment w:val="baseline"/>
        <w:rPr>
          <w:rFonts w:ascii="Times New Roman" w:hAnsi="Times New Roman" w:eastAsia="宋体" w:cs="宋体"/>
          <w:color w:val="auto"/>
          <w:spacing w:val="-1"/>
          <w:sz w:val="24"/>
          <w:szCs w:val="24"/>
        </w:rPr>
      </w:pPr>
      <w:r>
        <w:rPr>
          <w:rFonts w:ascii="Times New Roman" w:hAnsi="Times New Roman" w:eastAsia="宋体" w:cs="宋体"/>
          <w:color w:val="auto"/>
          <w:spacing w:val="-5"/>
          <w:sz w:val="24"/>
          <w:szCs w:val="24"/>
        </w:rPr>
        <w:t>项目定位准确，建设思路正确，投入产出比</w:t>
      </w:r>
      <w:r>
        <w:rPr>
          <w:rFonts w:ascii="Times New Roman" w:hAnsi="Times New Roman" w:eastAsia="宋体" w:cs="宋体"/>
          <w:color w:val="auto"/>
          <w:spacing w:val="-6"/>
          <w:sz w:val="24"/>
          <w:szCs w:val="24"/>
        </w:rPr>
        <w:t>高，规模效应显著，</w:t>
      </w:r>
      <w:r>
        <w:rPr>
          <w:rFonts w:ascii="Times New Roman" w:hAnsi="Times New Roman" w:eastAsia="宋体" w:cs="宋体"/>
          <w:color w:val="auto"/>
          <w:spacing w:val="2"/>
          <w:sz w:val="24"/>
          <w:szCs w:val="24"/>
        </w:rPr>
        <w:t>符合国家和地方农业、农村经济的战略发展方向，也符合地方</w:t>
      </w:r>
      <w:r>
        <w:rPr>
          <w:rFonts w:ascii="Times New Roman" w:hAnsi="Times New Roman" w:eastAsia="宋体" w:cs="宋体"/>
          <w:color w:val="auto"/>
          <w:spacing w:val="1"/>
          <w:sz w:val="24"/>
          <w:szCs w:val="24"/>
        </w:rPr>
        <w:t>经济</w:t>
      </w:r>
      <w:r>
        <w:rPr>
          <w:rFonts w:ascii="Times New Roman" w:hAnsi="Times New Roman" w:eastAsia="宋体" w:cs="宋体"/>
          <w:color w:val="auto"/>
          <w:spacing w:val="2"/>
          <w:sz w:val="24"/>
          <w:szCs w:val="24"/>
        </w:rPr>
        <w:t>发展规划及承办单位发展实际，各项财务指标均高于行业基准</w:t>
      </w:r>
      <w:r>
        <w:rPr>
          <w:rFonts w:ascii="Times New Roman" w:hAnsi="Times New Roman" w:eastAsia="宋体" w:cs="宋体"/>
          <w:color w:val="auto"/>
          <w:spacing w:val="1"/>
          <w:sz w:val="24"/>
          <w:szCs w:val="24"/>
        </w:rPr>
        <w:t>值，</w:t>
      </w:r>
      <w:bookmarkStart w:id="12" w:name="bookmark12"/>
      <w:bookmarkEnd w:id="12"/>
      <w:r>
        <w:rPr>
          <w:rFonts w:ascii="Times New Roman" w:hAnsi="Times New Roman" w:eastAsia="宋体" w:cs="宋体"/>
          <w:color w:val="auto"/>
          <w:spacing w:val="-1"/>
          <w:sz w:val="24"/>
          <w:szCs w:val="24"/>
        </w:rPr>
        <w:t>经济效益显著，</w:t>
      </w:r>
      <w:r>
        <w:rPr>
          <w:rFonts w:hint="eastAsia" w:ascii="Times New Roman" w:hAnsi="Times New Roman" w:eastAsia="宋体" w:cs="宋体"/>
          <w:color w:val="auto"/>
          <w:spacing w:val="-1"/>
          <w:sz w:val="24"/>
          <w:szCs w:val="24"/>
          <w:lang w:val="en-US" w:eastAsia="zh-CN"/>
        </w:rPr>
        <w:t>建设项目</w:t>
      </w:r>
      <w:r>
        <w:rPr>
          <w:rFonts w:ascii="Times New Roman" w:hAnsi="Times New Roman" w:eastAsia="宋体" w:cs="宋体"/>
          <w:color w:val="auto"/>
          <w:spacing w:val="-1"/>
          <w:sz w:val="24"/>
          <w:szCs w:val="24"/>
        </w:rPr>
        <w:t>可行。</w:t>
      </w:r>
    </w:p>
    <w:p w14:paraId="7EACD19D">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76" w:firstLineChars="200"/>
        <w:jc w:val="left"/>
        <w:textAlignment w:val="baseline"/>
        <w:rPr>
          <w:rFonts w:ascii="Times New Roman" w:hAnsi="Times New Roman" w:eastAsia="宋体" w:cs="宋体"/>
          <w:color w:val="auto"/>
          <w:spacing w:val="-1"/>
          <w:sz w:val="24"/>
          <w:szCs w:val="24"/>
        </w:rPr>
      </w:pPr>
    </w:p>
    <w:p w14:paraId="006B90F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ascii="Times New Roman" w:hAnsi="Times New Roman" w:eastAsia="宋体" w:cs="宋体"/>
          <w:color w:val="auto"/>
          <w:sz w:val="24"/>
          <w:szCs w:val="24"/>
        </w:rPr>
        <w:sectPr>
          <w:headerReference r:id="rId7" w:type="default"/>
          <w:footerReference r:id="rId8" w:type="default"/>
          <w:pgSz w:w="11907" w:h="16840"/>
          <w:pgMar w:top="1340" w:right="1786" w:bottom="1156" w:left="1786" w:header="1068" w:footer="993" w:gutter="0"/>
          <w:pgBorders w:offsetFrom="page">
            <w:top w:val="none" w:sz="0" w:space="0"/>
            <w:left w:val="none" w:sz="0" w:space="0"/>
            <w:bottom w:val="none" w:sz="0" w:space="0"/>
            <w:right w:val="none" w:sz="0" w:space="0"/>
          </w:pgBorders>
          <w:pgNumType w:fmt="decimal" w:start="1"/>
          <w:cols w:space="720" w:num="1"/>
        </w:sectPr>
      </w:pPr>
    </w:p>
    <w:p w14:paraId="79BDC0BF">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jc w:val="center"/>
        <w:textAlignment w:val="baseline"/>
        <w:rPr>
          <w:rFonts w:hint="default" w:ascii="Times New Roman" w:hAnsi="Times New Roman" w:eastAsia="宋体" w:cs="宋体"/>
          <w:b/>
          <w:color w:val="auto"/>
          <w:sz w:val="30"/>
          <w:szCs w:val="30"/>
          <w:lang w:val="en-US" w:eastAsia="zh-CN"/>
        </w:rPr>
      </w:pPr>
      <w:bookmarkStart w:id="13" w:name="_Toc12934"/>
      <w:r>
        <w:rPr>
          <w:rFonts w:hint="eastAsia" w:ascii="Times New Roman" w:hAnsi="Times New Roman" w:eastAsia="宋体" w:cs="宋体"/>
          <w:b/>
          <w:color w:val="auto"/>
          <w:sz w:val="30"/>
          <w:szCs w:val="30"/>
          <w:lang w:val="en-US" w:eastAsia="zh-CN"/>
        </w:rPr>
        <w:t>第二章 项目建设背景及必要性</w:t>
      </w:r>
      <w:bookmarkEnd w:id="13"/>
    </w:p>
    <w:p w14:paraId="54FF2021">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eastAsia" w:ascii="Times New Roman" w:hAnsi="Times New Roman" w:eastAsia="宋体" w:cs="宋体"/>
          <w:b/>
          <w:bCs/>
          <w:color w:val="auto"/>
          <w:sz w:val="28"/>
          <w:szCs w:val="28"/>
          <w:lang w:val="en-US" w:eastAsia="zh-CN"/>
        </w:rPr>
      </w:pPr>
      <w:bookmarkStart w:id="14" w:name="_Toc6147"/>
      <w:r>
        <w:rPr>
          <w:rFonts w:hint="eastAsia" w:ascii="Times New Roman" w:hAnsi="Times New Roman" w:eastAsia="宋体" w:cs="宋体"/>
          <w:b/>
          <w:bCs/>
          <w:color w:val="auto"/>
          <w:sz w:val="28"/>
          <w:szCs w:val="28"/>
          <w:lang w:val="en-US" w:eastAsia="zh-CN"/>
        </w:rPr>
        <w:t>2.1、项目建设背景</w:t>
      </w:r>
      <w:bookmarkEnd w:id="14"/>
    </w:p>
    <w:p w14:paraId="4A207968">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2.1.1、国内背景</w:t>
      </w:r>
    </w:p>
    <w:p w14:paraId="3374042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随着科技进步和加工的发展，人们生活水平的提高，马铃薯已不仅是人类的粮食、蔬菜、畜牧业的良好饲料，而是用途广泛的营养食品和重要的工业原料。马铃薯营养价值非常丰富，在欧洲有“第二面包</w:t>
      </w: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之称，由于人们饮食结构的变化，食品加工业的发展，马铃薯作为营养品、休闲食品、方便食品，如炸薯条、薯泥、膨化食品等备受欢迎。作为工业原料，马铃薯淀粉、变形淀粉等加工产品有</w:t>
      </w:r>
      <w:r>
        <w:rPr>
          <w:rFonts w:hint="default" w:ascii="Times New Roman" w:hAnsi="Times New Roman" w:eastAsia="宋体" w:cs="宋体"/>
          <w:snapToGrid w:val="0"/>
          <w:color w:val="auto"/>
          <w:kern w:val="0"/>
          <w:sz w:val="24"/>
          <w:szCs w:val="24"/>
          <w:lang w:val="en-US" w:eastAsia="zh-CN" w:bidi="ar"/>
        </w:rPr>
        <w:t>3000</w:t>
      </w:r>
      <w:r>
        <w:rPr>
          <w:rFonts w:hint="eastAsia" w:ascii="Times New Roman" w:hAnsi="Times New Roman" w:eastAsia="宋体" w:cs="宋体"/>
          <w:snapToGrid w:val="0"/>
          <w:color w:val="auto"/>
          <w:kern w:val="0"/>
          <w:sz w:val="24"/>
          <w:szCs w:val="24"/>
          <w:lang w:val="en-US" w:eastAsia="zh-CN" w:bidi="ar"/>
        </w:rPr>
        <w:t>多种问世，并在石油、造纸、纺织、铸造、医药、制革、防火、能源、包装、塑料，化工等工业领域中广泛应用。由此可见马铃薯及其深加工产品广泛用途是其他任何农产品不能比的。我国马铃薯种植基地分布广泛，约有</w:t>
      </w:r>
      <w:r>
        <w:rPr>
          <w:rFonts w:hint="default" w:ascii="Times New Roman" w:hAnsi="Times New Roman" w:eastAsia="宋体" w:cs="宋体"/>
          <w:snapToGrid w:val="0"/>
          <w:color w:val="auto"/>
          <w:kern w:val="0"/>
          <w:sz w:val="24"/>
          <w:szCs w:val="24"/>
          <w:lang w:val="en-US" w:eastAsia="zh-CN" w:bidi="ar"/>
        </w:rPr>
        <w:t>1.2</w:t>
      </w:r>
      <w:r>
        <w:rPr>
          <w:rFonts w:hint="eastAsia" w:ascii="Times New Roman" w:hAnsi="Times New Roman" w:eastAsia="宋体" w:cs="宋体"/>
          <w:snapToGrid w:val="0"/>
          <w:color w:val="auto"/>
          <w:kern w:val="0"/>
          <w:sz w:val="24"/>
          <w:szCs w:val="24"/>
          <w:lang w:val="en-US" w:eastAsia="zh-CN" w:bidi="ar"/>
        </w:rPr>
        <w:t>亿亩，平均亩产</w:t>
      </w:r>
      <w:r>
        <w:rPr>
          <w:rFonts w:hint="default" w:ascii="Times New Roman" w:hAnsi="Times New Roman" w:eastAsia="宋体" w:cs="宋体"/>
          <w:snapToGrid w:val="0"/>
          <w:color w:val="auto"/>
          <w:kern w:val="0"/>
          <w:sz w:val="24"/>
          <w:szCs w:val="24"/>
          <w:lang w:val="en-US" w:eastAsia="zh-CN" w:bidi="ar"/>
        </w:rPr>
        <w:t>1500</w:t>
      </w:r>
      <w:r>
        <w:rPr>
          <w:rFonts w:hint="eastAsia" w:ascii="Times New Roman" w:hAnsi="Times New Roman" w:eastAsia="宋体" w:cs="宋体"/>
          <w:snapToGrid w:val="0"/>
          <w:color w:val="auto"/>
          <w:kern w:val="0"/>
          <w:sz w:val="24"/>
          <w:szCs w:val="24"/>
          <w:lang w:val="en-US" w:eastAsia="zh-CN" w:bidi="ar"/>
        </w:rPr>
        <w:t>公斤左右，总产量达到</w:t>
      </w:r>
      <w:r>
        <w:rPr>
          <w:rFonts w:hint="default" w:ascii="Times New Roman" w:hAnsi="Times New Roman" w:eastAsia="宋体" w:cs="宋体"/>
          <w:snapToGrid w:val="0"/>
          <w:color w:val="auto"/>
          <w:kern w:val="0"/>
          <w:sz w:val="24"/>
          <w:szCs w:val="24"/>
          <w:lang w:val="en-US" w:eastAsia="zh-CN" w:bidi="ar"/>
        </w:rPr>
        <w:t>1.5</w:t>
      </w:r>
      <w:r>
        <w:rPr>
          <w:rFonts w:hint="eastAsia" w:ascii="Times New Roman" w:hAnsi="Times New Roman" w:eastAsia="宋体" w:cs="宋体"/>
          <w:snapToGrid w:val="0"/>
          <w:color w:val="auto"/>
          <w:kern w:val="0"/>
          <w:sz w:val="24"/>
          <w:szCs w:val="24"/>
          <w:lang w:val="en-US" w:eastAsia="zh-CN" w:bidi="ar"/>
        </w:rPr>
        <w:t>亿吨，根据南北生活条件的差异，主要集中在以下几个地区：</w:t>
      </w:r>
    </w:p>
    <w:p w14:paraId="5457DFC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北方一作区：包括青海、甘肃、宁夏、新疆、内蒙古、陕西北部山西北部、河北北部以及辽东半岛以北的辽宁、吉林、黑龙江。</w:t>
      </w:r>
    </w:p>
    <w:p w14:paraId="1AA2B1B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中原二作区：包括江西、江苏、浙江、安徽、山东、河南及陕西、山西、河北、辽宁四省的南部和湖北、湖南的东部。</w:t>
      </w:r>
    </w:p>
    <w:p w14:paraId="4545BBE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南方二作区：包括广东、广西、福建、台湾、海南。</w:t>
      </w:r>
    </w:p>
    <w:p w14:paraId="6FEE7F6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西南一、二季混作区：包括西藏、四川、贵州、云南和湖北、湖南的南部。</w:t>
      </w:r>
    </w:p>
    <w:p w14:paraId="2AF4036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马铃薯淀粉在国内更有极大的发展空间，从餐饮业调查情况，我国现有旅游涉外酒店</w:t>
      </w:r>
      <w:r>
        <w:rPr>
          <w:rFonts w:hint="default" w:ascii="Times New Roman" w:hAnsi="Times New Roman" w:eastAsia="宋体" w:cs="宋体"/>
          <w:snapToGrid w:val="0"/>
          <w:color w:val="auto"/>
          <w:kern w:val="0"/>
          <w:sz w:val="24"/>
          <w:szCs w:val="24"/>
          <w:lang w:val="en-US" w:eastAsia="zh-CN" w:bidi="ar"/>
        </w:rPr>
        <w:t>8000</w:t>
      </w:r>
      <w:r>
        <w:rPr>
          <w:rFonts w:hint="eastAsia" w:ascii="Times New Roman" w:hAnsi="Times New Roman" w:eastAsia="宋体" w:cs="宋体"/>
          <w:snapToGrid w:val="0"/>
          <w:color w:val="auto"/>
          <w:kern w:val="0"/>
          <w:sz w:val="24"/>
          <w:szCs w:val="24"/>
          <w:lang w:val="en-US" w:eastAsia="zh-CN" w:bidi="ar"/>
        </w:rPr>
        <w:t>多家，仅星级酒店就</w:t>
      </w:r>
      <w:r>
        <w:rPr>
          <w:rFonts w:hint="default" w:ascii="Times New Roman" w:hAnsi="Times New Roman" w:eastAsia="宋体" w:cs="宋体"/>
          <w:snapToGrid w:val="0"/>
          <w:color w:val="auto"/>
          <w:kern w:val="0"/>
          <w:sz w:val="24"/>
          <w:szCs w:val="24"/>
          <w:lang w:val="en-US" w:eastAsia="zh-CN" w:bidi="ar"/>
        </w:rPr>
        <w:t>3000</w:t>
      </w:r>
      <w:r>
        <w:rPr>
          <w:rFonts w:hint="eastAsia" w:ascii="Times New Roman" w:hAnsi="Times New Roman" w:eastAsia="宋体" w:cs="宋体"/>
          <w:snapToGrid w:val="0"/>
          <w:color w:val="auto"/>
          <w:kern w:val="0"/>
          <w:sz w:val="24"/>
          <w:szCs w:val="24"/>
          <w:lang w:val="en-US" w:eastAsia="zh-CN" w:bidi="ar"/>
        </w:rPr>
        <w:t>多家，而每家星级酒店用马铃薯淀粉作西点的膨松剂和涂抹食品的胶凝剂，以及中餐菜肴的增稠剂、火腿、肉类制品的吸附剂的用量，每月就在</w:t>
      </w:r>
      <w:r>
        <w:rPr>
          <w:rFonts w:hint="default" w:ascii="Times New Roman" w:hAnsi="Times New Roman" w:eastAsia="宋体" w:cs="宋体"/>
          <w:snapToGrid w:val="0"/>
          <w:color w:val="auto"/>
          <w:kern w:val="0"/>
          <w:sz w:val="24"/>
          <w:szCs w:val="24"/>
          <w:lang w:val="en-US" w:eastAsia="zh-CN" w:bidi="ar"/>
        </w:rPr>
        <w:t>2t</w:t>
      </w:r>
      <w:r>
        <w:rPr>
          <w:rFonts w:hint="eastAsia" w:ascii="Times New Roman" w:hAnsi="Times New Roman" w:eastAsia="宋体" w:cs="宋体"/>
          <w:snapToGrid w:val="0"/>
          <w:color w:val="auto"/>
          <w:kern w:val="0"/>
          <w:sz w:val="24"/>
          <w:szCs w:val="24"/>
          <w:lang w:val="en-US" w:eastAsia="zh-CN" w:bidi="ar"/>
        </w:rPr>
        <w:t>以上，仅此一项每年就需马铃薯淀粉7万～8万</w:t>
      </w:r>
      <w:r>
        <w:rPr>
          <w:rFonts w:hint="default" w:ascii="Times New Roman" w:hAnsi="Times New Roman" w:eastAsia="宋体" w:cs="宋体"/>
          <w:snapToGrid w:val="0"/>
          <w:color w:val="auto"/>
          <w:kern w:val="0"/>
          <w:sz w:val="24"/>
          <w:szCs w:val="24"/>
          <w:lang w:val="en-US" w:eastAsia="zh-CN" w:bidi="ar"/>
        </w:rPr>
        <w:t>t</w:t>
      </w:r>
      <w:r>
        <w:rPr>
          <w:rFonts w:hint="eastAsia" w:ascii="Times New Roman" w:hAnsi="Times New Roman" w:eastAsia="宋体" w:cs="宋体"/>
          <w:snapToGrid w:val="0"/>
          <w:color w:val="auto"/>
          <w:kern w:val="0"/>
          <w:sz w:val="24"/>
          <w:szCs w:val="24"/>
          <w:lang w:val="en-US" w:eastAsia="zh-CN" w:bidi="ar"/>
        </w:rPr>
        <w:t>，天津顶新集团和旺旺食品年需</w:t>
      </w:r>
      <w:r>
        <w:rPr>
          <w:rFonts w:hint="default" w:ascii="Times New Roman" w:hAnsi="Times New Roman" w:eastAsia="宋体" w:cs="宋体"/>
          <w:snapToGrid w:val="0"/>
          <w:color w:val="auto"/>
          <w:kern w:val="0"/>
          <w:sz w:val="24"/>
          <w:szCs w:val="24"/>
          <w:lang w:val="en-US" w:eastAsia="zh-CN" w:bidi="ar"/>
        </w:rPr>
        <w:t>6</w:t>
      </w:r>
      <w:r>
        <w:rPr>
          <w:rFonts w:hint="eastAsia" w:ascii="Times New Roman" w:hAnsi="Times New Roman" w:eastAsia="宋体" w:cs="宋体"/>
          <w:snapToGrid w:val="0"/>
          <w:color w:val="auto"/>
          <w:kern w:val="0"/>
          <w:sz w:val="24"/>
          <w:szCs w:val="24"/>
          <w:lang w:val="en-US" w:eastAsia="zh-CN" w:bidi="ar"/>
        </w:rPr>
        <w:t>万吨，目前由于国内符合高产品质量的淀粉不够，该集团大部分从国外进口马铃薯淀粉。这还不包括其他非星级的酒店、饭店的用量，而这些酒店、饭店的数量极大，全国要以数以百万计，均使用马铃薯淀粉作增稠剂，因为它的用量是玉米淀粉的</w:t>
      </w:r>
      <w:r>
        <w:rPr>
          <w:rFonts w:hint="default" w:ascii="Times New Roman" w:hAnsi="Times New Roman" w:eastAsia="宋体" w:cs="宋体"/>
          <w:snapToGrid w:val="0"/>
          <w:color w:val="auto"/>
          <w:kern w:val="0"/>
          <w:sz w:val="24"/>
          <w:szCs w:val="24"/>
          <w:lang w:val="en-US" w:eastAsia="zh-CN" w:bidi="ar"/>
        </w:rPr>
        <w:t>1/40</w:t>
      </w:r>
      <w:r>
        <w:rPr>
          <w:rFonts w:hint="eastAsia" w:ascii="Times New Roman" w:hAnsi="Times New Roman" w:eastAsia="宋体" w:cs="宋体"/>
          <w:snapToGrid w:val="0"/>
          <w:color w:val="auto"/>
          <w:kern w:val="0"/>
          <w:sz w:val="24"/>
          <w:szCs w:val="24"/>
          <w:lang w:val="en-US" w:eastAsia="zh-CN" w:bidi="ar"/>
        </w:rPr>
        <w:t>。发达国家</w:t>
      </w:r>
      <w:r>
        <w:rPr>
          <w:rFonts w:hint="default" w:ascii="Times New Roman" w:hAnsi="Times New Roman" w:eastAsia="宋体" w:cs="宋体"/>
          <w:snapToGrid w:val="0"/>
          <w:color w:val="auto"/>
          <w:kern w:val="0"/>
          <w:sz w:val="24"/>
          <w:szCs w:val="24"/>
          <w:lang w:val="en-US" w:eastAsia="zh-CN" w:bidi="ar"/>
        </w:rPr>
        <w:t>80%</w:t>
      </w:r>
      <w:r>
        <w:rPr>
          <w:rFonts w:hint="eastAsia" w:ascii="Times New Roman" w:hAnsi="Times New Roman" w:eastAsia="宋体" w:cs="宋体"/>
          <w:snapToGrid w:val="0"/>
          <w:color w:val="auto"/>
          <w:kern w:val="0"/>
          <w:sz w:val="24"/>
          <w:szCs w:val="24"/>
          <w:lang w:val="en-US" w:eastAsia="zh-CN" w:bidi="ar"/>
        </w:rPr>
        <w:t>的马铃薯淀粉用于医药、纺织、造纸及石油工业等领域，而我国目前</w:t>
      </w:r>
      <w:r>
        <w:rPr>
          <w:rFonts w:hint="default" w:ascii="Times New Roman" w:hAnsi="Times New Roman" w:eastAsia="宋体" w:cs="宋体"/>
          <w:snapToGrid w:val="0"/>
          <w:color w:val="auto"/>
          <w:kern w:val="0"/>
          <w:sz w:val="24"/>
          <w:szCs w:val="24"/>
          <w:lang w:val="en-US" w:eastAsia="zh-CN" w:bidi="ar"/>
        </w:rPr>
        <w:t>90%</w:t>
      </w:r>
      <w:r>
        <w:rPr>
          <w:rFonts w:hint="eastAsia" w:ascii="Times New Roman" w:hAnsi="Times New Roman" w:eastAsia="宋体" w:cs="宋体"/>
          <w:snapToGrid w:val="0"/>
          <w:color w:val="auto"/>
          <w:kern w:val="0"/>
          <w:sz w:val="24"/>
          <w:szCs w:val="24"/>
          <w:lang w:val="en-US" w:eastAsia="zh-CN" w:bidi="ar"/>
        </w:rPr>
        <w:t>的马铃薯淀粉是用于食品工业，随着市场经济的发展和国际化的推进，食品工业以外的行业对马铃薯淀粉的需求量将不断增加，我国未来马铃薯淀粉市场将会有较大的发展空间。</w:t>
      </w:r>
    </w:p>
    <w:p w14:paraId="495279B6">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default" w:ascii="Times New Roman" w:hAnsi="Times New Roman" w:eastAsia="宋体" w:cs="宋体"/>
          <w:b/>
          <w:color w:val="auto"/>
          <w:sz w:val="24"/>
          <w:lang w:val="en-US" w:eastAsia="zh-CN"/>
        </w:rPr>
        <w:t>2.1.2</w:t>
      </w:r>
      <w:r>
        <w:rPr>
          <w:rFonts w:hint="eastAsia" w:ascii="Times New Roman" w:hAnsi="Times New Roman" w:eastAsia="宋体" w:cs="宋体"/>
          <w:b/>
          <w:color w:val="auto"/>
          <w:sz w:val="24"/>
          <w:lang w:val="en-US" w:eastAsia="zh-CN"/>
        </w:rPr>
        <w:t>、区域背景</w:t>
      </w:r>
    </w:p>
    <w:p w14:paraId="18C4FE6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拥有丰富的自然资源和便利的交通条件。该区域及周边县区农业基础雄厚，尤其以马铃薯种植面积广、产量高而闻名。该区域的马铃薯淀粉加工产业规模较小，并且与国内外先进水平相比，仍存在一定的差距。因此，本项目拟在该区建设马铃薯淀粉深加工生产线，旨在提升产品附加值，推动区域经济的进一步发展。</w:t>
      </w:r>
    </w:p>
    <w:p w14:paraId="5DE611AE">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eastAsia" w:ascii="Times New Roman" w:hAnsi="Times New Roman" w:eastAsia="宋体" w:cs="宋体"/>
          <w:b/>
          <w:bCs/>
          <w:color w:val="auto"/>
          <w:sz w:val="28"/>
          <w:szCs w:val="28"/>
          <w:lang w:val="en-US" w:eastAsia="zh-CN"/>
        </w:rPr>
      </w:pPr>
      <w:bookmarkStart w:id="15" w:name="_Toc15489"/>
      <w:r>
        <w:rPr>
          <w:rFonts w:hint="eastAsia" w:ascii="Times New Roman" w:hAnsi="Times New Roman" w:eastAsia="宋体" w:cs="宋体"/>
          <w:b/>
          <w:bCs/>
          <w:color w:val="auto"/>
          <w:sz w:val="28"/>
          <w:szCs w:val="28"/>
          <w:lang w:val="en-US" w:eastAsia="zh-CN"/>
        </w:rPr>
        <w:t>2.2、产业政策</w:t>
      </w:r>
      <w:bookmarkEnd w:id="15"/>
    </w:p>
    <w:p w14:paraId="2007C40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国务院办公厅关于加快转变农业发展方式的意见》（国办发〔2015〕59号）要求：转变农业发展方式取得积极进展。多种形式的农业适度规模经营加快发展，农业综合生产能力稳步提升，产业结构逐步优化，农业资源利用和生态环境保护水平不断提高，物质技术装备条件显著改善，农民收入持续增加，为全面建成小康社会提供重要支撑。到2030年，转变农业发展方式取得显著成效。产品优质安全，农业资源利用高效，产地生态环境良好，产业发展有机融合，农业质量和效益明显提升，竞争力显著增强。</w:t>
      </w:r>
    </w:p>
    <w:p w14:paraId="3361F5B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中华人民共和国国民经济和社会发展第十四个五年规划和2035年远景目标纲要》指出：发展县域经济，推进农村一二、三产业融合发展，延长农业产业链条，发展各具特色的现代乡村富民产业。推动种养加结合和产业链再造，提高农产品加工业和农业生产性服务业发展水平，壮大休闲农业、乡村旅游、民宿经济等特色产业。加强农产品仓储保鲜和冷链物流设施建设，健全农村产权交易、商贸流通、检验检测认证等平台和智能标准厂房等设施，引导农村二、三产业集聚发展。完善利益联结机制，通过“资源变资产、资金变股金、农民变股东”，让农民更多分享产业增值收益。</w:t>
      </w:r>
    </w:p>
    <w:p w14:paraId="1FDBF9D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3）《国务院关于印发“十四五”推进农业农村现代化规划的通知》（国发〔2021〕25号）指出：推进农业全产业链开发。顺应产业发展规律，开发农业多种功能和乡村多元价值，推动农业从种养环节向农产品加工流通等二、三产业延伸，健全产业链、打造供应链、提升价值链，提高农业综合效益，立足新发展阶段，完整、准确、全面贯彻新发展理念，构建新发展格局，坚持农业农村优先发展，坚持农业现代化与农村现代化一体设计、一并推进，以推动高质量发展为主题，以保供固安全、振兴畅循环为工作定位，深化农业供给侧结构性改革，把乡村建设摆在社会主义现代化建设的重要位置，实现巩固拓展脱贫攻坚成果同乡村振兴有效衔接，全面推进乡村产业、人才、文化、生态、组织振兴，加快形成工农互促、城乡互补、协调发展、共同繁荣的新型工农城乡关系，促进农业高质高效、乡村宜居宜业、农民富裕富足，为全面建设社会主义现代化国家提供有力支撑。到2025年，农业基础更加稳固，乡村振兴战略全面推进，农业农村现代化取得重要进展。梯次推进有条件的地区率先基本实现农业农村现代化，脱贫地区实现巩固拓展脱贫攻坚成果同乡村振兴有</w:t>
      </w:r>
    </w:p>
    <w:p w14:paraId="031C635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效衔接。农业生产结构和区域布局明显优化，物质技术装备条件持续改善，规模化、集约化、标准化、数字化水平进一步提高，绿色优质农产品供给能力明显增强。产业链供应链优化升级，现代乡村产业体系基本形成。</w:t>
      </w:r>
    </w:p>
    <w:p w14:paraId="31B394A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4）《农业农村部关于推进马铃薯产业开发的指导意见》指出：保障国家粮食安全是发展现代农业的首要任务。立足我国资源禀赋和粮食供求形势，顺应居民消费升级的新趋势，树立大食物观，全方位、多途径开发食物资源，积极推进马铃薯产业开发，意义十分重大；提出把马铃薯作为主粮，扩大种植面积、推进产业开发。到2025年，马铃薯种植面积扩大到1亿亩以上，平均产量提高到1300公斤，总产量达到1.3亿吨左右；优质脱毒种薯普及率达到45%，适宜主食加工的品种种植比例达到30%，主食消费占马铃薯总消费量的30%。</w:t>
      </w:r>
    </w:p>
    <w:p w14:paraId="0D0EDF9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5）农业农村部印发《“十四五”全国种植业发展规划》提出：马铃薯是重要的粮食作物和食品加工原料。“十四五”期间要稳定面积、多元发展，突出专用、改善品质。到2025年，播种面积稳定在700万亩左右，产量保持在1750万吨左右。大力推广高产高干物质品种和脱毒种薯，扩大加工专用型马铃薯品种种植。</w:t>
      </w:r>
    </w:p>
    <w:p w14:paraId="7E2667C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6）《甘肃省“十四五”推进农业农村现代化规划》指出：到2025年，农业农村现代化取得重要进展，农业基础更加稳固，粮食和重要农产品供给保障更加有力，农业质量效益和竞争力明显提升，现代乡村产业体系基本形成。农村生态环境得到明显改善。全省乡村面貌发生显著变化，乡村发展活力充分激发，农民获得感、幸福感、安全感明显提高。全省特色优势产业加快发展，牛、羊存栏量分别达到600万头、3300万只以上、出栏量分别达到300万头、2700万只以上，蔬菜、苹果、马铃薯、中药材总产量分别达到3500万吨、870万吨、2100万吨、156万吨以上，杂交马铃薯种子生产基地面积稳定在140万亩以上，建成马铃薯种薯繁育基地100万亩，生产杂交马铃薯、马铃薯（原良种）种量分别达到5.8亿公斤、150万吨。创建并认定一批国家级和省级现代农业产业园，打造一批县域百亿级产业和全省500亿元以上的产业，加快把六大优势特色产业发展成为县域战略性主导产业。</w:t>
      </w:r>
    </w:p>
    <w:p w14:paraId="29C1F631">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snapToGrid w:val="0"/>
          <w:color w:val="auto"/>
          <w:kern w:val="0"/>
          <w:sz w:val="24"/>
          <w:szCs w:val="24"/>
          <w:lang w:val="en-US" w:eastAsia="zh-CN" w:bidi="ar"/>
        </w:rPr>
      </w:pPr>
      <w:bookmarkStart w:id="16" w:name="_Toc26968"/>
      <w:r>
        <w:rPr>
          <w:rFonts w:hint="eastAsia" w:ascii="Times New Roman" w:hAnsi="Times New Roman" w:eastAsia="宋体" w:cs="宋体"/>
          <w:b/>
          <w:bCs/>
          <w:color w:val="auto"/>
          <w:sz w:val="28"/>
          <w:szCs w:val="28"/>
          <w:lang w:val="en-US" w:eastAsia="zh-CN"/>
        </w:rPr>
        <w:t>2.</w:t>
      </w:r>
      <w:r>
        <w:rPr>
          <w:rFonts w:hint="eastAsia" w:ascii="Times New Roman" w:hAnsi="Times New Roman" w:cs="宋体"/>
          <w:b/>
          <w:bCs/>
          <w:color w:val="auto"/>
          <w:sz w:val="28"/>
          <w:szCs w:val="28"/>
          <w:lang w:val="en-US" w:eastAsia="zh-CN"/>
        </w:rPr>
        <w:t>3</w:t>
      </w:r>
      <w:r>
        <w:rPr>
          <w:rFonts w:hint="eastAsia" w:ascii="Times New Roman" w:hAnsi="Times New Roman" w:eastAsia="宋体" w:cs="宋体"/>
          <w:b/>
          <w:bCs/>
          <w:color w:val="auto"/>
          <w:sz w:val="28"/>
          <w:szCs w:val="28"/>
          <w:lang w:val="en-US" w:eastAsia="zh-CN"/>
        </w:rPr>
        <w:t>、</w:t>
      </w:r>
      <w:r>
        <w:rPr>
          <w:rFonts w:hint="eastAsia" w:ascii="Times New Roman" w:hAnsi="Times New Roman" w:cs="宋体"/>
          <w:b/>
          <w:bCs/>
          <w:color w:val="auto"/>
          <w:sz w:val="28"/>
          <w:szCs w:val="28"/>
          <w:lang w:val="en-US" w:eastAsia="zh-CN"/>
        </w:rPr>
        <w:t>行业背景</w:t>
      </w:r>
      <w:bookmarkEnd w:id="16"/>
    </w:p>
    <w:p w14:paraId="297B9D1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多年来，我国马铃薯淀粉行业坚持以末端达标排放为核心的环境管理制度，废水排放执行《淀粉工业水污染排放标准》(GB 25461-2010)，排放废水</w:t>
      </w:r>
      <w:r>
        <w:rPr>
          <w:rFonts w:hint="default" w:ascii="Times New Roman" w:hAnsi="Times New Roman" w:eastAsia="宋体" w:cs="宋体"/>
          <w:snapToGrid w:val="0"/>
          <w:color w:val="auto"/>
          <w:kern w:val="0"/>
          <w:sz w:val="24"/>
          <w:szCs w:val="24"/>
          <w:lang w:val="en-US" w:eastAsia="zh-CN" w:bidi="ar"/>
        </w:rPr>
        <w:t>COD</w:t>
      </w:r>
      <w:r>
        <w:rPr>
          <w:rFonts w:hint="eastAsia" w:ascii="Times New Roman" w:hAnsi="Times New Roman" w:eastAsia="宋体" w:cs="宋体"/>
          <w:snapToGrid w:val="0"/>
          <w:color w:val="auto"/>
          <w:kern w:val="0"/>
          <w:sz w:val="24"/>
          <w:szCs w:val="24"/>
          <w:lang w:val="en-US" w:eastAsia="zh-CN" w:bidi="ar"/>
        </w:rPr>
        <w:t>要求低于</w:t>
      </w:r>
      <w:r>
        <w:rPr>
          <w:rFonts w:hint="default" w:ascii="Times New Roman" w:hAnsi="Times New Roman" w:eastAsia="宋体" w:cs="宋体"/>
          <w:snapToGrid w:val="0"/>
          <w:color w:val="auto"/>
          <w:kern w:val="0"/>
          <w:sz w:val="24"/>
          <w:szCs w:val="24"/>
          <w:lang w:val="en-US" w:eastAsia="zh-CN" w:bidi="ar"/>
        </w:rPr>
        <w:t>100mg/L</w:t>
      </w:r>
      <w:r>
        <w:rPr>
          <w:rFonts w:hint="eastAsia" w:ascii="Times New Roman" w:hAnsi="Times New Roman" w:eastAsia="宋体" w:cs="宋体"/>
          <w:snapToGrid w:val="0"/>
          <w:color w:val="auto"/>
          <w:kern w:val="0"/>
          <w:sz w:val="24"/>
          <w:szCs w:val="24"/>
          <w:lang w:val="en-US" w:eastAsia="zh-CN" w:bidi="ar"/>
        </w:rPr>
        <w:t>，</w:t>
      </w:r>
      <w:r>
        <w:rPr>
          <w:rFonts w:hint="default" w:ascii="Times New Roman" w:hAnsi="Times New Roman" w:eastAsia="宋体" w:cs="宋体"/>
          <w:snapToGrid w:val="0"/>
          <w:color w:val="auto"/>
          <w:kern w:val="0"/>
          <w:sz w:val="24"/>
          <w:szCs w:val="24"/>
          <w:lang w:val="en-US" w:eastAsia="zh-CN" w:bidi="ar"/>
        </w:rPr>
        <w:t>BOD</w:t>
      </w:r>
      <w:r>
        <w:rPr>
          <w:rFonts w:hint="eastAsia" w:ascii="Times New Roman" w:hAnsi="Times New Roman" w:eastAsia="宋体" w:cs="宋体"/>
          <w:snapToGrid w:val="0"/>
          <w:color w:val="auto"/>
          <w:kern w:val="0"/>
          <w:sz w:val="24"/>
          <w:szCs w:val="24"/>
          <w:lang w:val="en-US" w:eastAsia="zh-CN" w:bidi="ar"/>
        </w:rPr>
        <w:t>低于</w:t>
      </w:r>
      <w:r>
        <w:rPr>
          <w:rFonts w:hint="default" w:ascii="Times New Roman" w:hAnsi="Times New Roman" w:eastAsia="宋体" w:cs="宋体"/>
          <w:snapToGrid w:val="0"/>
          <w:color w:val="auto"/>
          <w:kern w:val="0"/>
          <w:sz w:val="24"/>
          <w:szCs w:val="24"/>
          <w:lang w:val="en-US" w:eastAsia="zh-CN" w:bidi="ar"/>
        </w:rPr>
        <w:t>20mg/L</w:t>
      </w:r>
      <w:r>
        <w:rPr>
          <w:rFonts w:hint="eastAsia" w:ascii="Times New Roman" w:hAnsi="Times New Roman" w:eastAsia="宋体" w:cs="宋体"/>
          <w:snapToGrid w:val="0"/>
          <w:color w:val="auto"/>
          <w:kern w:val="0"/>
          <w:sz w:val="24"/>
          <w:szCs w:val="24"/>
          <w:lang w:val="en-US" w:eastAsia="zh-CN" w:bidi="ar"/>
        </w:rPr>
        <w:t>。然而经过近</w:t>
      </w:r>
      <w:r>
        <w:rPr>
          <w:rFonts w:hint="default" w:ascii="Times New Roman" w:hAnsi="Times New Roman" w:eastAsia="宋体" w:cs="宋体"/>
          <w:snapToGrid w:val="0"/>
          <w:color w:val="auto"/>
          <w:kern w:val="0"/>
          <w:sz w:val="24"/>
          <w:szCs w:val="24"/>
          <w:lang w:val="en-US" w:eastAsia="zh-CN" w:bidi="ar"/>
        </w:rPr>
        <w:t>20</w:t>
      </w:r>
      <w:r>
        <w:rPr>
          <w:rFonts w:hint="eastAsia" w:ascii="Times New Roman" w:hAnsi="Times New Roman" w:eastAsia="宋体" w:cs="宋体"/>
          <w:snapToGrid w:val="0"/>
          <w:color w:val="auto"/>
          <w:kern w:val="0"/>
          <w:sz w:val="24"/>
          <w:szCs w:val="24"/>
          <w:lang w:val="en-US" w:eastAsia="zh-CN" w:bidi="ar"/>
        </w:rPr>
        <w:t>年的实践与探索，截至目前，全行业仍无法实现稳定达标排放。根据</w:t>
      </w:r>
      <w:r>
        <w:rPr>
          <w:rFonts w:hint="default" w:ascii="Times New Roman" w:hAnsi="Times New Roman" w:eastAsia="宋体" w:cs="宋体"/>
          <w:snapToGrid w:val="0"/>
          <w:color w:val="auto"/>
          <w:kern w:val="0"/>
          <w:sz w:val="24"/>
          <w:szCs w:val="24"/>
          <w:lang w:val="en-US" w:eastAsia="zh-CN" w:bidi="ar"/>
        </w:rPr>
        <w:t>2017</w:t>
      </w:r>
      <w:r>
        <w:rPr>
          <w:rFonts w:hint="eastAsia" w:ascii="Times New Roman" w:hAnsi="Times New Roman" w:eastAsia="宋体" w:cs="宋体"/>
          <w:snapToGrid w:val="0"/>
          <w:color w:val="auto"/>
          <w:kern w:val="0"/>
          <w:sz w:val="24"/>
          <w:szCs w:val="24"/>
          <w:lang w:val="en-US" w:eastAsia="zh-CN" w:bidi="ar"/>
        </w:rPr>
        <w:t>年环保部科技标准司组织开展的《淀粉工业水污染物排放标准》评估结果，薯类淀粉行业废水达标率仅为</w:t>
      </w:r>
      <w:r>
        <w:rPr>
          <w:rFonts w:hint="default" w:ascii="Times New Roman" w:hAnsi="Times New Roman" w:eastAsia="宋体" w:cs="宋体"/>
          <w:snapToGrid w:val="0"/>
          <w:color w:val="auto"/>
          <w:kern w:val="0"/>
          <w:sz w:val="24"/>
          <w:szCs w:val="24"/>
          <w:lang w:val="en-US" w:eastAsia="zh-CN" w:bidi="ar"/>
        </w:rPr>
        <w:t>6.62%</w:t>
      </w:r>
      <w:r>
        <w:rPr>
          <w:rFonts w:hint="eastAsia" w:ascii="Times New Roman" w:hAnsi="Times New Roman" w:eastAsia="宋体" w:cs="宋体"/>
          <w:snapToGrid w:val="0"/>
          <w:color w:val="auto"/>
          <w:kern w:val="0"/>
          <w:sz w:val="24"/>
          <w:szCs w:val="24"/>
          <w:lang w:val="en-US" w:eastAsia="zh-CN" w:bidi="ar"/>
        </w:rPr>
        <w:t>，达标企业均为变性淀粉加工企业，究其原因主要是以下几个方面：</w:t>
      </w:r>
    </w:p>
    <w:p w14:paraId="00136D5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w:t>
      </w:r>
      <w:r>
        <w:rPr>
          <w:rFonts w:hint="default" w:ascii="Times New Roman" w:hAnsi="Times New Roman" w:eastAsia="宋体" w:cs="宋体"/>
          <w:snapToGrid w:val="0"/>
          <w:color w:val="auto"/>
          <w:kern w:val="0"/>
          <w:sz w:val="24"/>
          <w:szCs w:val="24"/>
          <w:lang w:val="en-US" w:eastAsia="zh-CN" w:bidi="ar"/>
        </w:rPr>
        <w:t>1</w:t>
      </w:r>
      <w:r>
        <w:rPr>
          <w:rFonts w:hint="eastAsia" w:ascii="Times New Roman" w:hAnsi="Times New Roman" w:eastAsia="宋体" w:cs="宋体"/>
          <w:snapToGrid w:val="0"/>
          <w:color w:val="auto"/>
          <w:kern w:val="0"/>
          <w:sz w:val="24"/>
          <w:szCs w:val="24"/>
          <w:lang w:val="en-US" w:eastAsia="zh-CN" w:bidi="ar"/>
        </w:rPr>
        <w:t>）季节性生产</w:t>
      </w:r>
    </w:p>
    <w:p w14:paraId="6D4E8C6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与玉米淀粉、小麦淀粉可常年连续生产不同，马铃薯淀粉加工受原料限制，是季节性生产，全国一般集中在8-</w:t>
      </w:r>
      <w:r>
        <w:rPr>
          <w:rFonts w:hint="default" w:ascii="Times New Roman" w:hAnsi="Times New Roman" w:eastAsia="宋体" w:cs="宋体"/>
          <w:snapToGrid w:val="0"/>
          <w:color w:val="auto"/>
          <w:kern w:val="0"/>
          <w:sz w:val="24"/>
          <w:szCs w:val="24"/>
          <w:lang w:val="en-US" w:eastAsia="zh-CN" w:bidi="ar"/>
        </w:rPr>
        <w:t>12</w:t>
      </w:r>
      <w:r>
        <w:rPr>
          <w:rFonts w:hint="eastAsia" w:ascii="Times New Roman" w:hAnsi="Times New Roman" w:eastAsia="宋体" w:cs="宋体"/>
          <w:snapToGrid w:val="0"/>
          <w:color w:val="auto"/>
          <w:kern w:val="0"/>
          <w:sz w:val="24"/>
          <w:szCs w:val="24"/>
          <w:lang w:val="en-US" w:eastAsia="zh-CN" w:bidi="ar"/>
        </w:rPr>
        <w:t>月份，实际生产时间很短，一般仅</w:t>
      </w:r>
      <w:r>
        <w:rPr>
          <w:rFonts w:hint="default" w:ascii="Times New Roman" w:hAnsi="Times New Roman" w:eastAsia="宋体" w:cs="宋体"/>
          <w:snapToGrid w:val="0"/>
          <w:color w:val="auto"/>
          <w:kern w:val="0"/>
          <w:sz w:val="24"/>
          <w:szCs w:val="24"/>
          <w:lang w:val="en-US" w:eastAsia="zh-CN" w:bidi="ar"/>
        </w:rPr>
        <w:t xml:space="preserve">40~60 </w:t>
      </w:r>
      <w:r>
        <w:rPr>
          <w:rFonts w:hint="eastAsia" w:ascii="Times New Roman" w:hAnsi="Times New Roman" w:eastAsia="宋体" w:cs="宋体"/>
          <w:snapToGrid w:val="0"/>
          <w:color w:val="auto"/>
          <w:kern w:val="0"/>
          <w:sz w:val="24"/>
          <w:szCs w:val="24"/>
          <w:lang w:val="en-US" w:eastAsia="zh-CN" w:bidi="ar"/>
        </w:rPr>
        <w:t>天。这种间歇式生产运行形式不利于生化法的菌种连续工作条件，马铃薯淀粉废水生化处理系统基本成为摆设，无法正常有效运行。</w:t>
      </w:r>
    </w:p>
    <w:p w14:paraId="1AEC395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w:t>
      </w:r>
      <w:r>
        <w:rPr>
          <w:rFonts w:hint="default" w:ascii="Times New Roman" w:hAnsi="Times New Roman" w:eastAsia="宋体" w:cs="宋体"/>
          <w:snapToGrid w:val="0"/>
          <w:color w:val="auto"/>
          <w:kern w:val="0"/>
          <w:sz w:val="24"/>
          <w:szCs w:val="24"/>
          <w:lang w:val="en-US" w:eastAsia="zh-CN" w:bidi="ar"/>
        </w:rPr>
        <w:t>2</w:t>
      </w:r>
      <w:r>
        <w:rPr>
          <w:rFonts w:hint="eastAsia" w:ascii="Times New Roman" w:hAnsi="Times New Roman" w:eastAsia="宋体" w:cs="宋体"/>
          <w:snapToGrid w:val="0"/>
          <w:color w:val="auto"/>
          <w:kern w:val="0"/>
          <w:sz w:val="24"/>
          <w:szCs w:val="24"/>
          <w:lang w:val="en-US" w:eastAsia="zh-CN" w:bidi="ar"/>
        </w:rPr>
        <w:t>）自然环境不适于废水末端治理工艺</w:t>
      </w:r>
    </w:p>
    <w:p w14:paraId="5D6FCD1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马铃薯主产区集中在</w:t>
      </w: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三北</w:t>
      </w: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地区，生产季节</w:t>
      </w:r>
      <w:r>
        <w:rPr>
          <w:rFonts w:hint="default" w:ascii="Times New Roman" w:hAnsi="Times New Roman" w:eastAsia="宋体" w:cs="宋体"/>
          <w:snapToGrid w:val="0"/>
          <w:color w:val="auto"/>
          <w:kern w:val="0"/>
          <w:sz w:val="24"/>
          <w:szCs w:val="24"/>
          <w:lang w:val="en-US" w:eastAsia="zh-CN" w:bidi="ar"/>
        </w:rPr>
        <w:t>9-12</w:t>
      </w:r>
      <w:r>
        <w:rPr>
          <w:rFonts w:hint="eastAsia" w:ascii="Times New Roman" w:hAnsi="Times New Roman" w:eastAsia="宋体" w:cs="宋体"/>
          <w:snapToGrid w:val="0"/>
          <w:color w:val="auto"/>
          <w:kern w:val="0"/>
          <w:sz w:val="24"/>
          <w:szCs w:val="24"/>
          <w:lang w:val="en-US" w:eastAsia="zh-CN" w:bidi="ar"/>
        </w:rPr>
        <w:t>月份气温低，有冰冻，低温可达零下</w:t>
      </w:r>
      <w:r>
        <w:rPr>
          <w:rFonts w:hint="default" w:ascii="Times New Roman" w:hAnsi="Times New Roman" w:eastAsia="宋体" w:cs="宋体"/>
          <w:snapToGrid w:val="0"/>
          <w:color w:val="auto"/>
          <w:kern w:val="0"/>
          <w:sz w:val="24"/>
          <w:szCs w:val="24"/>
          <w:lang w:val="en-US" w:eastAsia="zh-CN" w:bidi="ar"/>
        </w:rPr>
        <w:t>5-15</w:t>
      </w:r>
      <w:r>
        <w:rPr>
          <w:rFonts w:hint="eastAsia" w:ascii="Times New Roman" w:hAnsi="Times New Roman" w:eastAsia="宋体" w:cs="宋体"/>
          <w:snapToGrid w:val="0"/>
          <w:color w:val="auto"/>
          <w:kern w:val="0"/>
          <w:sz w:val="24"/>
          <w:szCs w:val="24"/>
          <w:lang w:val="en-US" w:eastAsia="zh-CN" w:bidi="ar"/>
        </w:rPr>
        <w:t>℃之间，极不利于废水生化处理工艺的运行（生化处理工艺最适温度为</w:t>
      </w:r>
      <w:r>
        <w:rPr>
          <w:rFonts w:hint="default" w:ascii="Times New Roman" w:hAnsi="Times New Roman" w:eastAsia="宋体" w:cs="宋体"/>
          <w:snapToGrid w:val="0"/>
          <w:color w:val="auto"/>
          <w:kern w:val="0"/>
          <w:sz w:val="24"/>
          <w:szCs w:val="24"/>
          <w:lang w:val="en-US" w:eastAsia="zh-CN" w:bidi="ar"/>
        </w:rPr>
        <w:t>32-35</w:t>
      </w:r>
      <w:r>
        <w:rPr>
          <w:rFonts w:hint="eastAsia" w:ascii="Times New Roman" w:hAnsi="Times New Roman" w:eastAsia="宋体" w:cs="宋体"/>
          <w:snapToGrid w:val="0"/>
          <w:color w:val="auto"/>
          <w:kern w:val="0"/>
          <w:sz w:val="24"/>
          <w:szCs w:val="24"/>
          <w:lang w:val="en-US" w:eastAsia="zh-CN" w:bidi="ar"/>
        </w:rPr>
        <w:t>℃）。为保证处理效果，有时甚至需要加温，但厌氧和好氧微生物活力仍无法保证。</w:t>
      </w:r>
    </w:p>
    <w:p w14:paraId="7467C93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w:t>
      </w:r>
      <w:r>
        <w:rPr>
          <w:rFonts w:hint="default" w:ascii="Times New Roman" w:hAnsi="Times New Roman" w:eastAsia="宋体" w:cs="宋体"/>
          <w:snapToGrid w:val="0"/>
          <w:color w:val="auto"/>
          <w:kern w:val="0"/>
          <w:sz w:val="24"/>
          <w:szCs w:val="24"/>
          <w:lang w:val="en-US" w:eastAsia="zh-CN" w:bidi="ar"/>
        </w:rPr>
        <w:t>3</w:t>
      </w:r>
      <w:r>
        <w:rPr>
          <w:rFonts w:hint="eastAsia" w:ascii="Times New Roman" w:hAnsi="Times New Roman" w:eastAsia="宋体" w:cs="宋体"/>
          <w:snapToGrid w:val="0"/>
          <w:color w:val="auto"/>
          <w:kern w:val="0"/>
          <w:sz w:val="24"/>
          <w:szCs w:val="24"/>
          <w:lang w:val="en-US" w:eastAsia="zh-CN" w:bidi="ar"/>
        </w:rPr>
        <w:t xml:space="preserve">）投资运行成本高 </w:t>
      </w:r>
    </w:p>
    <w:p w14:paraId="2746B6E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2015</w:t>
      </w:r>
      <w:r>
        <w:rPr>
          <w:rFonts w:hint="eastAsia" w:ascii="Times New Roman" w:hAnsi="Times New Roman" w:eastAsia="宋体" w:cs="宋体"/>
          <w:snapToGrid w:val="0"/>
          <w:color w:val="auto"/>
          <w:kern w:val="0"/>
          <w:sz w:val="24"/>
          <w:szCs w:val="24"/>
          <w:lang w:val="en-US" w:eastAsia="zh-CN" w:bidi="ar"/>
        </w:rPr>
        <w:t>年</w:t>
      </w:r>
      <w:r>
        <w:rPr>
          <w:rFonts w:hint="default" w:ascii="Times New Roman" w:hAnsi="Times New Roman" w:eastAsia="宋体" w:cs="宋体"/>
          <w:snapToGrid w:val="0"/>
          <w:color w:val="auto"/>
          <w:kern w:val="0"/>
          <w:sz w:val="24"/>
          <w:szCs w:val="24"/>
          <w:lang w:val="en-US" w:eastAsia="zh-CN" w:bidi="ar"/>
        </w:rPr>
        <w:t>1</w:t>
      </w:r>
      <w:r>
        <w:rPr>
          <w:rFonts w:hint="eastAsia" w:ascii="Times New Roman" w:hAnsi="Times New Roman" w:eastAsia="宋体" w:cs="宋体"/>
          <w:snapToGrid w:val="0"/>
          <w:color w:val="auto"/>
          <w:kern w:val="0"/>
          <w:sz w:val="24"/>
          <w:szCs w:val="24"/>
          <w:lang w:val="en-US" w:eastAsia="zh-CN" w:bidi="ar"/>
        </w:rPr>
        <w:t>月</w:t>
      </w:r>
      <w:r>
        <w:rPr>
          <w:rFonts w:hint="default" w:ascii="Times New Roman" w:hAnsi="Times New Roman" w:eastAsia="宋体" w:cs="宋体"/>
          <w:snapToGrid w:val="0"/>
          <w:color w:val="auto"/>
          <w:kern w:val="0"/>
          <w:sz w:val="24"/>
          <w:szCs w:val="24"/>
          <w:lang w:val="en-US" w:eastAsia="zh-CN" w:bidi="ar"/>
        </w:rPr>
        <w:t>1</w:t>
      </w:r>
      <w:r>
        <w:rPr>
          <w:rFonts w:hint="eastAsia" w:ascii="Times New Roman" w:hAnsi="Times New Roman" w:eastAsia="宋体" w:cs="宋体"/>
          <w:snapToGrid w:val="0"/>
          <w:color w:val="auto"/>
          <w:kern w:val="0"/>
          <w:sz w:val="24"/>
          <w:szCs w:val="24"/>
          <w:lang w:val="en-US" w:eastAsia="zh-CN" w:bidi="ar"/>
        </w:rPr>
        <w:t>日原环保部发布《淀粉废水工程治理技术规范》（</w:t>
      </w:r>
      <w:r>
        <w:rPr>
          <w:rFonts w:hint="default" w:ascii="Times New Roman" w:hAnsi="Times New Roman" w:eastAsia="宋体" w:cs="宋体"/>
          <w:snapToGrid w:val="0"/>
          <w:color w:val="auto"/>
          <w:kern w:val="0"/>
          <w:sz w:val="24"/>
          <w:szCs w:val="24"/>
          <w:lang w:val="en-US" w:eastAsia="zh-CN" w:bidi="ar"/>
        </w:rPr>
        <w:t>HJ2043-2014</w:t>
      </w:r>
      <w:r>
        <w:rPr>
          <w:rFonts w:hint="eastAsia" w:ascii="Times New Roman" w:hAnsi="Times New Roman" w:eastAsia="宋体" w:cs="宋体"/>
          <w:snapToGrid w:val="0"/>
          <w:color w:val="auto"/>
          <w:kern w:val="0"/>
          <w:sz w:val="24"/>
          <w:szCs w:val="24"/>
          <w:lang w:val="en-US" w:eastAsia="zh-CN" w:bidi="ar"/>
        </w:rPr>
        <w:t>），推荐了淀粉废水治理工艺：预处理</w:t>
      </w: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厌氧生物处理</w:t>
      </w: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好氧生物处理</w:t>
      </w: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深度处理。据估算，如采用上述末端处理工艺，年产</w:t>
      </w:r>
      <w:r>
        <w:rPr>
          <w:rFonts w:hint="default" w:ascii="Times New Roman" w:hAnsi="Times New Roman" w:eastAsia="宋体" w:cs="宋体"/>
          <w:snapToGrid w:val="0"/>
          <w:color w:val="auto"/>
          <w:kern w:val="0"/>
          <w:sz w:val="24"/>
          <w:szCs w:val="24"/>
          <w:lang w:val="en-US" w:eastAsia="zh-CN" w:bidi="ar"/>
        </w:rPr>
        <w:t>1</w:t>
      </w:r>
      <w:r>
        <w:rPr>
          <w:rFonts w:hint="eastAsia" w:ascii="Times New Roman" w:hAnsi="Times New Roman" w:eastAsia="宋体" w:cs="宋体"/>
          <w:snapToGrid w:val="0"/>
          <w:color w:val="auto"/>
          <w:kern w:val="0"/>
          <w:sz w:val="24"/>
          <w:szCs w:val="24"/>
          <w:lang w:val="en-US" w:eastAsia="zh-CN" w:bidi="ar"/>
        </w:rPr>
        <w:t>万吨淀粉厂末端治理投资成本超过</w:t>
      </w:r>
      <w:r>
        <w:rPr>
          <w:rFonts w:hint="default" w:ascii="Times New Roman" w:hAnsi="Times New Roman" w:eastAsia="宋体" w:cs="宋体"/>
          <w:snapToGrid w:val="0"/>
          <w:color w:val="auto"/>
          <w:kern w:val="0"/>
          <w:sz w:val="24"/>
          <w:szCs w:val="24"/>
          <w:lang w:val="en-US" w:eastAsia="zh-CN" w:bidi="ar"/>
        </w:rPr>
        <w:t>1000</w:t>
      </w:r>
      <w:r>
        <w:rPr>
          <w:rFonts w:hint="eastAsia" w:ascii="Times New Roman" w:hAnsi="Times New Roman" w:eastAsia="宋体" w:cs="宋体"/>
          <w:snapToGrid w:val="0"/>
          <w:color w:val="auto"/>
          <w:kern w:val="0"/>
          <w:sz w:val="24"/>
          <w:szCs w:val="24"/>
          <w:lang w:val="en-US" w:eastAsia="zh-CN" w:bidi="ar"/>
        </w:rPr>
        <w:t>万元</w:t>
      </w: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年（其中厌氧投资</w:t>
      </w:r>
      <w:r>
        <w:rPr>
          <w:rFonts w:hint="default" w:ascii="Times New Roman" w:hAnsi="Times New Roman" w:eastAsia="宋体" w:cs="宋体"/>
          <w:snapToGrid w:val="0"/>
          <w:color w:val="auto"/>
          <w:kern w:val="0"/>
          <w:sz w:val="24"/>
          <w:szCs w:val="24"/>
          <w:lang w:val="en-US" w:eastAsia="zh-CN" w:bidi="ar"/>
        </w:rPr>
        <w:t>560</w:t>
      </w:r>
      <w:r>
        <w:rPr>
          <w:rFonts w:hint="eastAsia" w:ascii="Times New Roman" w:hAnsi="Times New Roman" w:eastAsia="宋体" w:cs="宋体"/>
          <w:snapToGrid w:val="0"/>
          <w:color w:val="auto"/>
          <w:kern w:val="0"/>
          <w:sz w:val="24"/>
          <w:szCs w:val="24"/>
          <w:lang w:val="en-US" w:eastAsia="zh-CN" w:bidi="ar"/>
        </w:rPr>
        <w:t>万，好氧投资</w:t>
      </w:r>
      <w:r>
        <w:rPr>
          <w:rFonts w:hint="default" w:ascii="Times New Roman" w:hAnsi="Times New Roman" w:eastAsia="宋体" w:cs="宋体"/>
          <w:snapToGrid w:val="0"/>
          <w:color w:val="auto"/>
          <w:kern w:val="0"/>
          <w:sz w:val="24"/>
          <w:szCs w:val="24"/>
          <w:lang w:val="en-US" w:eastAsia="zh-CN" w:bidi="ar"/>
        </w:rPr>
        <w:t>230</w:t>
      </w:r>
      <w:r>
        <w:rPr>
          <w:rFonts w:hint="eastAsia" w:ascii="Times New Roman" w:hAnsi="Times New Roman" w:eastAsia="宋体" w:cs="宋体"/>
          <w:snapToGrid w:val="0"/>
          <w:color w:val="auto"/>
          <w:kern w:val="0"/>
          <w:sz w:val="24"/>
          <w:szCs w:val="24"/>
          <w:lang w:val="en-US" w:eastAsia="zh-CN" w:bidi="ar"/>
        </w:rPr>
        <w:t>万左右），运行费用</w:t>
      </w:r>
      <w:r>
        <w:rPr>
          <w:rFonts w:hint="default" w:ascii="Times New Roman" w:hAnsi="Times New Roman" w:eastAsia="宋体" w:cs="宋体"/>
          <w:snapToGrid w:val="0"/>
          <w:color w:val="auto"/>
          <w:kern w:val="0"/>
          <w:sz w:val="24"/>
          <w:szCs w:val="24"/>
          <w:lang w:val="en-US" w:eastAsia="zh-CN" w:bidi="ar"/>
        </w:rPr>
        <w:t>200</w:t>
      </w:r>
      <w:r>
        <w:rPr>
          <w:rFonts w:hint="eastAsia" w:ascii="Times New Roman" w:hAnsi="Times New Roman" w:eastAsia="宋体" w:cs="宋体"/>
          <w:snapToGrid w:val="0"/>
          <w:color w:val="auto"/>
          <w:kern w:val="0"/>
          <w:sz w:val="24"/>
          <w:szCs w:val="24"/>
          <w:lang w:val="en-US" w:eastAsia="zh-CN" w:bidi="ar"/>
        </w:rPr>
        <w:t>余万元</w:t>
      </w: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年，这对于企业是巨大的成本压力，企业几乎无力承担。</w:t>
      </w:r>
    </w:p>
    <w:p w14:paraId="2D60F54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综上所述，马铃薯淀粉加工汁水污染防治严重影响和制约了马铃薯淀粉加工业的发展，为有效解决马铃薯淀粉加工汁水污染问题，本项目拟借鉴定西市关于印发《定西市马铃薯淀粉加工汁水综合利用试点工作实施方案》的通知中提出的“黑膜沼气池发酵资源化利用模式”来处理本项目马铃薯淀粉加工汁水。</w:t>
      </w:r>
    </w:p>
    <w:p w14:paraId="031D45FA">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eastAsia" w:ascii="Times New Roman" w:hAnsi="Times New Roman" w:eastAsia="宋体" w:cs="宋体"/>
          <w:b/>
          <w:bCs/>
          <w:color w:val="auto"/>
          <w:sz w:val="28"/>
          <w:szCs w:val="28"/>
          <w:lang w:val="en-US" w:eastAsia="zh-CN"/>
        </w:rPr>
      </w:pPr>
      <w:bookmarkStart w:id="17" w:name="_Toc2123"/>
      <w:r>
        <w:rPr>
          <w:rFonts w:hint="eastAsia" w:ascii="Times New Roman" w:hAnsi="Times New Roman" w:eastAsia="宋体" w:cs="宋体"/>
          <w:b/>
          <w:bCs/>
          <w:color w:val="auto"/>
          <w:sz w:val="28"/>
          <w:szCs w:val="28"/>
          <w:lang w:val="en-US" w:eastAsia="zh-CN"/>
        </w:rPr>
        <w:t>2.</w:t>
      </w:r>
      <w:r>
        <w:rPr>
          <w:rFonts w:hint="eastAsia" w:ascii="Times New Roman" w:hAnsi="Times New Roman" w:cs="宋体"/>
          <w:b/>
          <w:bCs/>
          <w:color w:val="auto"/>
          <w:sz w:val="28"/>
          <w:szCs w:val="28"/>
          <w:lang w:val="en-US" w:eastAsia="zh-CN"/>
        </w:rPr>
        <w:t>4</w:t>
      </w:r>
      <w:r>
        <w:rPr>
          <w:rFonts w:hint="eastAsia" w:ascii="Times New Roman" w:hAnsi="Times New Roman" w:eastAsia="宋体" w:cs="宋体"/>
          <w:b/>
          <w:bCs/>
          <w:color w:val="auto"/>
          <w:sz w:val="28"/>
          <w:szCs w:val="28"/>
          <w:lang w:val="en-US" w:eastAsia="zh-CN"/>
        </w:rPr>
        <w:t>、项目建设的必要性</w:t>
      </w:r>
      <w:bookmarkEnd w:id="17"/>
    </w:p>
    <w:p w14:paraId="5DF92E5A">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val="0"/>
          <w:snapToGrid w:val="0"/>
          <w:color w:val="auto"/>
          <w:kern w:val="0"/>
          <w:sz w:val="24"/>
          <w:szCs w:val="24"/>
          <w:highlight w:val="none"/>
          <w:lang w:val="en-US" w:eastAsia="zh-CN" w:bidi="ar"/>
        </w:rPr>
      </w:pPr>
      <w:r>
        <w:rPr>
          <w:rFonts w:hint="default" w:ascii="Times New Roman" w:hAnsi="Times New Roman" w:eastAsia="宋体" w:cs="宋体"/>
          <w:b/>
          <w:color w:val="auto"/>
          <w:sz w:val="24"/>
          <w:highlight w:val="none"/>
          <w:lang w:val="en-US" w:eastAsia="zh-CN"/>
        </w:rPr>
        <w:t>2.</w:t>
      </w:r>
      <w:r>
        <w:rPr>
          <w:rFonts w:hint="eastAsia" w:ascii="Times New Roman" w:hAnsi="Times New Roman" w:eastAsia="宋体" w:cs="宋体"/>
          <w:b/>
          <w:color w:val="auto"/>
          <w:sz w:val="24"/>
          <w:highlight w:val="none"/>
          <w:lang w:val="en-US" w:eastAsia="zh-CN"/>
        </w:rPr>
        <w:t>4</w:t>
      </w:r>
      <w:r>
        <w:rPr>
          <w:rFonts w:hint="default" w:ascii="Times New Roman" w:hAnsi="Times New Roman" w:eastAsia="宋体" w:cs="宋体"/>
          <w:b/>
          <w:color w:val="auto"/>
          <w:sz w:val="24"/>
          <w:highlight w:val="none"/>
          <w:lang w:val="en-US" w:eastAsia="zh-CN"/>
        </w:rPr>
        <w:t>.1</w:t>
      </w:r>
      <w:r>
        <w:rPr>
          <w:rFonts w:hint="eastAsia" w:ascii="Times New Roman" w:hAnsi="Times New Roman" w:eastAsia="宋体" w:cs="宋体"/>
          <w:b/>
          <w:color w:val="auto"/>
          <w:sz w:val="24"/>
          <w:highlight w:val="none"/>
          <w:lang w:val="en-US" w:eastAsia="zh-CN"/>
        </w:rPr>
        <w:t>、有效解决马铃薯淀粉加工废水治理问题</w:t>
      </w:r>
    </w:p>
    <w:p w14:paraId="4F3F487F">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firstLine="480" w:firstLineChars="200"/>
        <w:textAlignment w:val="baseline"/>
        <w:rPr>
          <w:rFonts w:hint="default" w:ascii="Times New Roman" w:hAnsi="Times New Roman" w:eastAsia="宋体" w:cs="宋体"/>
          <w:b w:val="0"/>
          <w:snapToGrid w:val="0"/>
          <w:color w:val="auto"/>
          <w:kern w:val="0"/>
          <w:sz w:val="24"/>
          <w:szCs w:val="24"/>
          <w:highlight w:val="none"/>
          <w:lang w:val="en-US" w:eastAsia="zh-CN" w:bidi="ar"/>
        </w:rPr>
      </w:pPr>
      <w:r>
        <w:rPr>
          <w:rFonts w:hint="default" w:ascii="Times New Roman" w:hAnsi="Times New Roman" w:eastAsia="宋体" w:cs="宋体"/>
          <w:b w:val="0"/>
          <w:snapToGrid w:val="0"/>
          <w:color w:val="auto"/>
          <w:kern w:val="0"/>
          <w:sz w:val="24"/>
          <w:szCs w:val="24"/>
          <w:highlight w:val="none"/>
          <w:lang w:val="en-US" w:eastAsia="zh-CN" w:bidi="ar"/>
        </w:rPr>
        <w:t>马铃薯淀粉加工废水中含有氮磷钾等作物需要的营养物质，其中磷的70%，氮和钾约90%进入废水中，因此马铃薯淀粉加工废水实际上是“肥水”。将马铃薯淀粉加工废水还田是将“取自于”田的有用生物营养物质“归还”土壤环境中，促进了农作物的生长，也保护了生态系统的物质循环，是节约资源的有益活动。同时，相比投建污水处理厂，加工废水还田是成本最低、最简单易行、最稳定可靠的资源化途径，</w:t>
      </w:r>
      <w:r>
        <w:rPr>
          <w:rFonts w:hint="eastAsia" w:ascii="Times New Roman" w:hAnsi="Times New Roman" w:eastAsia="宋体" w:cs="宋体"/>
          <w:b w:val="0"/>
          <w:snapToGrid w:val="0"/>
          <w:color w:val="auto"/>
          <w:kern w:val="0"/>
          <w:sz w:val="24"/>
          <w:szCs w:val="24"/>
          <w:highlight w:val="none"/>
          <w:lang w:val="en-US" w:eastAsia="zh-CN" w:bidi="ar"/>
        </w:rPr>
        <w:t>可以有效</w:t>
      </w:r>
      <w:r>
        <w:rPr>
          <w:rFonts w:hint="default" w:ascii="Times New Roman" w:hAnsi="Times New Roman" w:eastAsia="宋体" w:cs="宋体"/>
          <w:b w:val="0"/>
          <w:snapToGrid w:val="0"/>
          <w:color w:val="auto"/>
          <w:kern w:val="0"/>
          <w:sz w:val="24"/>
          <w:szCs w:val="24"/>
          <w:highlight w:val="none"/>
          <w:lang w:val="en-US" w:eastAsia="zh-CN" w:bidi="ar"/>
        </w:rPr>
        <w:t>解决困扰马铃薯淀粉加工行业多年的环境污染治理难题。</w:t>
      </w:r>
    </w:p>
    <w:p w14:paraId="03FECA06">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default" w:ascii="Times New Roman" w:hAnsi="Times New Roman" w:eastAsia="宋体" w:cs="宋体"/>
          <w:b/>
          <w:color w:val="auto"/>
          <w:sz w:val="24"/>
          <w:lang w:val="en-US" w:eastAsia="zh-CN"/>
        </w:rPr>
        <w:t>2.</w:t>
      </w:r>
      <w:r>
        <w:rPr>
          <w:rFonts w:hint="eastAsia" w:ascii="Times New Roman" w:hAnsi="Times New Roman" w:eastAsia="宋体" w:cs="宋体"/>
          <w:b/>
          <w:color w:val="auto"/>
          <w:sz w:val="24"/>
          <w:lang w:val="en-US" w:eastAsia="zh-CN"/>
        </w:rPr>
        <w:t>4</w:t>
      </w:r>
      <w:r>
        <w:rPr>
          <w:rFonts w:hint="default" w:ascii="Times New Roman" w:hAnsi="Times New Roman" w:eastAsia="宋体" w:cs="宋体"/>
          <w:b/>
          <w:color w:val="auto"/>
          <w:sz w:val="24"/>
          <w:lang w:val="en-US" w:eastAsia="zh-CN"/>
        </w:rPr>
        <w:t>.</w:t>
      </w:r>
      <w:r>
        <w:rPr>
          <w:rFonts w:hint="eastAsia" w:ascii="Times New Roman" w:hAnsi="Times New Roman" w:eastAsia="宋体" w:cs="宋体"/>
          <w:b/>
          <w:color w:val="auto"/>
          <w:sz w:val="24"/>
          <w:lang w:val="en-US" w:eastAsia="zh-CN"/>
        </w:rPr>
        <w:t>2、有利于建设单位拓展发展领域</w:t>
      </w:r>
    </w:p>
    <w:p w14:paraId="33CE036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本项目实施后，不仅增强企业的竞争能力和应变能力，而且能促进本区相关行业产业结构调整和节能减排效果，项目建成后积极参与国内外市场竞争，改变我国当前淀粉市场混乱的现状，引领和推动我国淀粉加工行业朝精深加工和高新技术领域发展，推动国内淀粉行业的生产工艺技术的创新以及促进我国食用淀粉企业的发展具有重要意义，既可增加社会就业岗位，又可带动当地地方经济的快速发展，项目具有较好的社会效益。</w:t>
      </w:r>
    </w:p>
    <w:p w14:paraId="391A385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综上所述，本项目完全符合国家节能产业政策、技术政策、生产力布局要求，项目的建设将积极推动地方基础设施建设，同时带动地方就业，是一项利国利民的好项目，支持、发展此项目十分必要和重要。</w:t>
      </w:r>
    </w:p>
    <w:p w14:paraId="4DAB718E">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default" w:ascii="Times New Roman" w:hAnsi="Times New Roman" w:eastAsia="宋体" w:cs="宋体"/>
          <w:b/>
          <w:color w:val="auto"/>
          <w:sz w:val="24"/>
          <w:lang w:val="en-US" w:eastAsia="zh-CN"/>
        </w:rPr>
        <w:t>2.</w:t>
      </w:r>
      <w:r>
        <w:rPr>
          <w:rFonts w:hint="eastAsia" w:ascii="Times New Roman" w:hAnsi="Times New Roman" w:eastAsia="宋体" w:cs="宋体"/>
          <w:b/>
          <w:color w:val="auto"/>
          <w:sz w:val="24"/>
          <w:lang w:val="en-US" w:eastAsia="zh-CN"/>
        </w:rPr>
        <w:t>4</w:t>
      </w:r>
      <w:r>
        <w:rPr>
          <w:rFonts w:hint="default" w:ascii="Times New Roman" w:hAnsi="Times New Roman" w:eastAsia="宋体" w:cs="宋体"/>
          <w:b/>
          <w:color w:val="auto"/>
          <w:sz w:val="24"/>
          <w:lang w:val="en-US" w:eastAsia="zh-CN"/>
        </w:rPr>
        <w:t>.</w:t>
      </w:r>
      <w:r>
        <w:rPr>
          <w:rFonts w:hint="eastAsia" w:ascii="Times New Roman" w:hAnsi="Times New Roman" w:eastAsia="宋体" w:cs="宋体"/>
          <w:b/>
          <w:color w:val="auto"/>
          <w:sz w:val="24"/>
          <w:lang w:val="en-US" w:eastAsia="zh-CN"/>
        </w:rPr>
        <w:t>3、促进农民增收，推进社会主义新农村建设的需要</w:t>
      </w:r>
    </w:p>
    <w:p w14:paraId="5A854CE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建设社会主义新农村是重大而长期的历史任务，也是加强</w:t>
      </w: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三农</w:t>
      </w: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工作的重大战略举措，事关全面建成小康社会和社会主义现代化建设的全局。市委、市政府高度重视新农村建设，以科学发展观为指导，坚持把农副产品加工业、养殖业、果蔬种植业、物流业发展成为大产业的目标，把保证农民持续增收和保障各类农副产品质量安全作为工作的出发点、落脚点和着力点。该项目的实施，符合政府有关新农村建设的战略部署，有利于提高农副产品附加值，促进农民增收。有利于扩大农村物流规模、增强物流基础设施配套建设、降低物流费用，对农业和农村经济发展具有重要的基础性作用。有利于更好地发挥龙头带动和示范作用，可有效转移农村富余劳动力，本项目的建设是推动</w:t>
      </w: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民生工程</w:t>
      </w: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开展的有力举措，对促进本地区的新农村建设具有重要的意义。</w:t>
      </w:r>
    </w:p>
    <w:p w14:paraId="18021CCF">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default" w:ascii="Times New Roman" w:hAnsi="Times New Roman" w:eastAsia="宋体" w:cs="宋体"/>
          <w:b/>
          <w:color w:val="auto"/>
          <w:sz w:val="24"/>
          <w:lang w:val="en-US" w:eastAsia="zh-CN"/>
        </w:rPr>
        <w:t>2.</w:t>
      </w:r>
      <w:r>
        <w:rPr>
          <w:rFonts w:hint="eastAsia" w:ascii="Times New Roman" w:hAnsi="Times New Roman" w:eastAsia="宋体" w:cs="宋体"/>
          <w:b/>
          <w:color w:val="auto"/>
          <w:sz w:val="24"/>
          <w:lang w:val="en-US" w:eastAsia="zh-CN"/>
        </w:rPr>
        <w:t>4</w:t>
      </w:r>
      <w:r>
        <w:rPr>
          <w:rFonts w:hint="default" w:ascii="Times New Roman" w:hAnsi="Times New Roman" w:eastAsia="宋体" w:cs="宋体"/>
          <w:b/>
          <w:color w:val="auto"/>
          <w:sz w:val="24"/>
          <w:lang w:val="en-US" w:eastAsia="zh-CN"/>
        </w:rPr>
        <w:t>.</w:t>
      </w:r>
      <w:r>
        <w:rPr>
          <w:rFonts w:hint="eastAsia" w:ascii="Times New Roman" w:hAnsi="Times New Roman" w:eastAsia="宋体" w:cs="宋体"/>
          <w:b/>
          <w:color w:val="auto"/>
          <w:sz w:val="24"/>
          <w:lang w:val="en-US" w:eastAsia="zh-CN"/>
        </w:rPr>
        <w:t>4、加快马铃薯生产规模化、产业化、标准化的需要</w:t>
      </w:r>
    </w:p>
    <w:p w14:paraId="5984923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马铃薯、红薯淀粉规模化、产业化生产的标准是适合当今世界马铃薯、红薯淀粉发展趋势的重大措施。在马铃薯淀粉产业化项目建设中，对项目区及周边地区因地制宜进行有机马铃薯的区域化、产业化布局生产和绿色食品、有机食品标准化生产，有着重要的意义，同时本次项目引进国内外先进适用技术成果，装备现代化农业设施，实现现代化管理，集中投入，集中开发，形成知识密集、劳动密集的区域主导产业，充分发挥项目区产业聚集功能，本项目的建设无疑会大大加快当地马铃薯、红薯产业化进程。</w:t>
      </w:r>
    </w:p>
    <w:p w14:paraId="57C51727">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default" w:ascii="Times New Roman" w:hAnsi="Times New Roman" w:eastAsia="宋体" w:cs="宋体"/>
          <w:b/>
          <w:color w:val="auto"/>
          <w:sz w:val="24"/>
          <w:lang w:val="en-US" w:eastAsia="zh-CN"/>
        </w:rPr>
        <w:t>2.</w:t>
      </w:r>
      <w:r>
        <w:rPr>
          <w:rFonts w:hint="eastAsia" w:ascii="Times New Roman" w:hAnsi="Times New Roman" w:eastAsia="宋体" w:cs="宋体"/>
          <w:b/>
          <w:color w:val="auto"/>
          <w:sz w:val="24"/>
          <w:lang w:val="en-US" w:eastAsia="zh-CN"/>
        </w:rPr>
        <w:t>4</w:t>
      </w:r>
      <w:r>
        <w:rPr>
          <w:rFonts w:hint="default" w:ascii="Times New Roman" w:hAnsi="Times New Roman" w:eastAsia="宋体" w:cs="宋体"/>
          <w:b/>
          <w:color w:val="auto"/>
          <w:sz w:val="24"/>
          <w:lang w:val="en-US" w:eastAsia="zh-CN"/>
        </w:rPr>
        <w:t>.</w:t>
      </w:r>
      <w:r>
        <w:rPr>
          <w:rFonts w:hint="eastAsia" w:ascii="Times New Roman" w:hAnsi="Times New Roman" w:eastAsia="宋体" w:cs="宋体"/>
          <w:b/>
          <w:color w:val="auto"/>
          <w:sz w:val="24"/>
          <w:lang w:val="en-US" w:eastAsia="zh-CN"/>
        </w:rPr>
        <w:t>5、符合当地政府的发展规划</w:t>
      </w:r>
    </w:p>
    <w:p w14:paraId="26FEE0B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本项目根据《产业政策调整指导目录》（2024年本），本项目不属于鼓励类、限制类和淘汰类，为允许类项目。项目建设符合国家产业政策要求。本项目的引进建设将有利于本地区经济更好地有效发展。因此，在项目的实施过程中，当地政府将予以配合，共同规划落实好项目建设。</w:t>
      </w:r>
    </w:p>
    <w:p w14:paraId="43C55EA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综上所述，项目的建设符合国家制定产业政策，产品技术先进，成熟可靠，产品附加值较高，符合国家经济和社会发展总体规划和当地经济发展规划，且产品具有良好的市场前景。</w:t>
      </w:r>
    </w:p>
    <w:p w14:paraId="037CE203">
      <w:pPr>
        <w:rPr>
          <w:rFonts w:hint="eastAsia" w:ascii="Times New Roman" w:hAnsi="Times New Roman" w:eastAsia="宋体" w:cs="宋体"/>
          <w:b/>
          <w:bCs/>
          <w:color w:val="auto"/>
          <w:sz w:val="28"/>
          <w:szCs w:val="28"/>
          <w:lang w:val="en-US" w:eastAsia="zh-CN"/>
        </w:rPr>
        <w:sectPr>
          <w:footerReference r:id="rId9"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73619EA0">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jc w:val="center"/>
        <w:textAlignment w:val="baseline"/>
        <w:rPr>
          <w:rFonts w:hint="default" w:ascii="Times New Roman" w:hAnsi="Times New Roman" w:eastAsia="宋体" w:cs="宋体"/>
          <w:b/>
          <w:color w:val="auto"/>
          <w:sz w:val="30"/>
          <w:szCs w:val="30"/>
          <w:lang w:val="en-US" w:eastAsia="zh-CN"/>
        </w:rPr>
      </w:pPr>
      <w:bookmarkStart w:id="18" w:name="_Toc7608"/>
      <w:r>
        <w:rPr>
          <w:rFonts w:hint="eastAsia" w:ascii="Times New Roman" w:hAnsi="Times New Roman" w:eastAsia="宋体" w:cs="宋体"/>
          <w:b/>
          <w:color w:val="auto"/>
          <w:sz w:val="30"/>
          <w:szCs w:val="30"/>
          <w:lang w:val="en-US" w:eastAsia="zh-CN"/>
        </w:rPr>
        <w:t>第三章 项目选址与建设条件</w:t>
      </w:r>
      <w:bookmarkEnd w:id="18"/>
    </w:p>
    <w:p w14:paraId="59D794FB">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19" w:name="_Toc7827"/>
      <w:r>
        <w:rPr>
          <w:rFonts w:hint="eastAsia" w:ascii="Times New Roman" w:hAnsi="Times New Roman" w:eastAsia="宋体" w:cs="宋体"/>
          <w:b/>
          <w:bCs/>
          <w:color w:val="auto"/>
          <w:sz w:val="28"/>
          <w:szCs w:val="28"/>
          <w:lang w:val="en-US" w:eastAsia="zh-CN"/>
        </w:rPr>
        <w:t>3.1、项目选址</w:t>
      </w:r>
      <w:bookmarkEnd w:id="19"/>
    </w:p>
    <w:p w14:paraId="0AC5A00A">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b/>
          <w:color w:val="auto"/>
          <w:sz w:val="24"/>
          <w:lang w:val="en-US" w:eastAsia="zh-CN"/>
        </w:rPr>
        <w:t>3.1.1、工程选址原则</w:t>
      </w:r>
    </w:p>
    <w:p w14:paraId="2671925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（1）符合城镇建设规划要求</w:t>
      </w:r>
    </w:p>
    <w:p w14:paraId="5051F4A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项目位置的选择应符合城镇建设规划、地区规划和行业规划，远离人口稠密区，远离环境敏感区，如水源区、河流上游地区、上风向区、自然保护区、风景旅游区等。考虑要选择有一定的坡度、排水良好的地方。</w:t>
      </w:r>
    </w:p>
    <w:p w14:paraId="3E12616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（2）节约投资降低成本、提高经济效益</w:t>
      </w:r>
    </w:p>
    <w:p w14:paraId="6C63CC7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选择交通运输便利，各方面条件(如水、电、路等)较好的场地，以提高产品原料收集效率，节约基本建设投资，降低工程造价，节约成本，提高经济效益。</w:t>
      </w:r>
    </w:p>
    <w:p w14:paraId="2288BD1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（3）具有沼液、沼渣消纳的配套土地</w:t>
      </w:r>
    </w:p>
    <w:p w14:paraId="71328AC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为方便沼渣沼液的消纳，选址时尽量考虑周边蔬菜、果树、牧草、农作物的分布及规模，尽量选择覆盖周围耕地较多的地方且方便沼渣沼液运输的位置。</w:t>
      </w:r>
    </w:p>
    <w:p w14:paraId="2DB4AA3C">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3.1.2、工程选址</w:t>
      </w:r>
    </w:p>
    <w:p w14:paraId="35D0390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甘肃亿佳源农业发展有限公司马铃薯淀粉加工汁水综合利用试点工作，建设地点位于民乐县生态工业园区，东侧为旧</w:t>
      </w:r>
      <w:r>
        <w:rPr>
          <w:rFonts w:hint="default" w:ascii="Times New Roman" w:hAnsi="Times New Roman" w:eastAsia="宋体" w:cs="宋体"/>
          <w:snapToGrid w:val="0"/>
          <w:color w:val="auto"/>
          <w:kern w:val="0"/>
          <w:sz w:val="24"/>
          <w:szCs w:val="24"/>
          <w:lang w:val="en-US" w:eastAsia="zh-CN" w:bidi="ar"/>
        </w:rPr>
        <w:t>227</w:t>
      </w:r>
      <w:r>
        <w:rPr>
          <w:rFonts w:hint="eastAsia" w:ascii="Times New Roman" w:hAnsi="Times New Roman" w:eastAsia="宋体" w:cs="宋体"/>
          <w:snapToGrid w:val="0"/>
          <w:color w:val="auto"/>
          <w:kern w:val="0"/>
          <w:sz w:val="24"/>
          <w:szCs w:val="24"/>
          <w:lang w:val="en-US" w:eastAsia="zh-CN" w:bidi="ar"/>
        </w:rPr>
        <w:t>线，南侧为甘肃省富民中药专业合作社，西侧为民乐县金冠油脂有限公司，北侧为张掖市小杂粮繁育研究中心。项目所处区位交通优越，自然条件优良，区域内的供电、供水、通讯、交通等各项基础设施完善，为该项目的建设提供了充分保障。</w:t>
      </w:r>
    </w:p>
    <w:p w14:paraId="2BEACB8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根据《民乐生态工业园区总体规划修编(2019-2030)》中土地利用规划，本项目厂区所在区域为规划二类工业用地，且本项目已办理土地证（甘（2025）民乐县不动产权第0005818号），用途为工业用地，符合《民乐生态工业园区总体规划修编(2019-2030)》中土地利用规划。</w:t>
      </w:r>
    </w:p>
    <w:p w14:paraId="78C8CD6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企业预计配套消纳沼液及沼渣的农田约为</w:t>
      </w:r>
      <w:r>
        <w:rPr>
          <w:rFonts w:hint="eastAsia" w:ascii="Times New Roman" w:hAnsi="Times New Roman" w:eastAsia="宋体" w:cs="宋体"/>
          <w:color w:val="auto"/>
          <w:sz w:val="24"/>
          <w:lang w:val="en-US" w:eastAsia="zh-CN"/>
        </w:rPr>
        <w:t>1500</w:t>
      </w:r>
      <w:r>
        <w:rPr>
          <w:rFonts w:hint="default" w:ascii="Times New Roman" w:hAnsi="Times New Roman" w:eastAsia="宋体" w:cs="宋体"/>
          <w:color w:val="auto"/>
          <w:sz w:val="24"/>
          <w:lang w:val="en-US" w:eastAsia="zh-CN"/>
        </w:rPr>
        <w:t>亩，位于</w:t>
      </w:r>
      <w:r>
        <w:rPr>
          <w:rFonts w:hint="eastAsia" w:ascii="Times New Roman" w:hAnsi="Times New Roman" w:eastAsia="宋体" w:cs="宋体"/>
          <w:color w:val="auto"/>
          <w:sz w:val="24"/>
          <w:lang w:val="en-US" w:eastAsia="zh-CN"/>
        </w:rPr>
        <w:t>项目厂区</w:t>
      </w:r>
      <w:r>
        <w:rPr>
          <w:rFonts w:hint="default" w:ascii="Times New Roman" w:hAnsi="Times New Roman" w:eastAsia="宋体" w:cs="宋体"/>
          <w:color w:val="auto"/>
          <w:sz w:val="24"/>
          <w:lang w:val="en-US" w:eastAsia="zh-CN"/>
        </w:rPr>
        <w:t>西侧</w:t>
      </w:r>
      <w:r>
        <w:rPr>
          <w:rFonts w:hint="eastAsia" w:ascii="Times New Roman" w:hAnsi="Times New Roman" w:eastAsia="宋体" w:cs="宋体"/>
          <w:color w:val="auto"/>
          <w:sz w:val="24"/>
          <w:lang w:val="en-US" w:eastAsia="zh-CN"/>
        </w:rPr>
        <w:t>约680m处</w:t>
      </w:r>
      <w:r>
        <w:rPr>
          <w:rFonts w:hint="default" w:ascii="Times New Roman" w:hAnsi="Times New Roman" w:eastAsia="宋体" w:cs="宋体"/>
          <w:color w:val="auto"/>
          <w:sz w:val="24"/>
          <w:lang w:val="en-US" w:eastAsia="zh-CN"/>
        </w:rPr>
        <w:t>；地形为</w:t>
      </w:r>
      <w:r>
        <w:rPr>
          <w:rFonts w:hint="eastAsia" w:ascii="Times New Roman" w:hAnsi="Times New Roman" w:eastAsia="宋体" w:cs="宋体"/>
          <w:color w:val="auto"/>
          <w:sz w:val="24"/>
          <w:lang w:val="en-US" w:eastAsia="zh-CN"/>
        </w:rPr>
        <w:t>平原，企业已和地块所有者</w:t>
      </w:r>
      <w:r>
        <w:rPr>
          <w:rFonts w:hint="default" w:ascii="Times New Roman" w:hAnsi="Times New Roman" w:eastAsia="宋体" w:cs="宋体"/>
          <w:color w:val="auto"/>
          <w:sz w:val="24"/>
          <w:lang w:val="en-US" w:eastAsia="zh-CN"/>
        </w:rPr>
        <w:t>签订</w:t>
      </w:r>
      <w:r>
        <w:rPr>
          <w:rFonts w:hint="eastAsia" w:ascii="Times New Roman" w:hAnsi="Times New Roman" w:eastAsia="宋体" w:cs="宋体"/>
          <w:color w:val="auto"/>
          <w:sz w:val="24"/>
          <w:lang w:val="en-US" w:eastAsia="zh-CN"/>
        </w:rPr>
        <w:t>土地租赁协议，详见附件3</w:t>
      </w:r>
      <w:r>
        <w:rPr>
          <w:rFonts w:hint="default" w:ascii="Times New Roman" w:hAnsi="Times New Roman" w:eastAsia="宋体" w:cs="宋体"/>
          <w:color w:val="auto"/>
          <w:sz w:val="24"/>
          <w:lang w:val="en-US" w:eastAsia="zh-CN"/>
        </w:rPr>
        <w:t>。</w:t>
      </w:r>
    </w:p>
    <w:p w14:paraId="349A57FD">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20" w:name="_Toc20688"/>
      <w:r>
        <w:rPr>
          <w:rFonts w:hint="eastAsia" w:ascii="Times New Roman" w:hAnsi="Times New Roman" w:eastAsia="宋体" w:cs="宋体"/>
          <w:b/>
          <w:bCs/>
          <w:color w:val="auto"/>
          <w:sz w:val="28"/>
          <w:szCs w:val="28"/>
          <w:lang w:val="en-US" w:eastAsia="zh-CN"/>
        </w:rPr>
        <w:t>3.2、总平面布置</w:t>
      </w:r>
      <w:bookmarkEnd w:id="20"/>
    </w:p>
    <w:p w14:paraId="5E4D70F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项目厂区中央为原料堆场，西北侧为原料池，厂区南侧为淀粉生产车间，成品库位于厂区东侧、南侧，废水池、废液池位于厂区西侧，锅炉房位于厂区东南角。</w:t>
      </w:r>
      <w:r>
        <w:rPr>
          <w:rFonts w:hint="default" w:ascii="Times New Roman" w:hAnsi="Times New Roman" w:eastAsia="宋体" w:cs="宋体"/>
          <w:color w:val="auto"/>
          <w:sz w:val="24"/>
          <w:lang w:val="en-US" w:eastAsia="zh-CN"/>
        </w:rPr>
        <w:t>项目区设施齐全配套，考虑了环保要求和设施，避免相互干扰，整体环境优美舒适。总平布局中污水处理设施布置在</w:t>
      </w:r>
      <w:r>
        <w:rPr>
          <w:rFonts w:hint="eastAsia" w:ascii="Times New Roman" w:hAnsi="Times New Roman" w:eastAsia="宋体" w:cs="宋体"/>
          <w:color w:val="auto"/>
          <w:sz w:val="24"/>
          <w:lang w:val="en-US" w:eastAsia="zh-CN"/>
        </w:rPr>
        <w:t>主体</w:t>
      </w:r>
      <w:r>
        <w:rPr>
          <w:rFonts w:hint="default" w:ascii="Times New Roman" w:hAnsi="Times New Roman" w:eastAsia="宋体" w:cs="宋体"/>
          <w:color w:val="auto"/>
          <w:sz w:val="24"/>
          <w:lang w:val="en-US" w:eastAsia="zh-CN"/>
        </w:rPr>
        <w:t>工程侧风向，距离主要建筑物较远，降低了恶臭对项目区周边及项目区内工作人员的影响。</w:t>
      </w:r>
    </w:p>
    <w:p w14:paraId="4889C77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b/>
          <w:bCs/>
          <w:color w:val="auto"/>
          <w:sz w:val="28"/>
          <w:szCs w:val="28"/>
          <w:lang w:val="en-US" w:eastAsia="zh-CN"/>
        </w:rPr>
      </w:pPr>
      <w:r>
        <w:rPr>
          <w:rFonts w:hint="default" w:ascii="Times New Roman" w:hAnsi="Times New Roman" w:eastAsia="宋体" w:cs="宋体"/>
          <w:color w:val="auto"/>
          <w:sz w:val="24"/>
          <w:lang w:val="en-US" w:eastAsia="zh-CN"/>
        </w:rPr>
        <w:t>综上所述，</w:t>
      </w:r>
      <w:r>
        <w:rPr>
          <w:rFonts w:hint="eastAsia" w:ascii="Times New Roman" w:hAnsi="Times New Roman" w:eastAsia="宋体" w:cs="宋体"/>
          <w:color w:val="auto"/>
          <w:sz w:val="24"/>
          <w:lang w:val="en-US" w:eastAsia="zh-CN"/>
        </w:rPr>
        <w:t>本项目</w:t>
      </w:r>
      <w:r>
        <w:rPr>
          <w:rFonts w:hint="default" w:ascii="Times New Roman" w:hAnsi="Times New Roman" w:eastAsia="宋体" w:cs="宋体"/>
          <w:color w:val="auto"/>
          <w:sz w:val="24"/>
          <w:lang w:val="en-US" w:eastAsia="zh-CN"/>
        </w:rPr>
        <w:t>总平面布局遵循节约用地和节省投资的原则，力求布局紧凑、流程合理、运输便捷，符合消防、环保等技术规范要求，从便于生产和管理、便于污染物治理的角度出发，本项目总平面布置是合理的。</w:t>
      </w:r>
    </w:p>
    <w:p w14:paraId="35046827">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21" w:name="_Toc29467"/>
      <w:r>
        <w:rPr>
          <w:rFonts w:hint="eastAsia" w:ascii="Times New Roman" w:hAnsi="Times New Roman" w:eastAsia="宋体" w:cs="宋体"/>
          <w:b/>
          <w:bCs/>
          <w:color w:val="auto"/>
          <w:sz w:val="28"/>
          <w:szCs w:val="28"/>
          <w:lang w:val="en-US" w:eastAsia="zh-CN"/>
        </w:rPr>
        <w:t>3.3、建设条件</w:t>
      </w:r>
      <w:bookmarkEnd w:id="21"/>
    </w:p>
    <w:p w14:paraId="5D0BC3BE">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bookmarkStart w:id="22" w:name="_Toc560"/>
      <w:r>
        <w:rPr>
          <w:rFonts w:hint="eastAsia" w:ascii="Times New Roman" w:hAnsi="Times New Roman" w:eastAsia="宋体" w:cs="宋体"/>
          <w:b/>
          <w:color w:val="auto"/>
          <w:sz w:val="24"/>
          <w:lang w:val="en-US" w:eastAsia="zh-CN"/>
        </w:rPr>
        <w:t>3.3.1、地理位置及交通</w:t>
      </w:r>
      <w:bookmarkEnd w:id="22"/>
    </w:p>
    <w:p w14:paraId="4E06AC3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民乐县地处甘肃省河西走廊中段、祁连山北麓。地势南高北低，地形分山地和倾斜高原两大类，海拔1589米～5027米，地理坐标在东经100°22′59″～101°13′9″，北纬37°56′19″～38°48′17″之间。</w:t>
      </w:r>
    </w:p>
    <w:p w14:paraId="30199D6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本项目厂区所在的民乐生态工业园区位于张掖市甘州区、山丹县和民乐县交界处，距张掖市区25公里，距民乐县城40公里，距山丹县城35公里。项目区位优势明显，项目区距张掖飞机场约5公里。张汶高速（在建）从园区西侧经过，国道227线、兰新高铁从园区穿境而过，为本项目发展提供了良好的交通条件。</w:t>
      </w:r>
    </w:p>
    <w:p w14:paraId="156505A6">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bookmarkStart w:id="23" w:name="_Toc22088"/>
      <w:r>
        <w:rPr>
          <w:rFonts w:hint="eastAsia" w:ascii="Times New Roman" w:hAnsi="Times New Roman" w:eastAsia="宋体" w:cs="宋体"/>
          <w:b/>
          <w:color w:val="auto"/>
          <w:sz w:val="24"/>
          <w:lang w:val="en-US" w:eastAsia="zh-CN"/>
        </w:rPr>
        <w:t>3.3.2、地形地貌</w:t>
      </w:r>
      <w:bookmarkEnd w:id="23"/>
    </w:p>
    <w:p w14:paraId="7B2ADB1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民乐县南部为祁连山地，北部为倾斜高平原。海拔走向基本为西北—东南，呈西高东低之递降趋势。倾斜高平原地区南起北缘大断裂，由五大河所形成的山前一、二级洪积扇，向西北方向倾斜，与张掖平原相接，呈东南高西北低之地势，海拔1500～2800米，坡度一般为0.8%～1.5%，最大为4.1%。南部及中部为重要农业区。北部绿洲边缘以北，大部分为荒漠戈壁。工业园区位于民乐县北部倾斜高平原地区。</w:t>
      </w:r>
    </w:p>
    <w:p w14:paraId="56C59CA0">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bookmarkStart w:id="24" w:name="_Toc23911"/>
      <w:r>
        <w:rPr>
          <w:rFonts w:hint="eastAsia" w:ascii="Times New Roman" w:hAnsi="Times New Roman" w:eastAsia="宋体" w:cs="宋体"/>
          <w:b/>
          <w:color w:val="auto"/>
          <w:sz w:val="24"/>
          <w:lang w:val="en-US" w:eastAsia="zh-CN"/>
        </w:rPr>
        <w:t>3.3.3、气候环境</w:t>
      </w:r>
      <w:bookmarkEnd w:id="24"/>
    </w:p>
    <w:p w14:paraId="428D092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民乐县属</w:t>
      </w:r>
      <w:r>
        <w:rPr>
          <w:rFonts w:hint="eastAsia" w:ascii="Times New Roman" w:hAnsi="Times New Roman" w:eastAsia="宋体" w:cs="宋体"/>
          <w:snapToGrid w:val="0"/>
          <w:color w:val="auto"/>
          <w:kern w:val="0"/>
          <w:sz w:val="24"/>
          <w:szCs w:val="24"/>
          <w:lang w:val="en-US" w:eastAsia="zh-CN" w:bidi="ar"/>
        </w:rPr>
        <w:t>温带</w:t>
      </w:r>
      <w:r>
        <w:rPr>
          <w:rFonts w:hint="default" w:ascii="Times New Roman" w:hAnsi="Times New Roman" w:eastAsia="宋体" w:cs="宋体"/>
          <w:snapToGrid w:val="0"/>
          <w:color w:val="auto"/>
          <w:kern w:val="0"/>
          <w:sz w:val="24"/>
          <w:szCs w:val="24"/>
          <w:lang w:val="en-US" w:eastAsia="zh-CN" w:bidi="ar"/>
        </w:rPr>
        <w:t>大陆性荒漠草原气候，年平均气温</w:t>
      </w:r>
      <w:r>
        <w:rPr>
          <w:rFonts w:hint="eastAsia" w:ascii="Times New Roman" w:hAnsi="Times New Roman" w:eastAsia="宋体" w:cs="宋体"/>
          <w:snapToGrid w:val="0"/>
          <w:color w:val="auto"/>
          <w:kern w:val="0"/>
          <w:sz w:val="24"/>
          <w:szCs w:val="24"/>
          <w:lang w:val="en-US" w:eastAsia="zh-CN" w:bidi="ar"/>
        </w:rPr>
        <w:t>4.1</w:t>
      </w:r>
      <w:r>
        <w:rPr>
          <w:rFonts w:hint="default" w:ascii="Times New Roman" w:hAnsi="Times New Roman" w:eastAsia="宋体" w:cs="宋体"/>
          <w:snapToGrid w:val="0"/>
          <w:color w:val="auto"/>
          <w:kern w:val="0"/>
          <w:sz w:val="24"/>
          <w:szCs w:val="24"/>
          <w:lang w:val="en-US" w:eastAsia="zh-CN" w:bidi="ar"/>
        </w:rPr>
        <w:t>℃，年平均降水量351毫米，无霜期1</w:t>
      </w:r>
      <w:r>
        <w:rPr>
          <w:rFonts w:hint="eastAsia" w:ascii="Times New Roman" w:hAnsi="Times New Roman" w:eastAsia="宋体" w:cs="宋体"/>
          <w:snapToGrid w:val="0"/>
          <w:color w:val="auto"/>
          <w:kern w:val="0"/>
          <w:sz w:val="24"/>
          <w:szCs w:val="24"/>
          <w:lang w:val="en-US" w:eastAsia="zh-CN" w:bidi="ar"/>
        </w:rPr>
        <w:t>40</w:t>
      </w:r>
      <w:r>
        <w:rPr>
          <w:rFonts w:hint="default" w:ascii="Times New Roman" w:hAnsi="Times New Roman" w:eastAsia="宋体" w:cs="宋体"/>
          <w:snapToGrid w:val="0"/>
          <w:color w:val="auto"/>
          <w:kern w:val="0"/>
          <w:sz w:val="24"/>
          <w:szCs w:val="24"/>
          <w:lang w:val="en-US" w:eastAsia="zh-CN" w:bidi="ar"/>
        </w:rPr>
        <w:t>天。日照总时数2966.3小时，年总辐射量139.91千卡/平方厘米，活动积温1859.7-3549.6℃，有效积温</w:t>
      </w:r>
      <w:r>
        <w:rPr>
          <w:rFonts w:hint="eastAsia" w:ascii="Times New Roman" w:hAnsi="Times New Roman" w:eastAsia="宋体" w:cs="宋体"/>
          <w:snapToGrid w:val="0"/>
          <w:color w:val="auto"/>
          <w:kern w:val="0"/>
          <w:sz w:val="24"/>
          <w:szCs w:val="24"/>
          <w:lang w:val="en-US" w:eastAsia="zh-CN" w:bidi="ar"/>
        </w:rPr>
        <w:t>1</w:t>
      </w:r>
      <w:r>
        <w:rPr>
          <w:rFonts w:hint="default" w:ascii="Times New Roman" w:hAnsi="Times New Roman" w:eastAsia="宋体" w:cs="宋体"/>
          <w:snapToGrid w:val="0"/>
          <w:color w:val="auto"/>
          <w:kern w:val="0"/>
          <w:sz w:val="24"/>
          <w:szCs w:val="24"/>
          <w:lang w:val="en-US" w:eastAsia="zh-CN" w:bidi="ar"/>
        </w:rPr>
        <w:t>178.8-3053.6℃。年平均风速大于3.5米/秒，最大风速14.7米/秒。</w:t>
      </w:r>
    </w:p>
    <w:p w14:paraId="3CF53AEA">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bookmarkStart w:id="25" w:name="_Toc18688"/>
      <w:r>
        <w:rPr>
          <w:rFonts w:hint="eastAsia" w:ascii="Times New Roman" w:hAnsi="Times New Roman" w:eastAsia="宋体" w:cs="宋体"/>
          <w:b/>
          <w:color w:val="auto"/>
          <w:sz w:val="24"/>
          <w:lang w:val="en-US" w:eastAsia="zh-CN"/>
        </w:rPr>
        <w:t>3.3.4、水文</w:t>
      </w:r>
    </w:p>
    <w:p w14:paraId="6817EE33">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民乐县域内水电资源充足，水资源有洪水河、大堵麻河等7条较大河流和马蹄河，大泉沟等12条小河流，年地表水径流量4.2亿立方米，地下水总量2.5亿立方米。现已建成中小型水库7座，总库容7052.8万立方米，水电站3座，装机容量476万千瓦。建成干、支、斗渠1093条、1930.9组公里，机电井22眼，相当规模的调储能力，纵横交错的水利网，加之地下水的提取，基本满足了工农业生产和人畜饮水需要。</w:t>
      </w:r>
    </w:p>
    <w:p w14:paraId="55F159C8">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3.3.5、土地</w:t>
      </w:r>
      <w:bookmarkEnd w:id="25"/>
      <w:r>
        <w:rPr>
          <w:rFonts w:hint="eastAsia" w:ascii="Times New Roman" w:hAnsi="Times New Roman" w:eastAsia="宋体" w:cs="宋体"/>
          <w:b/>
          <w:color w:val="auto"/>
          <w:sz w:val="24"/>
          <w:lang w:val="en-US" w:eastAsia="zh-CN"/>
        </w:rPr>
        <w:t>利用现状</w:t>
      </w:r>
    </w:p>
    <w:p w14:paraId="5EDC868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民乐县总面积3687.32平方公里，其中耕地116万亩，林地86万亩，草地130万亩，滩涂沙地170万亩，尚未开发利用荒地50万亩。</w:t>
      </w:r>
    </w:p>
    <w:p w14:paraId="09E480C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本项目场址用地位于甘肃省张掖市民乐县生态工业园区，属于工业用地。</w:t>
      </w:r>
    </w:p>
    <w:p w14:paraId="6AC63CCF">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3.3.6、地震基本烈度</w:t>
      </w:r>
    </w:p>
    <w:p w14:paraId="200CD02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b/>
          <w:bCs/>
          <w:color w:val="auto"/>
          <w:spacing w:val="7"/>
          <w:sz w:val="30"/>
          <w:szCs w:val="30"/>
          <w:lang w:val="en-US" w:eastAsia="zh-CN"/>
        </w:rPr>
      </w:pPr>
      <w:r>
        <w:rPr>
          <w:rFonts w:hint="eastAsia" w:ascii="Times New Roman" w:hAnsi="Times New Roman" w:eastAsia="宋体" w:cs="宋体"/>
          <w:snapToGrid w:val="0"/>
          <w:color w:val="auto"/>
          <w:kern w:val="0"/>
          <w:sz w:val="24"/>
          <w:szCs w:val="24"/>
          <w:lang w:val="en-US" w:eastAsia="zh-CN" w:bidi="ar"/>
        </w:rPr>
        <w:t>本工程所在地区的抗震设防烈度为7度，设计基本地震加速度值为0.10g，设计地震分组为第二组，设计地震动反应谱特征周期值Tg=0.40s。</w:t>
      </w:r>
    </w:p>
    <w:p w14:paraId="7D3ACC52">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3.3.7、产品资源</w:t>
      </w:r>
    </w:p>
    <w:p w14:paraId="596F1A8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县境内有耕地116万亩，光照充足，土地肥沃，是培育天然绿色食品的理想之地，主要农作物中药材、马铃薯、特色制种等以品质优良而闻名，被农业农村部、中国特产之乡推荐暨宣传活动组委会授予“中国板蓝根之乡”称号，紫皮大蒜、马铃薯入选</w:t>
      </w:r>
      <w:r>
        <w:rPr>
          <w:rFonts w:hint="default" w:ascii="Times New Roman" w:hAnsi="Times New Roman" w:eastAsia="宋体" w:cs="宋体"/>
          <w:snapToGrid w:val="0"/>
          <w:color w:val="auto"/>
          <w:kern w:val="0"/>
          <w:sz w:val="24"/>
          <w:szCs w:val="24"/>
          <w:lang w:val="en-US" w:eastAsia="zh-CN" w:bidi="ar"/>
        </w:rPr>
        <w:t>2013</w:t>
      </w:r>
      <w:r>
        <w:rPr>
          <w:rFonts w:hint="eastAsia" w:ascii="Times New Roman" w:hAnsi="Times New Roman" w:eastAsia="宋体" w:cs="宋体"/>
          <w:snapToGrid w:val="0"/>
          <w:color w:val="auto"/>
          <w:kern w:val="0"/>
          <w:sz w:val="24"/>
          <w:szCs w:val="24"/>
          <w:lang w:val="en-US" w:eastAsia="zh-CN" w:bidi="ar"/>
        </w:rPr>
        <w:t>、</w:t>
      </w:r>
      <w:r>
        <w:rPr>
          <w:rFonts w:hint="default" w:ascii="Times New Roman" w:hAnsi="Times New Roman" w:eastAsia="宋体" w:cs="宋体"/>
          <w:snapToGrid w:val="0"/>
          <w:color w:val="auto"/>
          <w:kern w:val="0"/>
          <w:sz w:val="24"/>
          <w:szCs w:val="24"/>
          <w:lang w:val="en-US" w:eastAsia="zh-CN" w:bidi="ar"/>
        </w:rPr>
        <w:t>2015</w:t>
      </w:r>
      <w:r>
        <w:rPr>
          <w:rFonts w:hint="eastAsia" w:ascii="Times New Roman" w:hAnsi="Times New Roman" w:eastAsia="宋体" w:cs="宋体"/>
          <w:snapToGrid w:val="0"/>
          <w:color w:val="auto"/>
          <w:kern w:val="0"/>
          <w:sz w:val="24"/>
          <w:szCs w:val="24"/>
          <w:lang w:val="en-US" w:eastAsia="zh-CN" w:bidi="ar"/>
        </w:rPr>
        <w:t>年度全国名特优新农产品目录，被评为全国粮食生产先进县、“中国板蓝根之乡”、全国基本实现主要农作物生产全程机械化示范县，确定为国家农业综合开发现代农业园区试点县、农业水价综合改革试点县、马铃薯国家标准化种植示范区、全省休闲农业示范县、畜牧全产业链试点县和全省首批有机产品认证示范区、第二批省级农产品质量安全创建试点县，民乐县产业融合发展示范园被认定为首批国家农村产业融合发展示范园。</w:t>
      </w:r>
    </w:p>
    <w:p w14:paraId="6BF1E04C">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3.3.8、</w:t>
      </w:r>
      <w:r>
        <w:rPr>
          <w:rFonts w:hint="default" w:ascii="Times New Roman" w:hAnsi="Times New Roman" w:eastAsia="宋体" w:cs="宋体"/>
          <w:b/>
          <w:color w:val="auto"/>
          <w:sz w:val="24"/>
          <w:lang w:val="en-US" w:eastAsia="zh-CN"/>
        </w:rPr>
        <w:t>交通运输</w:t>
      </w:r>
    </w:p>
    <w:p w14:paraId="614D31C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本项目厂区所在的民乐生态工业园区位于张掖市甘州区、山丹县和民乐县交界处，距张掖市区25公里，距民乐县城40公里，距山丹县城35公里。项目区位优势明显，项目区距张掖飞机场约5公里。张汶高速（在建）从园区西侧经过，国道227线、兰新高铁从园区穿境而过，为本项目发展提供了良好的交通条件。</w:t>
      </w:r>
    </w:p>
    <w:p w14:paraId="6A68860F">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3.3.9、</w:t>
      </w:r>
      <w:r>
        <w:rPr>
          <w:rFonts w:hint="default" w:ascii="Times New Roman" w:hAnsi="Times New Roman" w:eastAsia="宋体" w:cs="宋体"/>
          <w:b/>
          <w:color w:val="auto"/>
          <w:sz w:val="24"/>
          <w:lang w:val="en-US" w:eastAsia="zh-CN"/>
        </w:rPr>
        <w:t>通讯</w:t>
      </w:r>
    </w:p>
    <w:p w14:paraId="273E42D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当地通讯设施完善，城市电信网络覆盖良好，可以满足本项目实施后通讯及信息交流方面的需要。</w:t>
      </w:r>
    </w:p>
    <w:p w14:paraId="03C69166">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3.3.10、</w:t>
      </w:r>
      <w:r>
        <w:rPr>
          <w:rFonts w:hint="default" w:ascii="Times New Roman" w:hAnsi="Times New Roman" w:eastAsia="宋体" w:cs="宋体"/>
          <w:b/>
          <w:color w:val="auto"/>
          <w:sz w:val="24"/>
          <w:lang w:val="en-US" w:eastAsia="zh-CN"/>
        </w:rPr>
        <w:t>给排水</w:t>
      </w:r>
    </w:p>
    <w:p w14:paraId="653C1CC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w:t>
      </w:r>
      <w:r>
        <w:rPr>
          <w:rFonts w:hint="default" w:ascii="Times New Roman" w:hAnsi="Times New Roman" w:eastAsia="宋体" w:cs="宋体"/>
          <w:snapToGrid w:val="0"/>
          <w:color w:val="auto"/>
          <w:kern w:val="0"/>
          <w:sz w:val="24"/>
          <w:szCs w:val="24"/>
          <w:lang w:val="en-US" w:eastAsia="zh-CN" w:bidi="ar"/>
        </w:rPr>
        <w:t>给水：</w:t>
      </w:r>
      <w:r>
        <w:rPr>
          <w:rFonts w:hint="eastAsia" w:ascii="Times New Roman" w:hAnsi="Times New Roman" w:eastAsia="宋体" w:cs="宋体"/>
          <w:snapToGrid w:val="0"/>
          <w:color w:val="auto"/>
          <w:kern w:val="0"/>
          <w:sz w:val="24"/>
          <w:szCs w:val="24"/>
          <w:lang w:val="en-US" w:eastAsia="zh-CN" w:bidi="ar"/>
        </w:rPr>
        <w:t>项目</w:t>
      </w:r>
      <w:r>
        <w:rPr>
          <w:rFonts w:hint="default" w:ascii="Times New Roman" w:hAnsi="Times New Roman" w:eastAsia="宋体" w:cs="宋体"/>
          <w:snapToGrid w:val="0"/>
          <w:color w:val="auto"/>
          <w:kern w:val="0"/>
          <w:sz w:val="24"/>
          <w:szCs w:val="24"/>
          <w:lang w:val="en-US" w:eastAsia="zh-CN" w:bidi="ar"/>
        </w:rPr>
        <w:t>生活用水、生产用水均依托园区供水管网供给。</w:t>
      </w:r>
    </w:p>
    <w:p w14:paraId="0455989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w:t>
      </w:r>
      <w:r>
        <w:rPr>
          <w:rFonts w:hint="default" w:ascii="Times New Roman" w:hAnsi="Times New Roman" w:eastAsia="宋体" w:cs="宋体"/>
          <w:snapToGrid w:val="0"/>
          <w:color w:val="auto"/>
          <w:kern w:val="0"/>
          <w:sz w:val="24"/>
          <w:szCs w:val="24"/>
          <w:lang w:val="en-US" w:eastAsia="zh-CN" w:bidi="ar"/>
        </w:rPr>
        <w:t>排水：马铃薯清洗废水进入循环沉淀池处理后回用，每年生产期结束后对沉淀池内废水进入</w:t>
      </w:r>
      <w:r>
        <w:rPr>
          <w:rFonts w:hint="eastAsia" w:ascii="Times New Roman" w:hAnsi="Times New Roman" w:eastAsia="宋体" w:cs="宋体"/>
          <w:snapToGrid w:val="0"/>
          <w:color w:val="auto"/>
          <w:kern w:val="0"/>
          <w:sz w:val="24"/>
          <w:szCs w:val="24"/>
          <w:lang w:val="en-US" w:eastAsia="zh-CN" w:bidi="ar"/>
        </w:rPr>
        <w:t>黑膜氧化池</w:t>
      </w:r>
      <w:r>
        <w:rPr>
          <w:rFonts w:hint="default" w:ascii="Times New Roman" w:hAnsi="Times New Roman" w:eastAsia="宋体" w:cs="宋体"/>
          <w:snapToGrid w:val="0"/>
          <w:color w:val="auto"/>
          <w:kern w:val="0"/>
          <w:sz w:val="24"/>
          <w:szCs w:val="24"/>
          <w:lang w:val="en-US" w:eastAsia="zh-CN" w:bidi="ar"/>
        </w:rPr>
        <w:t>处理</w:t>
      </w:r>
      <w:r>
        <w:rPr>
          <w:rFonts w:hint="eastAsia" w:ascii="Times New Roman" w:hAnsi="Times New Roman" w:eastAsia="宋体" w:cs="宋体"/>
          <w:snapToGrid w:val="0"/>
          <w:color w:val="auto"/>
          <w:kern w:val="0"/>
          <w:sz w:val="24"/>
          <w:szCs w:val="24"/>
          <w:lang w:val="en-US" w:eastAsia="zh-CN" w:bidi="ar"/>
        </w:rPr>
        <w:t>后</w:t>
      </w:r>
      <w:r>
        <w:rPr>
          <w:rFonts w:hint="default" w:ascii="Times New Roman" w:hAnsi="Times New Roman" w:eastAsia="宋体" w:cs="宋体"/>
          <w:snapToGrid w:val="0"/>
          <w:color w:val="auto"/>
          <w:kern w:val="0"/>
          <w:sz w:val="24"/>
          <w:szCs w:val="24"/>
          <w:lang w:val="en-US" w:eastAsia="zh-CN" w:bidi="ar"/>
        </w:rPr>
        <w:t>还田；生活污水、沼气净化废水与分离汁水等进入黑膜</w:t>
      </w:r>
      <w:r>
        <w:rPr>
          <w:rFonts w:hint="eastAsia" w:ascii="Times New Roman" w:hAnsi="Times New Roman" w:eastAsia="宋体" w:cs="宋体"/>
          <w:snapToGrid w:val="0"/>
          <w:color w:val="auto"/>
          <w:kern w:val="0"/>
          <w:sz w:val="24"/>
          <w:szCs w:val="24"/>
          <w:lang w:val="en-US" w:eastAsia="zh-CN" w:bidi="ar"/>
        </w:rPr>
        <w:t>氧还池</w:t>
      </w:r>
      <w:r>
        <w:rPr>
          <w:rFonts w:hint="default" w:ascii="Times New Roman" w:hAnsi="Times New Roman" w:eastAsia="宋体" w:cs="宋体"/>
          <w:snapToGrid w:val="0"/>
          <w:color w:val="auto"/>
          <w:kern w:val="0"/>
          <w:sz w:val="24"/>
          <w:szCs w:val="24"/>
          <w:lang w:val="en-US" w:eastAsia="zh-CN" w:bidi="ar"/>
        </w:rPr>
        <w:t>处理还田，资源化利用（配套流转土地1500亩）。</w:t>
      </w:r>
    </w:p>
    <w:p w14:paraId="00CC5CB4">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3.3.11、</w:t>
      </w:r>
      <w:r>
        <w:rPr>
          <w:rFonts w:hint="default" w:ascii="Times New Roman" w:hAnsi="Times New Roman" w:eastAsia="宋体" w:cs="宋体"/>
          <w:b/>
          <w:color w:val="auto"/>
          <w:sz w:val="24"/>
          <w:lang w:val="en-US" w:eastAsia="zh-CN"/>
        </w:rPr>
        <w:t>供电</w:t>
      </w:r>
    </w:p>
    <w:p w14:paraId="23FB75B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本项目电源由</w:t>
      </w:r>
      <w:r>
        <w:rPr>
          <w:rFonts w:hint="eastAsia" w:ascii="Times New Roman" w:hAnsi="Times New Roman" w:eastAsia="宋体" w:cs="宋体"/>
          <w:snapToGrid w:val="0"/>
          <w:color w:val="auto"/>
          <w:kern w:val="0"/>
          <w:sz w:val="24"/>
          <w:szCs w:val="24"/>
          <w:lang w:val="en-US" w:eastAsia="zh-CN" w:bidi="ar"/>
        </w:rPr>
        <w:t>园区电网提供</w:t>
      </w:r>
      <w:r>
        <w:rPr>
          <w:rFonts w:hint="default" w:ascii="Times New Roman" w:hAnsi="Times New Roman" w:eastAsia="宋体" w:cs="宋体"/>
          <w:snapToGrid w:val="0"/>
          <w:color w:val="auto"/>
          <w:kern w:val="0"/>
          <w:sz w:val="24"/>
          <w:szCs w:val="24"/>
          <w:lang w:val="en-US" w:eastAsia="zh-CN" w:bidi="ar"/>
        </w:rPr>
        <w:t>，动力设备均采用三相380V供电，照明采用单相220V供电。</w:t>
      </w:r>
    </w:p>
    <w:p w14:paraId="6478C212">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3.3.12、</w:t>
      </w:r>
      <w:r>
        <w:rPr>
          <w:rFonts w:hint="default" w:ascii="Times New Roman" w:hAnsi="Times New Roman" w:eastAsia="宋体" w:cs="宋体"/>
          <w:b/>
          <w:color w:val="auto"/>
          <w:sz w:val="24"/>
          <w:lang w:val="en-US" w:eastAsia="zh-CN"/>
        </w:rPr>
        <w:t>供热</w:t>
      </w:r>
    </w:p>
    <w:p w14:paraId="0E87F5C8">
      <w:pPr>
        <w:widowControl/>
        <w:spacing w:line="360" w:lineRule="auto"/>
        <w:ind w:firstLine="474"/>
        <w:jc w:val="left"/>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color w:val="auto"/>
          <w:sz w:val="24"/>
          <w:lang w:val="en-US" w:eastAsia="zh-CN"/>
        </w:rPr>
        <w:t>本项目</w:t>
      </w:r>
      <w:r>
        <w:rPr>
          <w:rFonts w:hint="eastAsia" w:ascii="Times New Roman" w:hAnsi="Times New Roman" w:eastAsia="宋体" w:cs="宋体"/>
          <w:color w:val="auto"/>
          <w:sz w:val="24"/>
        </w:rPr>
        <w:t>设置1台</w:t>
      </w:r>
      <w:r>
        <w:rPr>
          <w:rFonts w:hint="eastAsia" w:ascii="Times New Roman" w:hAnsi="Times New Roman" w:eastAsia="宋体" w:cs="宋体"/>
          <w:color w:val="auto"/>
          <w:sz w:val="24"/>
          <w:lang w:val="en-US" w:eastAsia="zh-CN"/>
        </w:rPr>
        <w:t>15t/h</w:t>
      </w:r>
      <w:r>
        <w:rPr>
          <w:rFonts w:hint="eastAsia" w:ascii="Times New Roman" w:hAnsi="Times New Roman" w:eastAsia="宋体" w:cs="宋体"/>
          <w:color w:val="auto"/>
          <w:sz w:val="24"/>
        </w:rPr>
        <w:t>天然气蒸汽锅炉，用于生产</w:t>
      </w:r>
      <w:r>
        <w:rPr>
          <w:rFonts w:hint="eastAsia" w:ascii="Times New Roman" w:hAnsi="Times New Roman" w:eastAsia="宋体" w:cs="宋体"/>
          <w:color w:val="auto"/>
          <w:sz w:val="24"/>
          <w:lang w:val="en-US" w:eastAsia="zh-CN"/>
        </w:rPr>
        <w:t>供热</w:t>
      </w:r>
      <w:r>
        <w:rPr>
          <w:rFonts w:hint="eastAsia" w:ascii="Times New Roman" w:hAnsi="Times New Roman" w:eastAsia="宋体" w:cs="宋体"/>
          <w:color w:val="auto"/>
          <w:sz w:val="24"/>
        </w:rPr>
        <w:t>。</w:t>
      </w:r>
      <w:r>
        <w:rPr>
          <w:rFonts w:hint="eastAsia" w:ascii="Times New Roman" w:hAnsi="Times New Roman" w:eastAsia="宋体" w:cs="宋体"/>
          <w:color w:val="auto"/>
          <w:sz w:val="24"/>
          <w:lang w:val="en-US" w:eastAsia="zh-CN"/>
        </w:rPr>
        <w:t>生活办公区采暖采用电暖器供暖。</w:t>
      </w:r>
      <w:r>
        <w:rPr>
          <w:rFonts w:hint="default" w:ascii="Times New Roman" w:hAnsi="Times New Roman" w:eastAsia="宋体" w:cs="宋体"/>
          <w:snapToGrid w:val="0"/>
          <w:color w:val="auto"/>
          <w:kern w:val="0"/>
          <w:sz w:val="24"/>
          <w:szCs w:val="24"/>
          <w:lang w:val="en-US" w:eastAsia="zh-CN" w:bidi="ar"/>
        </w:rPr>
        <w:t>厂区附近有天然气公司的管道通过，可以方便引入厂区。</w:t>
      </w:r>
    </w:p>
    <w:p w14:paraId="00FBBB4E">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3.3.13、经济条件</w:t>
      </w:r>
    </w:p>
    <w:p w14:paraId="0BF62808">
      <w:pPr>
        <w:pStyle w:val="2"/>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民乐县坚持以习近平新时代中国特色社会主义思想为指导，深入贯彻党的二十大和二十届历次全会精神，全面落实习近平总书记对甘肃重要讲话和指示精神，认真贯彻党中央、国务院决策部署和省委、省政府、市委工业园区政府工作安排及县委工作要求，坚持稳中求进工作总基调，牢牢把握“三新一高”导向，凝心聚力，真抓实干，统筹抓好稳增长、促改革、调结构、惠民生、防风险、保稳定各项工作，夺取了统筹疫情防控和经济社会发展“双胜利”，实现了“十四五”和全面建设社会主义现代化良好开局。全县实现地区生产总值68.76亿元，增长7.8%，排名全市第一。</w:t>
      </w:r>
    </w:p>
    <w:p w14:paraId="3CAB076C">
      <w:pPr>
        <w:pStyle w:val="2"/>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其中：完成第一产业增加值23.16亿元，增长11.9%，排名全市第二；第二产业增加值13.96亿元，增长8.7%，排名全市第一；第三产业增加值31.64亿元，增长4.4%，排名全市第五。完成固定资产投资49.25亿元，增长11.53%，排名全市第二。完成社会消费品零售总额26.39亿元，增长13.2%，排名全市第四。完成一般公共预算收入3.14亿元，增长4.84%，排名全市第六。完成城镇居民人均可支配收入28532元，增长7.4%，排名全市第二；农村居民人均可支配收入15186元，增长10.2%，排名全市第四。</w:t>
      </w:r>
    </w:p>
    <w:p w14:paraId="1488703E">
      <w:pPr>
        <w:pStyle w:val="2"/>
        <w:rPr>
          <w:rFonts w:hint="eastAsia" w:ascii="Times New Roman" w:hAnsi="Times New Roman" w:eastAsia="宋体" w:cs="宋体"/>
          <w:color w:val="auto"/>
          <w:lang w:val="en-US" w:eastAsia="zh-CN"/>
        </w:rPr>
      </w:pPr>
    </w:p>
    <w:p w14:paraId="6D7229E6">
      <w:pPr>
        <w:rPr>
          <w:rFonts w:hint="eastAsia" w:ascii="Times New Roman" w:hAnsi="Times New Roman" w:eastAsia="宋体" w:cs="宋体"/>
          <w:color w:val="auto"/>
          <w:lang w:val="en-US" w:eastAsia="zh-CN"/>
        </w:rPr>
        <w:sectPr>
          <w:footerReference r:id="rId10"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43F6DB19">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jc w:val="center"/>
        <w:textAlignment w:val="baseline"/>
        <w:rPr>
          <w:rFonts w:hint="default" w:ascii="Times New Roman" w:hAnsi="Times New Roman" w:eastAsia="宋体" w:cs="宋体"/>
          <w:b/>
          <w:color w:val="auto"/>
          <w:sz w:val="30"/>
          <w:szCs w:val="30"/>
          <w:lang w:val="en-US" w:eastAsia="zh-CN"/>
        </w:rPr>
      </w:pPr>
      <w:bookmarkStart w:id="26" w:name="_Toc6882"/>
      <w:r>
        <w:rPr>
          <w:rFonts w:hint="eastAsia" w:ascii="Times New Roman" w:hAnsi="Times New Roman" w:eastAsia="宋体" w:cs="宋体"/>
          <w:b/>
          <w:color w:val="auto"/>
          <w:sz w:val="30"/>
          <w:szCs w:val="30"/>
          <w:lang w:val="en-US" w:eastAsia="zh-CN"/>
        </w:rPr>
        <w:t>第四章 工艺技术方案</w:t>
      </w:r>
      <w:bookmarkEnd w:id="26"/>
    </w:p>
    <w:p w14:paraId="6A558E45">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27" w:name="_Toc9748"/>
      <w:bookmarkStart w:id="28" w:name="_Toc2695"/>
      <w:r>
        <w:rPr>
          <w:rFonts w:hint="eastAsia" w:ascii="Times New Roman" w:hAnsi="Times New Roman" w:eastAsia="宋体" w:cs="宋体"/>
          <w:b/>
          <w:bCs/>
          <w:color w:val="auto"/>
          <w:sz w:val="28"/>
          <w:szCs w:val="28"/>
          <w:lang w:val="en-US" w:eastAsia="zh-CN"/>
        </w:rPr>
        <w:t>4.1、</w:t>
      </w:r>
      <w:bookmarkEnd w:id="27"/>
      <w:r>
        <w:rPr>
          <w:rFonts w:hint="eastAsia" w:ascii="Times New Roman" w:hAnsi="Times New Roman" w:eastAsia="宋体" w:cs="宋体"/>
          <w:b/>
          <w:bCs/>
          <w:color w:val="auto"/>
          <w:sz w:val="28"/>
          <w:szCs w:val="28"/>
          <w:lang w:val="en-US" w:eastAsia="zh-CN"/>
        </w:rPr>
        <w:t>主要产品及产能</w:t>
      </w:r>
      <w:bookmarkEnd w:id="28"/>
    </w:p>
    <w:p w14:paraId="1415AF0B">
      <w:pPr>
        <w:adjustRightInd w:val="0"/>
        <w:snapToGrid w:val="0"/>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rPr>
        <w:t>项目主要产品为马铃薯精制淀粉，淀粉含水率约为18%，包装规格为25kg/袋；</w:t>
      </w:r>
      <w:r>
        <w:rPr>
          <w:rFonts w:ascii="Times New Roman" w:hAnsi="Times New Roman" w:eastAsia="宋体" w:cs="宋体"/>
          <w:color w:val="auto"/>
          <w:sz w:val="24"/>
        </w:rPr>
        <w:t>本项目主要产品及产能见表</w:t>
      </w:r>
      <w:r>
        <w:rPr>
          <w:rFonts w:hint="eastAsia" w:ascii="Times New Roman" w:hAnsi="Times New Roman" w:eastAsia="宋体" w:cs="宋体"/>
          <w:color w:val="auto"/>
          <w:sz w:val="24"/>
          <w:lang w:val="en-US" w:eastAsia="zh-CN"/>
        </w:rPr>
        <w:t>4-1</w:t>
      </w:r>
      <w:r>
        <w:rPr>
          <w:rFonts w:ascii="Times New Roman" w:hAnsi="Times New Roman" w:eastAsia="宋体" w:cs="宋体"/>
          <w:color w:val="auto"/>
          <w:sz w:val="24"/>
        </w:rPr>
        <w:t>。</w:t>
      </w:r>
    </w:p>
    <w:p w14:paraId="0441557B">
      <w:pPr>
        <w:pStyle w:val="30"/>
        <w:spacing w:line="240" w:lineRule="auto"/>
        <w:ind w:firstLine="198" w:firstLineChars="82"/>
        <w:jc w:val="center"/>
        <w:rPr>
          <w:rFonts w:hint="eastAsia" w:ascii="Times New Roman" w:hAnsi="Times New Roman" w:eastAsia="宋体" w:cs="宋体"/>
          <w:b/>
          <w:bCs w:val="0"/>
          <w:color w:val="auto"/>
        </w:rPr>
      </w:pPr>
      <w:r>
        <w:rPr>
          <w:rFonts w:hint="eastAsia" w:ascii="Times New Roman" w:hAnsi="Times New Roman" w:eastAsia="宋体" w:cs="宋体"/>
          <w:b/>
          <w:bCs w:val="0"/>
          <w:color w:val="auto"/>
        </w:rPr>
        <w:t>表</w:t>
      </w:r>
      <w:r>
        <w:rPr>
          <w:rFonts w:hint="eastAsia" w:ascii="Times New Roman" w:hAnsi="Times New Roman" w:eastAsia="宋体" w:cs="宋体"/>
          <w:b/>
          <w:bCs w:val="0"/>
          <w:color w:val="auto"/>
          <w:lang w:val="en-US" w:eastAsia="zh-CN"/>
        </w:rPr>
        <w:t xml:space="preserve">4-1   </w:t>
      </w:r>
      <w:r>
        <w:rPr>
          <w:rFonts w:hint="eastAsia" w:ascii="Times New Roman" w:hAnsi="Times New Roman" w:eastAsia="宋体" w:cs="宋体"/>
          <w:b/>
          <w:bCs w:val="0"/>
          <w:color w:val="auto"/>
        </w:rPr>
        <w:t>项目主要产品及产能</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1"/>
        <w:gridCol w:w="2078"/>
        <w:gridCol w:w="3483"/>
        <w:gridCol w:w="2010"/>
      </w:tblGrid>
      <w:tr w14:paraId="3A3CB2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8" w:type="pct"/>
            <w:tcBorders>
              <w:tl2br w:val="nil"/>
              <w:tr2bl w:val="nil"/>
            </w:tcBorders>
            <w:noWrap w:val="0"/>
            <w:vAlign w:val="center"/>
          </w:tcPr>
          <w:p w14:paraId="2F79E18C">
            <w:pPr>
              <w:pStyle w:val="31"/>
              <w:spacing w:line="240" w:lineRule="exact"/>
              <w:ind w:firstLine="0" w:firstLineChars="0"/>
              <w:jc w:val="center"/>
              <w:rPr>
                <w:rFonts w:ascii="Times New Roman" w:hAnsi="Times New Roman" w:eastAsia="宋体" w:cs="宋体"/>
                <w:b/>
                <w:bCs/>
                <w:snapToGrid w:val="0"/>
                <w:color w:val="auto"/>
                <w:spacing w:val="0"/>
                <w:sz w:val="21"/>
                <w:szCs w:val="21"/>
              </w:rPr>
            </w:pPr>
            <w:r>
              <w:rPr>
                <w:rFonts w:ascii="Times New Roman" w:hAnsi="Times New Roman" w:eastAsia="宋体" w:cs="宋体"/>
                <w:b/>
                <w:bCs/>
                <w:snapToGrid w:val="0"/>
                <w:color w:val="auto"/>
                <w:spacing w:val="0"/>
                <w:sz w:val="21"/>
                <w:szCs w:val="21"/>
              </w:rPr>
              <w:t>序号</w:t>
            </w:r>
          </w:p>
        </w:tc>
        <w:tc>
          <w:tcPr>
            <w:tcW w:w="1219" w:type="pct"/>
            <w:tcBorders>
              <w:tl2br w:val="nil"/>
              <w:tr2bl w:val="nil"/>
            </w:tcBorders>
            <w:noWrap w:val="0"/>
            <w:vAlign w:val="center"/>
          </w:tcPr>
          <w:p w14:paraId="1F8001CD">
            <w:pPr>
              <w:pStyle w:val="31"/>
              <w:spacing w:line="240" w:lineRule="exact"/>
              <w:ind w:firstLine="0" w:firstLineChars="0"/>
              <w:jc w:val="center"/>
              <w:rPr>
                <w:rFonts w:ascii="Times New Roman" w:hAnsi="Times New Roman" w:eastAsia="宋体" w:cs="宋体"/>
                <w:b/>
                <w:bCs/>
                <w:snapToGrid w:val="0"/>
                <w:color w:val="auto"/>
                <w:spacing w:val="0"/>
                <w:sz w:val="21"/>
                <w:szCs w:val="21"/>
              </w:rPr>
            </w:pPr>
            <w:r>
              <w:rPr>
                <w:rFonts w:ascii="Times New Roman" w:hAnsi="Times New Roman" w:eastAsia="宋体" w:cs="宋体"/>
                <w:b/>
                <w:bCs/>
                <w:snapToGrid w:val="0"/>
                <w:color w:val="auto"/>
                <w:spacing w:val="0"/>
                <w:sz w:val="21"/>
                <w:szCs w:val="21"/>
              </w:rPr>
              <w:t>产品</w:t>
            </w:r>
            <w:r>
              <w:rPr>
                <w:rFonts w:hint="eastAsia" w:ascii="Times New Roman" w:hAnsi="Times New Roman" w:eastAsia="宋体" w:cs="宋体"/>
                <w:b/>
                <w:bCs/>
                <w:snapToGrid w:val="0"/>
                <w:color w:val="auto"/>
                <w:spacing w:val="0"/>
                <w:sz w:val="21"/>
                <w:szCs w:val="21"/>
                <w:lang w:val="en-US" w:eastAsia="zh-CN"/>
              </w:rPr>
              <w:t>名称</w:t>
            </w:r>
            <w:r>
              <w:rPr>
                <w:rFonts w:ascii="Times New Roman" w:hAnsi="Times New Roman" w:eastAsia="宋体" w:cs="宋体"/>
                <w:b/>
                <w:bCs/>
                <w:snapToGrid w:val="0"/>
                <w:color w:val="auto"/>
                <w:spacing w:val="0"/>
                <w:sz w:val="21"/>
                <w:szCs w:val="21"/>
              </w:rPr>
              <w:cr/>
            </w:r>
          </w:p>
        </w:tc>
        <w:tc>
          <w:tcPr>
            <w:tcW w:w="2043" w:type="pct"/>
            <w:tcBorders>
              <w:tl2br w:val="nil"/>
              <w:tr2bl w:val="nil"/>
            </w:tcBorders>
            <w:noWrap w:val="0"/>
            <w:vAlign w:val="center"/>
          </w:tcPr>
          <w:p w14:paraId="39EF0CBF">
            <w:pPr>
              <w:pStyle w:val="31"/>
              <w:spacing w:line="240" w:lineRule="exact"/>
              <w:ind w:firstLine="0" w:firstLineChars="0"/>
              <w:jc w:val="center"/>
              <w:rPr>
                <w:rFonts w:ascii="Times New Roman" w:hAnsi="Times New Roman" w:eastAsia="宋体" w:cs="宋体"/>
                <w:b/>
                <w:bCs/>
                <w:snapToGrid w:val="0"/>
                <w:color w:val="auto"/>
                <w:spacing w:val="0"/>
                <w:sz w:val="21"/>
                <w:szCs w:val="21"/>
              </w:rPr>
            </w:pPr>
            <w:r>
              <w:rPr>
                <w:rFonts w:ascii="Times New Roman" w:hAnsi="Times New Roman" w:eastAsia="宋体" w:cs="宋体"/>
                <w:b/>
                <w:bCs/>
                <w:snapToGrid w:val="0"/>
                <w:color w:val="auto"/>
                <w:spacing w:val="0"/>
                <w:sz w:val="21"/>
                <w:szCs w:val="21"/>
              </w:rPr>
              <w:t>产品规模</w:t>
            </w:r>
          </w:p>
        </w:tc>
        <w:tc>
          <w:tcPr>
            <w:tcW w:w="1178" w:type="pct"/>
            <w:tcBorders>
              <w:tl2br w:val="nil"/>
              <w:tr2bl w:val="nil"/>
            </w:tcBorders>
            <w:noWrap w:val="0"/>
            <w:vAlign w:val="center"/>
          </w:tcPr>
          <w:p w14:paraId="60410985">
            <w:pPr>
              <w:pStyle w:val="31"/>
              <w:spacing w:line="240" w:lineRule="exact"/>
              <w:ind w:firstLine="0" w:firstLineChars="0"/>
              <w:jc w:val="center"/>
              <w:rPr>
                <w:rFonts w:ascii="Times New Roman" w:hAnsi="Times New Roman" w:eastAsia="宋体" w:cs="宋体"/>
                <w:b/>
                <w:bCs/>
                <w:snapToGrid w:val="0"/>
                <w:color w:val="auto"/>
                <w:spacing w:val="0"/>
                <w:sz w:val="21"/>
                <w:szCs w:val="21"/>
              </w:rPr>
            </w:pPr>
            <w:r>
              <w:rPr>
                <w:rFonts w:ascii="Times New Roman" w:hAnsi="Times New Roman" w:eastAsia="宋体" w:cs="宋体"/>
                <w:b/>
                <w:bCs/>
                <w:snapToGrid w:val="0"/>
                <w:color w:val="auto"/>
                <w:spacing w:val="0"/>
                <w:sz w:val="21"/>
                <w:szCs w:val="21"/>
              </w:rPr>
              <w:t>备</w:t>
            </w:r>
            <w:r>
              <w:rPr>
                <w:rFonts w:hint="eastAsia" w:ascii="Times New Roman" w:hAnsi="Times New Roman" w:eastAsia="宋体" w:cs="宋体"/>
                <w:b/>
                <w:bCs/>
                <w:snapToGrid w:val="0"/>
                <w:color w:val="auto"/>
                <w:spacing w:val="0"/>
                <w:sz w:val="21"/>
                <w:szCs w:val="21"/>
                <w:lang w:val="en-US" w:eastAsia="zh-CN"/>
              </w:rPr>
              <w:t>注</w:t>
            </w:r>
            <w:r>
              <w:rPr>
                <w:rFonts w:ascii="Times New Roman" w:hAnsi="Times New Roman" w:eastAsia="宋体" w:cs="宋体"/>
                <w:b/>
                <w:bCs/>
                <w:snapToGrid w:val="0"/>
                <w:color w:val="auto"/>
                <w:spacing w:val="0"/>
                <w:sz w:val="21"/>
                <w:szCs w:val="21"/>
              </w:rPr>
              <w:cr/>
            </w:r>
          </w:p>
        </w:tc>
      </w:tr>
      <w:tr w14:paraId="58D468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8" w:type="pct"/>
            <w:tcBorders>
              <w:tl2br w:val="nil"/>
              <w:tr2bl w:val="nil"/>
            </w:tcBorders>
            <w:noWrap w:val="0"/>
            <w:vAlign w:val="center"/>
          </w:tcPr>
          <w:p w14:paraId="41558752">
            <w:pPr>
              <w:pStyle w:val="31"/>
              <w:spacing w:line="240" w:lineRule="exact"/>
              <w:ind w:firstLine="0" w:firstLineChars="0"/>
              <w:jc w:val="center"/>
              <w:rPr>
                <w:rFonts w:ascii="Times New Roman" w:hAnsi="Times New Roman" w:eastAsia="宋体" w:cs="宋体"/>
                <w:snapToGrid w:val="0"/>
                <w:color w:val="auto"/>
                <w:spacing w:val="0"/>
                <w:sz w:val="21"/>
                <w:szCs w:val="21"/>
              </w:rPr>
            </w:pPr>
            <w:r>
              <w:rPr>
                <w:rFonts w:ascii="Times New Roman" w:hAnsi="Times New Roman" w:eastAsia="宋体" w:cs="宋体"/>
                <w:snapToGrid w:val="0"/>
                <w:color w:val="auto"/>
                <w:spacing w:val="0"/>
                <w:sz w:val="21"/>
                <w:szCs w:val="21"/>
              </w:rPr>
              <w:t>1</w:t>
            </w:r>
          </w:p>
        </w:tc>
        <w:tc>
          <w:tcPr>
            <w:tcW w:w="1219" w:type="pct"/>
            <w:tcBorders>
              <w:tl2br w:val="nil"/>
              <w:tr2bl w:val="nil"/>
            </w:tcBorders>
            <w:noWrap w:val="0"/>
            <w:vAlign w:val="center"/>
          </w:tcPr>
          <w:p w14:paraId="36A744EE">
            <w:pPr>
              <w:pStyle w:val="31"/>
              <w:spacing w:line="240" w:lineRule="exact"/>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马铃薯</w:t>
            </w:r>
            <w:r>
              <w:rPr>
                <w:rFonts w:ascii="Times New Roman" w:hAnsi="Times New Roman" w:eastAsia="宋体" w:cs="宋体"/>
                <w:snapToGrid w:val="0"/>
                <w:color w:val="auto"/>
                <w:spacing w:val="0"/>
                <w:sz w:val="21"/>
                <w:szCs w:val="21"/>
              </w:rPr>
              <w:t>淀粉</w:t>
            </w:r>
          </w:p>
        </w:tc>
        <w:tc>
          <w:tcPr>
            <w:tcW w:w="2043" w:type="pct"/>
            <w:tcBorders>
              <w:tl2br w:val="nil"/>
              <w:tr2bl w:val="nil"/>
            </w:tcBorders>
            <w:noWrap w:val="0"/>
            <w:vAlign w:val="center"/>
          </w:tcPr>
          <w:p w14:paraId="6693955F">
            <w:pPr>
              <w:pStyle w:val="31"/>
              <w:spacing w:line="240" w:lineRule="exact"/>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lang w:val="en-US" w:eastAsia="zh-CN"/>
              </w:rPr>
              <w:t>10000</w:t>
            </w:r>
            <w:r>
              <w:rPr>
                <w:rFonts w:ascii="Times New Roman" w:hAnsi="Times New Roman" w:eastAsia="宋体" w:cs="宋体"/>
                <w:snapToGrid w:val="0"/>
                <w:color w:val="auto"/>
                <w:spacing w:val="0"/>
                <w:sz w:val="21"/>
                <w:szCs w:val="21"/>
              </w:rPr>
              <w:t>t/a</w:t>
            </w:r>
          </w:p>
        </w:tc>
        <w:tc>
          <w:tcPr>
            <w:tcW w:w="1178" w:type="pct"/>
            <w:tcBorders>
              <w:tl2br w:val="nil"/>
              <w:tr2bl w:val="nil"/>
            </w:tcBorders>
            <w:noWrap w:val="0"/>
            <w:vAlign w:val="center"/>
          </w:tcPr>
          <w:p w14:paraId="6AECF8DE">
            <w:pPr>
              <w:pStyle w:val="31"/>
              <w:spacing w:line="240" w:lineRule="exact"/>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25kg/</w:t>
            </w:r>
            <w:r>
              <w:rPr>
                <w:rFonts w:ascii="Times New Roman" w:hAnsi="Times New Roman" w:eastAsia="宋体" w:cs="宋体"/>
                <w:snapToGrid w:val="0"/>
                <w:color w:val="auto"/>
                <w:spacing w:val="0"/>
                <w:sz w:val="21"/>
                <w:szCs w:val="21"/>
              </w:rPr>
              <w:t>袋</w:t>
            </w:r>
          </w:p>
        </w:tc>
      </w:tr>
    </w:tbl>
    <w:p w14:paraId="23C43C1B">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29" w:name="_Toc3552"/>
      <w:r>
        <w:rPr>
          <w:rFonts w:hint="eastAsia" w:ascii="Times New Roman" w:hAnsi="Times New Roman" w:eastAsia="宋体" w:cs="宋体"/>
          <w:b/>
          <w:bCs/>
          <w:color w:val="auto"/>
          <w:sz w:val="28"/>
          <w:szCs w:val="28"/>
          <w:lang w:val="en-US" w:eastAsia="zh-CN"/>
        </w:rPr>
        <w:t>4.2、产品标准</w:t>
      </w:r>
      <w:bookmarkEnd w:id="29"/>
    </w:p>
    <w:p w14:paraId="1E478726">
      <w:pPr>
        <w:adjustRightInd w:val="0"/>
        <w:snapToGrid w:val="0"/>
        <w:spacing w:line="360" w:lineRule="auto"/>
        <w:ind w:firstLine="480" w:firstLineChars="200"/>
        <w:rPr>
          <w:rFonts w:hint="eastAsia" w:ascii="Times New Roman" w:hAnsi="Times New Roman" w:eastAsia="宋体" w:cs="宋体"/>
          <w:color w:val="auto"/>
          <w:sz w:val="24"/>
        </w:rPr>
      </w:pPr>
      <w:r>
        <w:rPr>
          <w:rFonts w:hint="eastAsia" w:ascii="Times New Roman" w:hAnsi="Times New Roman" w:eastAsia="宋体" w:cs="宋体"/>
          <w:color w:val="auto"/>
          <w:sz w:val="24"/>
        </w:rPr>
        <w:t>本项目产品质量执行《食用马铃薯淀粉》（GB/T8884-2017）。具体要求见表</w:t>
      </w:r>
      <w:r>
        <w:rPr>
          <w:rFonts w:hint="eastAsia" w:ascii="Times New Roman" w:hAnsi="Times New Roman" w:eastAsia="宋体" w:cs="宋体"/>
          <w:color w:val="auto"/>
          <w:sz w:val="24"/>
          <w:lang w:val="en-US" w:eastAsia="zh-CN"/>
        </w:rPr>
        <w:t>4-2</w:t>
      </w:r>
      <w:r>
        <w:rPr>
          <w:rFonts w:hint="eastAsia" w:ascii="Times New Roman" w:hAnsi="Times New Roman" w:eastAsia="宋体" w:cs="宋体"/>
          <w:color w:val="auto"/>
          <w:sz w:val="24"/>
        </w:rPr>
        <w:t>、表</w:t>
      </w:r>
      <w:r>
        <w:rPr>
          <w:rFonts w:hint="eastAsia" w:ascii="Times New Roman" w:hAnsi="Times New Roman" w:eastAsia="宋体" w:cs="宋体"/>
          <w:color w:val="auto"/>
          <w:sz w:val="24"/>
          <w:lang w:val="en-US" w:eastAsia="zh-CN"/>
        </w:rPr>
        <w:t>4-3</w:t>
      </w:r>
      <w:r>
        <w:rPr>
          <w:rFonts w:hint="eastAsia" w:ascii="Times New Roman" w:hAnsi="Times New Roman" w:eastAsia="宋体" w:cs="宋体"/>
          <w:color w:val="auto"/>
          <w:sz w:val="24"/>
        </w:rPr>
        <w:t>。</w:t>
      </w:r>
    </w:p>
    <w:p w14:paraId="47572361">
      <w:pPr>
        <w:pStyle w:val="30"/>
        <w:spacing w:line="240" w:lineRule="auto"/>
        <w:ind w:firstLine="198" w:firstLineChars="82"/>
        <w:jc w:val="center"/>
        <w:rPr>
          <w:rFonts w:hint="eastAsia" w:ascii="Times New Roman" w:hAnsi="Times New Roman" w:eastAsia="宋体" w:cs="宋体"/>
          <w:b/>
          <w:bCs w:val="0"/>
          <w:color w:val="auto"/>
        </w:rPr>
      </w:pPr>
      <w:r>
        <w:rPr>
          <w:rFonts w:hint="eastAsia" w:ascii="Times New Roman" w:hAnsi="Times New Roman" w:eastAsia="宋体" w:cs="宋体"/>
          <w:b/>
          <w:bCs w:val="0"/>
          <w:color w:val="auto"/>
        </w:rPr>
        <w:t>表</w:t>
      </w:r>
      <w:r>
        <w:rPr>
          <w:rFonts w:hint="eastAsia" w:ascii="Times New Roman" w:hAnsi="Times New Roman" w:eastAsia="宋体" w:cs="宋体"/>
          <w:b/>
          <w:bCs w:val="0"/>
          <w:color w:val="auto"/>
          <w:lang w:val="en-US" w:eastAsia="zh-CN"/>
        </w:rPr>
        <w:t xml:space="preserve">4-2   </w:t>
      </w:r>
      <w:r>
        <w:rPr>
          <w:rFonts w:hint="eastAsia" w:ascii="Times New Roman" w:hAnsi="Times New Roman" w:eastAsia="宋体" w:cs="宋体"/>
          <w:b/>
          <w:bCs w:val="0"/>
          <w:color w:val="auto"/>
        </w:rPr>
        <w:t>感官要求</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5"/>
        <w:gridCol w:w="2526"/>
        <w:gridCol w:w="2526"/>
        <w:gridCol w:w="2526"/>
      </w:tblGrid>
      <w:tr w14:paraId="78174A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06" w:type="dxa"/>
            <w:vMerge w:val="restart"/>
            <w:tcBorders>
              <w:tl2br w:val="nil"/>
              <w:tr2bl w:val="nil"/>
            </w:tcBorders>
            <w:noWrap w:val="0"/>
            <w:vAlign w:val="center"/>
          </w:tcPr>
          <w:p w14:paraId="5BE16B4F">
            <w:pPr>
              <w:autoSpaceDE w:val="0"/>
              <w:autoSpaceDN w:val="0"/>
              <w:adjustRightInd w:val="0"/>
              <w:snapToGrid w:val="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项目</w:t>
            </w:r>
          </w:p>
        </w:tc>
        <w:tc>
          <w:tcPr>
            <w:tcW w:w="7263" w:type="dxa"/>
            <w:gridSpan w:val="3"/>
            <w:tcBorders>
              <w:tl2br w:val="nil"/>
              <w:tr2bl w:val="nil"/>
            </w:tcBorders>
            <w:noWrap w:val="0"/>
            <w:vAlign w:val="center"/>
          </w:tcPr>
          <w:p w14:paraId="2EA0E0C2">
            <w:pPr>
              <w:autoSpaceDE w:val="0"/>
              <w:autoSpaceDN w:val="0"/>
              <w:adjustRightInd w:val="0"/>
              <w:snapToGrid w:val="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指标</w:t>
            </w:r>
          </w:p>
        </w:tc>
      </w:tr>
      <w:tr w14:paraId="5CDDA2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06" w:type="dxa"/>
            <w:vMerge w:val="continue"/>
            <w:tcBorders>
              <w:tl2br w:val="nil"/>
              <w:tr2bl w:val="nil"/>
            </w:tcBorders>
            <w:noWrap w:val="0"/>
            <w:vAlign w:val="center"/>
          </w:tcPr>
          <w:p w14:paraId="3732003F">
            <w:pPr>
              <w:autoSpaceDE w:val="0"/>
              <w:autoSpaceDN w:val="0"/>
              <w:adjustRightInd w:val="0"/>
              <w:snapToGrid w:val="0"/>
              <w:jc w:val="center"/>
              <w:rPr>
                <w:rFonts w:hint="eastAsia" w:ascii="Times New Roman" w:hAnsi="Times New Roman" w:eastAsia="宋体" w:cs="宋体"/>
                <w:b/>
                <w:bCs/>
                <w:color w:val="auto"/>
                <w:sz w:val="21"/>
                <w:szCs w:val="21"/>
              </w:rPr>
            </w:pPr>
          </w:p>
        </w:tc>
        <w:tc>
          <w:tcPr>
            <w:tcW w:w="2421" w:type="dxa"/>
            <w:tcBorders>
              <w:tl2br w:val="nil"/>
              <w:tr2bl w:val="nil"/>
            </w:tcBorders>
            <w:noWrap w:val="0"/>
            <w:vAlign w:val="center"/>
          </w:tcPr>
          <w:p w14:paraId="19177A5A">
            <w:pPr>
              <w:autoSpaceDE w:val="0"/>
              <w:autoSpaceDN w:val="0"/>
              <w:adjustRightInd w:val="0"/>
              <w:snapToGrid w:val="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优品级</w:t>
            </w:r>
          </w:p>
        </w:tc>
        <w:tc>
          <w:tcPr>
            <w:tcW w:w="2421" w:type="dxa"/>
            <w:tcBorders>
              <w:tl2br w:val="nil"/>
              <w:tr2bl w:val="nil"/>
            </w:tcBorders>
            <w:noWrap w:val="0"/>
            <w:vAlign w:val="top"/>
          </w:tcPr>
          <w:p w14:paraId="6A870A29">
            <w:pPr>
              <w:autoSpaceDE w:val="0"/>
              <w:autoSpaceDN w:val="0"/>
              <w:adjustRightInd w:val="0"/>
              <w:snapToGrid w:val="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一级品</w:t>
            </w:r>
          </w:p>
        </w:tc>
        <w:tc>
          <w:tcPr>
            <w:tcW w:w="2421" w:type="dxa"/>
            <w:tcBorders>
              <w:tl2br w:val="nil"/>
              <w:tr2bl w:val="nil"/>
            </w:tcBorders>
            <w:noWrap w:val="0"/>
            <w:vAlign w:val="top"/>
          </w:tcPr>
          <w:p w14:paraId="4F2F418D">
            <w:pPr>
              <w:autoSpaceDE w:val="0"/>
              <w:autoSpaceDN w:val="0"/>
              <w:adjustRightInd w:val="0"/>
              <w:snapToGrid w:val="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二级品</w:t>
            </w:r>
          </w:p>
        </w:tc>
      </w:tr>
      <w:tr w14:paraId="180900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06" w:type="dxa"/>
            <w:tcBorders>
              <w:tl2br w:val="nil"/>
              <w:tr2bl w:val="nil"/>
            </w:tcBorders>
            <w:noWrap w:val="0"/>
            <w:vAlign w:val="center"/>
          </w:tcPr>
          <w:p w14:paraId="6FA01CB1">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色泽</w:t>
            </w:r>
          </w:p>
        </w:tc>
        <w:tc>
          <w:tcPr>
            <w:tcW w:w="2421" w:type="dxa"/>
            <w:tcBorders>
              <w:tl2br w:val="nil"/>
              <w:tr2bl w:val="nil"/>
            </w:tcBorders>
            <w:noWrap w:val="0"/>
            <w:vAlign w:val="center"/>
          </w:tcPr>
          <w:p w14:paraId="50738284">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洁白带结晶光泽</w:t>
            </w:r>
          </w:p>
        </w:tc>
        <w:tc>
          <w:tcPr>
            <w:tcW w:w="4842" w:type="dxa"/>
            <w:gridSpan w:val="2"/>
            <w:tcBorders>
              <w:tl2br w:val="nil"/>
              <w:tr2bl w:val="nil"/>
            </w:tcBorders>
            <w:noWrap w:val="0"/>
            <w:vAlign w:val="top"/>
          </w:tcPr>
          <w:p w14:paraId="3BDD860C">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洁白</w:t>
            </w:r>
          </w:p>
        </w:tc>
      </w:tr>
      <w:tr w14:paraId="3847A7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06" w:type="dxa"/>
            <w:tcBorders>
              <w:tl2br w:val="nil"/>
              <w:tr2bl w:val="nil"/>
            </w:tcBorders>
            <w:noWrap w:val="0"/>
            <w:vAlign w:val="center"/>
          </w:tcPr>
          <w:p w14:paraId="63809969">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气味</w:t>
            </w:r>
          </w:p>
        </w:tc>
        <w:tc>
          <w:tcPr>
            <w:tcW w:w="7263" w:type="dxa"/>
            <w:gridSpan w:val="3"/>
            <w:tcBorders>
              <w:tl2br w:val="nil"/>
              <w:tr2bl w:val="nil"/>
            </w:tcBorders>
            <w:noWrap w:val="0"/>
            <w:vAlign w:val="center"/>
          </w:tcPr>
          <w:p w14:paraId="70902BDF">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具有马铃薯淀粉固有的气味，无异味</w:t>
            </w:r>
          </w:p>
        </w:tc>
      </w:tr>
      <w:tr w14:paraId="4A3609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06" w:type="dxa"/>
            <w:tcBorders>
              <w:tl2br w:val="nil"/>
              <w:tr2bl w:val="nil"/>
            </w:tcBorders>
            <w:noWrap w:val="0"/>
            <w:vAlign w:val="center"/>
          </w:tcPr>
          <w:p w14:paraId="220F1F54">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杂质</w:t>
            </w:r>
          </w:p>
        </w:tc>
        <w:tc>
          <w:tcPr>
            <w:tcW w:w="7263" w:type="dxa"/>
            <w:gridSpan w:val="3"/>
            <w:tcBorders>
              <w:tl2br w:val="nil"/>
              <w:tr2bl w:val="nil"/>
            </w:tcBorders>
            <w:noWrap w:val="0"/>
            <w:vAlign w:val="center"/>
          </w:tcPr>
          <w:p w14:paraId="39B1977B">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正常视力下无可见外来物质，无砂齿</w:t>
            </w:r>
          </w:p>
        </w:tc>
      </w:tr>
    </w:tbl>
    <w:p w14:paraId="19B5F0F5">
      <w:pPr>
        <w:pStyle w:val="30"/>
        <w:spacing w:line="240" w:lineRule="auto"/>
        <w:ind w:firstLine="198" w:firstLineChars="82"/>
        <w:jc w:val="center"/>
        <w:rPr>
          <w:rFonts w:hint="eastAsia" w:ascii="Times New Roman" w:hAnsi="Times New Roman" w:eastAsia="宋体" w:cs="宋体"/>
          <w:b/>
          <w:bCs w:val="0"/>
          <w:color w:val="auto"/>
        </w:rPr>
      </w:pPr>
      <w:r>
        <w:rPr>
          <w:rFonts w:hint="eastAsia" w:ascii="Times New Roman" w:hAnsi="Times New Roman" w:eastAsia="宋体" w:cs="宋体"/>
          <w:b/>
          <w:bCs w:val="0"/>
          <w:color w:val="auto"/>
        </w:rPr>
        <w:t>表</w:t>
      </w:r>
      <w:r>
        <w:rPr>
          <w:rFonts w:hint="eastAsia" w:ascii="Times New Roman" w:hAnsi="Times New Roman" w:eastAsia="宋体" w:cs="宋体"/>
          <w:b/>
          <w:bCs w:val="0"/>
          <w:color w:val="auto"/>
          <w:lang w:val="en-US" w:eastAsia="zh-CN"/>
        </w:rPr>
        <w:t xml:space="preserve">4-3   </w:t>
      </w:r>
      <w:r>
        <w:rPr>
          <w:rFonts w:hint="eastAsia" w:ascii="Times New Roman" w:hAnsi="Times New Roman" w:eastAsia="宋体" w:cs="宋体"/>
          <w:b/>
          <w:bCs w:val="0"/>
          <w:color w:val="auto"/>
        </w:rPr>
        <w:t>理化要求</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288"/>
        <w:gridCol w:w="1775"/>
        <w:gridCol w:w="1775"/>
        <w:gridCol w:w="1685"/>
      </w:tblGrid>
      <w:tr w14:paraId="0661DC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153" w:type="dxa"/>
            <w:vMerge w:val="restart"/>
            <w:tcBorders>
              <w:tl2br w:val="nil"/>
              <w:tr2bl w:val="nil"/>
            </w:tcBorders>
            <w:noWrap w:val="0"/>
            <w:vAlign w:val="center"/>
          </w:tcPr>
          <w:p w14:paraId="6F215265">
            <w:pPr>
              <w:autoSpaceDE w:val="0"/>
              <w:autoSpaceDN w:val="0"/>
              <w:adjustRightInd w:val="0"/>
              <w:snapToGrid w:val="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项目</w:t>
            </w:r>
          </w:p>
        </w:tc>
        <w:tc>
          <w:tcPr>
            <w:tcW w:w="5016" w:type="dxa"/>
            <w:gridSpan w:val="3"/>
            <w:tcBorders>
              <w:tl2br w:val="nil"/>
              <w:tr2bl w:val="nil"/>
            </w:tcBorders>
            <w:noWrap w:val="0"/>
            <w:vAlign w:val="center"/>
          </w:tcPr>
          <w:p w14:paraId="23FF8E48">
            <w:pPr>
              <w:autoSpaceDE w:val="0"/>
              <w:autoSpaceDN w:val="0"/>
              <w:adjustRightInd w:val="0"/>
              <w:snapToGrid w:val="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指标</w:t>
            </w:r>
          </w:p>
        </w:tc>
      </w:tr>
      <w:tr w14:paraId="3AE6B0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153" w:type="dxa"/>
            <w:vMerge w:val="continue"/>
            <w:tcBorders>
              <w:tl2br w:val="nil"/>
              <w:tr2bl w:val="nil"/>
            </w:tcBorders>
            <w:noWrap w:val="0"/>
            <w:vAlign w:val="center"/>
          </w:tcPr>
          <w:p w14:paraId="5C42B283">
            <w:pPr>
              <w:autoSpaceDE w:val="0"/>
              <w:autoSpaceDN w:val="0"/>
              <w:adjustRightInd w:val="0"/>
              <w:snapToGrid w:val="0"/>
              <w:jc w:val="center"/>
              <w:rPr>
                <w:rFonts w:hint="eastAsia" w:ascii="Times New Roman" w:hAnsi="Times New Roman" w:eastAsia="宋体" w:cs="宋体"/>
                <w:b/>
                <w:bCs/>
                <w:color w:val="auto"/>
                <w:sz w:val="21"/>
                <w:szCs w:val="21"/>
              </w:rPr>
            </w:pPr>
          </w:p>
        </w:tc>
        <w:tc>
          <w:tcPr>
            <w:tcW w:w="1701" w:type="dxa"/>
            <w:tcBorders>
              <w:tl2br w:val="nil"/>
              <w:tr2bl w:val="nil"/>
            </w:tcBorders>
            <w:noWrap w:val="0"/>
            <w:vAlign w:val="center"/>
          </w:tcPr>
          <w:p w14:paraId="58D4FEF0">
            <w:pPr>
              <w:autoSpaceDE w:val="0"/>
              <w:autoSpaceDN w:val="0"/>
              <w:adjustRightInd w:val="0"/>
              <w:snapToGrid w:val="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优品级</w:t>
            </w:r>
          </w:p>
        </w:tc>
        <w:tc>
          <w:tcPr>
            <w:tcW w:w="1701" w:type="dxa"/>
            <w:tcBorders>
              <w:tl2br w:val="nil"/>
              <w:tr2bl w:val="nil"/>
            </w:tcBorders>
            <w:noWrap w:val="0"/>
            <w:vAlign w:val="top"/>
          </w:tcPr>
          <w:p w14:paraId="3ADFC4AE">
            <w:pPr>
              <w:autoSpaceDE w:val="0"/>
              <w:autoSpaceDN w:val="0"/>
              <w:adjustRightInd w:val="0"/>
              <w:snapToGrid w:val="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一级品</w:t>
            </w:r>
          </w:p>
        </w:tc>
        <w:tc>
          <w:tcPr>
            <w:tcW w:w="1614" w:type="dxa"/>
            <w:tcBorders>
              <w:tl2br w:val="nil"/>
              <w:tr2bl w:val="nil"/>
            </w:tcBorders>
            <w:noWrap w:val="0"/>
            <w:vAlign w:val="top"/>
          </w:tcPr>
          <w:p w14:paraId="2372AA73">
            <w:pPr>
              <w:autoSpaceDE w:val="0"/>
              <w:autoSpaceDN w:val="0"/>
              <w:adjustRightInd w:val="0"/>
              <w:snapToGrid w:val="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二级品</w:t>
            </w:r>
          </w:p>
        </w:tc>
      </w:tr>
      <w:tr w14:paraId="06D7AF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153" w:type="dxa"/>
            <w:tcBorders>
              <w:tl2br w:val="nil"/>
              <w:tr2bl w:val="nil"/>
            </w:tcBorders>
            <w:noWrap w:val="0"/>
            <w:vAlign w:val="center"/>
          </w:tcPr>
          <w:p w14:paraId="5E5C422D">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水分/%</w:t>
            </w:r>
          </w:p>
        </w:tc>
        <w:tc>
          <w:tcPr>
            <w:tcW w:w="5016" w:type="dxa"/>
            <w:gridSpan w:val="3"/>
            <w:tcBorders>
              <w:tl2br w:val="nil"/>
              <w:tr2bl w:val="nil"/>
            </w:tcBorders>
            <w:noWrap w:val="0"/>
            <w:vAlign w:val="center"/>
          </w:tcPr>
          <w:p w14:paraId="662BBDEB">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≤20.00</w:t>
            </w:r>
          </w:p>
        </w:tc>
      </w:tr>
      <w:tr w14:paraId="1DC7AC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153" w:type="dxa"/>
            <w:tcBorders>
              <w:tl2br w:val="nil"/>
              <w:tr2bl w:val="nil"/>
            </w:tcBorders>
            <w:noWrap w:val="0"/>
            <w:vAlign w:val="center"/>
          </w:tcPr>
          <w:p w14:paraId="1661477E">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灰分（干基）/%</w:t>
            </w:r>
          </w:p>
        </w:tc>
        <w:tc>
          <w:tcPr>
            <w:tcW w:w="1701" w:type="dxa"/>
            <w:tcBorders>
              <w:tl2br w:val="nil"/>
              <w:tr2bl w:val="nil"/>
            </w:tcBorders>
            <w:noWrap w:val="0"/>
            <w:vAlign w:val="center"/>
          </w:tcPr>
          <w:p w14:paraId="666C6A67">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r>
              <w:rPr>
                <w:rFonts w:hint="eastAsia" w:ascii="Times New Roman" w:hAnsi="Times New Roman" w:eastAsia="宋体" w:cs="宋体"/>
                <w:color w:val="auto"/>
                <w:sz w:val="21"/>
                <w:szCs w:val="21"/>
                <w:lang w:val="en-US" w:eastAsia="zh-CN"/>
              </w:rPr>
              <w:t>0</w:t>
            </w:r>
            <w:r>
              <w:rPr>
                <w:rFonts w:hint="eastAsia" w:ascii="Times New Roman" w:hAnsi="Times New Roman" w:eastAsia="宋体" w:cs="宋体"/>
                <w:color w:val="auto"/>
                <w:sz w:val="21"/>
                <w:szCs w:val="21"/>
              </w:rPr>
              <w:cr/>
            </w:r>
            <w:r>
              <w:rPr>
                <w:rFonts w:hint="eastAsia" w:ascii="Times New Roman" w:hAnsi="Times New Roman" w:eastAsia="宋体" w:cs="宋体"/>
                <w:color w:val="auto"/>
                <w:sz w:val="21"/>
                <w:szCs w:val="21"/>
              </w:rPr>
              <w:t>.30</w:t>
            </w:r>
          </w:p>
        </w:tc>
        <w:tc>
          <w:tcPr>
            <w:tcW w:w="1701" w:type="dxa"/>
            <w:tcBorders>
              <w:tl2br w:val="nil"/>
              <w:tr2bl w:val="nil"/>
            </w:tcBorders>
            <w:noWrap w:val="0"/>
            <w:vAlign w:val="center"/>
          </w:tcPr>
          <w:p w14:paraId="169D5002">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≤0.40</w:t>
            </w:r>
          </w:p>
        </w:tc>
        <w:tc>
          <w:tcPr>
            <w:tcW w:w="1614" w:type="dxa"/>
            <w:tcBorders>
              <w:tl2br w:val="nil"/>
              <w:tr2bl w:val="nil"/>
            </w:tcBorders>
            <w:noWrap w:val="0"/>
            <w:vAlign w:val="center"/>
          </w:tcPr>
          <w:p w14:paraId="15AB9EA8">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≤0.50</w:t>
            </w:r>
          </w:p>
        </w:tc>
      </w:tr>
      <w:tr w14:paraId="3B91A2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153" w:type="dxa"/>
            <w:tcBorders>
              <w:tl2br w:val="nil"/>
              <w:tr2bl w:val="nil"/>
            </w:tcBorders>
            <w:noWrap w:val="0"/>
            <w:vAlign w:val="center"/>
          </w:tcPr>
          <w:p w14:paraId="4EF38B87">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蛋白质（干基）/%</w:t>
            </w:r>
          </w:p>
        </w:tc>
        <w:tc>
          <w:tcPr>
            <w:tcW w:w="1701" w:type="dxa"/>
            <w:tcBorders>
              <w:tl2br w:val="nil"/>
              <w:tr2bl w:val="nil"/>
            </w:tcBorders>
            <w:noWrap w:val="0"/>
            <w:vAlign w:val="center"/>
          </w:tcPr>
          <w:p w14:paraId="06885390">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≤0.10</w:t>
            </w:r>
          </w:p>
        </w:tc>
        <w:tc>
          <w:tcPr>
            <w:tcW w:w="1701" w:type="dxa"/>
            <w:tcBorders>
              <w:tl2br w:val="nil"/>
              <w:tr2bl w:val="nil"/>
            </w:tcBorders>
            <w:noWrap w:val="0"/>
            <w:vAlign w:val="center"/>
          </w:tcPr>
          <w:p w14:paraId="5ABB7D7C">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≤0.15</w:t>
            </w:r>
          </w:p>
        </w:tc>
        <w:tc>
          <w:tcPr>
            <w:tcW w:w="1614" w:type="dxa"/>
            <w:tcBorders>
              <w:tl2br w:val="nil"/>
              <w:tr2bl w:val="nil"/>
            </w:tcBorders>
            <w:noWrap w:val="0"/>
            <w:vAlign w:val="center"/>
          </w:tcPr>
          <w:p w14:paraId="29B04D4F">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≤0.20</w:t>
            </w:r>
          </w:p>
        </w:tc>
      </w:tr>
      <w:tr w14:paraId="441524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153" w:type="dxa"/>
            <w:tcBorders>
              <w:tl2br w:val="nil"/>
              <w:tr2bl w:val="nil"/>
            </w:tcBorders>
            <w:noWrap w:val="0"/>
            <w:vAlign w:val="center"/>
          </w:tcPr>
          <w:p w14:paraId="77B2368B">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黏度（4%干物质，700cmg）/BU</w:t>
            </w:r>
          </w:p>
        </w:tc>
        <w:tc>
          <w:tcPr>
            <w:tcW w:w="1701" w:type="dxa"/>
            <w:tcBorders>
              <w:tl2br w:val="nil"/>
              <w:tr2bl w:val="nil"/>
            </w:tcBorders>
            <w:noWrap w:val="0"/>
            <w:vAlign w:val="center"/>
          </w:tcPr>
          <w:p w14:paraId="644D2D94">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≥1300</w:t>
            </w:r>
          </w:p>
        </w:tc>
        <w:tc>
          <w:tcPr>
            <w:tcW w:w="1701" w:type="dxa"/>
            <w:tcBorders>
              <w:tl2br w:val="nil"/>
              <w:tr2bl w:val="nil"/>
            </w:tcBorders>
            <w:noWrap w:val="0"/>
            <w:vAlign w:val="center"/>
          </w:tcPr>
          <w:p w14:paraId="0EBAEE2D">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≥1100</w:t>
            </w:r>
          </w:p>
        </w:tc>
        <w:tc>
          <w:tcPr>
            <w:tcW w:w="1614" w:type="dxa"/>
            <w:tcBorders>
              <w:tl2br w:val="nil"/>
              <w:tr2bl w:val="nil"/>
            </w:tcBorders>
            <w:noWrap w:val="0"/>
            <w:vAlign w:val="center"/>
          </w:tcPr>
          <w:p w14:paraId="3364BD35">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≥900</w:t>
            </w:r>
          </w:p>
        </w:tc>
      </w:tr>
      <w:tr w14:paraId="48B356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153" w:type="dxa"/>
            <w:tcBorders>
              <w:tl2br w:val="nil"/>
              <w:tr2bl w:val="nil"/>
            </w:tcBorders>
            <w:noWrap w:val="0"/>
            <w:vAlign w:val="center"/>
          </w:tcPr>
          <w:p w14:paraId="26063693">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斑点/（个/cm</w:t>
            </w:r>
            <w:r>
              <w:rPr>
                <w:rFonts w:hint="eastAsia" w:ascii="Times New Roman" w:hAnsi="Times New Roman" w:eastAsia="宋体" w:cs="宋体"/>
                <w:color w:val="auto"/>
                <w:sz w:val="21"/>
                <w:szCs w:val="21"/>
                <w:vertAlign w:val="superscript"/>
              </w:rPr>
              <w:t>2</w:t>
            </w:r>
            <w:r>
              <w:rPr>
                <w:rFonts w:hint="eastAsia" w:ascii="Times New Roman" w:hAnsi="Times New Roman" w:eastAsia="宋体" w:cs="宋体"/>
                <w:color w:val="auto"/>
                <w:sz w:val="21"/>
                <w:szCs w:val="21"/>
              </w:rPr>
              <w:t>）</w:t>
            </w:r>
          </w:p>
        </w:tc>
        <w:tc>
          <w:tcPr>
            <w:tcW w:w="1701" w:type="dxa"/>
            <w:tcBorders>
              <w:tl2br w:val="nil"/>
              <w:tr2bl w:val="nil"/>
            </w:tcBorders>
            <w:noWrap w:val="0"/>
            <w:vAlign w:val="center"/>
          </w:tcPr>
          <w:p w14:paraId="3BB20304">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≤3.0</w:t>
            </w:r>
          </w:p>
        </w:tc>
        <w:tc>
          <w:tcPr>
            <w:tcW w:w="1701" w:type="dxa"/>
            <w:tcBorders>
              <w:tl2br w:val="nil"/>
              <w:tr2bl w:val="nil"/>
            </w:tcBorders>
            <w:noWrap w:val="0"/>
            <w:vAlign w:val="center"/>
          </w:tcPr>
          <w:p w14:paraId="674B3A79">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≤5.0</w:t>
            </w:r>
          </w:p>
        </w:tc>
        <w:tc>
          <w:tcPr>
            <w:tcW w:w="1614" w:type="dxa"/>
            <w:tcBorders>
              <w:tl2br w:val="nil"/>
              <w:tr2bl w:val="nil"/>
            </w:tcBorders>
            <w:noWrap w:val="0"/>
            <w:vAlign w:val="center"/>
          </w:tcPr>
          <w:p w14:paraId="2D615987">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≤9.0</w:t>
            </w:r>
          </w:p>
        </w:tc>
      </w:tr>
      <w:tr w14:paraId="009F85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153" w:type="dxa"/>
            <w:tcBorders>
              <w:tl2br w:val="nil"/>
              <w:tr2bl w:val="nil"/>
            </w:tcBorders>
            <w:noWrap w:val="0"/>
            <w:vAlign w:val="center"/>
          </w:tcPr>
          <w:p w14:paraId="0610DA1B">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细度[150um（100目）筛通过率（质量分数）]/%</w:t>
            </w:r>
          </w:p>
        </w:tc>
        <w:tc>
          <w:tcPr>
            <w:tcW w:w="1701" w:type="dxa"/>
            <w:tcBorders>
              <w:tl2br w:val="nil"/>
              <w:tr2bl w:val="nil"/>
            </w:tcBorders>
            <w:noWrap w:val="0"/>
            <w:vAlign w:val="center"/>
          </w:tcPr>
          <w:p w14:paraId="0F5FBC17">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≥99.90</w:t>
            </w:r>
          </w:p>
        </w:tc>
        <w:tc>
          <w:tcPr>
            <w:tcW w:w="1701" w:type="dxa"/>
            <w:tcBorders>
              <w:tl2br w:val="nil"/>
              <w:tr2bl w:val="nil"/>
            </w:tcBorders>
            <w:noWrap w:val="0"/>
            <w:vAlign w:val="center"/>
          </w:tcPr>
          <w:p w14:paraId="43E7DE94">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≥99.50</w:t>
            </w:r>
          </w:p>
        </w:tc>
        <w:tc>
          <w:tcPr>
            <w:tcW w:w="1614" w:type="dxa"/>
            <w:tcBorders>
              <w:tl2br w:val="nil"/>
              <w:tr2bl w:val="nil"/>
            </w:tcBorders>
            <w:noWrap w:val="0"/>
            <w:vAlign w:val="center"/>
          </w:tcPr>
          <w:p w14:paraId="0AEF93D4">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≥99.00</w:t>
            </w:r>
          </w:p>
        </w:tc>
      </w:tr>
      <w:tr w14:paraId="64D059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153" w:type="dxa"/>
            <w:tcBorders>
              <w:tl2br w:val="nil"/>
              <w:tr2bl w:val="nil"/>
            </w:tcBorders>
            <w:noWrap w:val="0"/>
            <w:vAlign w:val="center"/>
          </w:tcPr>
          <w:p w14:paraId="69CA0E4F">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白度（457nm蓝光反射率）/%</w:t>
            </w:r>
          </w:p>
        </w:tc>
        <w:tc>
          <w:tcPr>
            <w:tcW w:w="1701" w:type="dxa"/>
            <w:tcBorders>
              <w:tl2br w:val="nil"/>
              <w:tr2bl w:val="nil"/>
            </w:tcBorders>
            <w:noWrap w:val="0"/>
            <w:vAlign w:val="center"/>
          </w:tcPr>
          <w:p w14:paraId="3E587347">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≥92.0</w:t>
            </w:r>
          </w:p>
        </w:tc>
        <w:tc>
          <w:tcPr>
            <w:tcW w:w="1701" w:type="dxa"/>
            <w:tcBorders>
              <w:tl2br w:val="nil"/>
              <w:tr2bl w:val="nil"/>
            </w:tcBorders>
            <w:noWrap w:val="0"/>
            <w:vAlign w:val="center"/>
          </w:tcPr>
          <w:p w14:paraId="40C2F0B4">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≥90.0</w:t>
            </w:r>
          </w:p>
        </w:tc>
        <w:tc>
          <w:tcPr>
            <w:tcW w:w="1614" w:type="dxa"/>
            <w:tcBorders>
              <w:tl2br w:val="nil"/>
              <w:tr2bl w:val="nil"/>
            </w:tcBorders>
            <w:noWrap w:val="0"/>
            <w:vAlign w:val="center"/>
          </w:tcPr>
          <w:p w14:paraId="078BB95E">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≥88.0</w:t>
            </w:r>
          </w:p>
        </w:tc>
      </w:tr>
      <w:tr w14:paraId="562BB3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153" w:type="dxa"/>
            <w:tcBorders>
              <w:tl2br w:val="nil"/>
              <w:tr2bl w:val="nil"/>
            </w:tcBorders>
            <w:noWrap w:val="0"/>
            <w:vAlign w:val="center"/>
          </w:tcPr>
          <w:p w14:paraId="5A46E4BB">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电导率/（uS/cm）</w:t>
            </w:r>
          </w:p>
        </w:tc>
        <w:tc>
          <w:tcPr>
            <w:tcW w:w="1701" w:type="dxa"/>
            <w:tcBorders>
              <w:tl2br w:val="nil"/>
              <w:tr2bl w:val="nil"/>
            </w:tcBorders>
            <w:noWrap w:val="0"/>
            <w:vAlign w:val="center"/>
          </w:tcPr>
          <w:p w14:paraId="06FB466D">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≤100</w:t>
            </w:r>
          </w:p>
        </w:tc>
        <w:tc>
          <w:tcPr>
            <w:tcW w:w="1701" w:type="dxa"/>
            <w:tcBorders>
              <w:tl2br w:val="nil"/>
              <w:tr2bl w:val="nil"/>
            </w:tcBorders>
            <w:noWrap w:val="0"/>
            <w:vAlign w:val="center"/>
          </w:tcPr>
          <w:p w14:paraId="6E6775CE">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≤150</w:t>
            </w:r>
          </w:p>
        </w:tc>
        <w:tc>
          <w:tcPr>
            <w:tcW w:w="1614" w:type="dxa"/>
            <w:tcBorders>
              <w:tl2br w:val="nil"/>
              <w:tr2bl w:val="nil"/>
            </w:tcBorders>
            <w:noWrap w:val="0"/>
            <w:vAlign w:val="center"/>
          </w:tcPr>
          <w:p w14:paraId="59589AD8">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≤200</w:t>
            </w:r>
          </w:p>
        </w:tc>
      </w:tr>
      <w:tr w14:paraId="4AE82C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153" w:type="dxa"/>
            <w:tcBorders>
              <w:tl2br w:val="nil"/>
              <w:tr2bl w:val="nil"/>
            </w:tcBorders>
            <w:noWrap w:val="0"/>
            <w:vAlign w:val="center"/>
          </w:tcPr>
          <w:p w14:paraId="16CD7082">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pH</w:t>
            </w:r>
          </w:p>
        </w:tc>
        <w:tc>
          <w:tcPr>
            <w:tcW w:w="1701" w:type="dxa"/>
            <w:tcBorders>
              <w:tl2br w:val="nil"/>
              <w:tr2bl w:val="nil"/>
            </w:tcBorders>
            <w:noWrap w:val="0"/>
            <w:vAlign w:val="center"/>
          </w:tcPr>
          <w:p w14:paraId="6CC13C63">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6.0~8.0</w:t>
            </w:r>
          </w:p>
        </w:tc>
        <w:tc>
          <w:tcPr>
            <w:tcW w:w="1701" w:type="dxa"/>
            <w:tcBorders>
              <w:tl2br w:val="nil"/>
              <w:tr2bl w:val="nil"/>
            </w:tcBorders>
            <w:noWrap w:val="0"/>
            <w:vAlign w:val="center"/>
          </w:tcPr>
          <w:p w14:paraId="247464F1">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6.0~8</w:t>
            </w:r>
            <w:r>
              <w:rPr>
                <w:rFonts w:hint="eastAsia" w:ascii="Times New Roman" w:hAnsi="Times New Roman" w:eastAsia="宋体" w:cs="宋体"/>
                <w:color w:val="auto"/>
                <w:sz w:val="21"/>
                <w:szCs w:val="21"/>
              </w:rPr>
              <w:cr/>
            </w:r>
            <w:r>
              <w:rPr>
                <w:rFonts w:hint="eastAsia" w:ascii="Times New Roman" w:hAnsi="Times New Roman" w:eastAsia="宋体" w:cs="宋体"/>
                <w:color w:val="auto"/>
                <w:sz w:val="21"/>
                <w:szCs w:val="21"/>
              </w:rPr>
              <w:t>0</w:t>
            </w:r>
          </w:p>
        </w:tc>
        <w:tc>
          <w:tcPr>
            <w:tcW w:w="1614" w:type="dxa"/>
            <w:tcBorders>
              <w:tl2br w:val="nil"/>
              <w:tr2bl w:val="nil"/>
            </w:tcBorders>
            <w:noWrap w:val="0"/>
            <w:vAlign w:val="center"/>
          </w:tcPr>
          <w:p w14:paraId="619785D5">
            <w:pPr>
              <w:autoSpaceDE w:val="0"/>
              <w:autoSpaceDN w:val="0"/>
              <w:adjustRightInd w:val="0"/>
              <w:snapToGri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6.0~8.0</w:t>
            </w:r>
          </w:p>
        </w:tc>
      </w:tr>
    </w:tbl>
    <w:p w14:paraId="0C4F2C86">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30" w:name="_Toc14188"/>
      <w:r>
        <w:rPr>
          <w:rFonts w:hint="eastAsia" w:ascii="Times New Roman" w:hAnsi="Times New Roman" w:eastAsia="宋体" w:cs="宋体"/>
          <w:b/>
          <w:bCs/>
          <w:color w:val="auto"/>
          <w:sz w:val="28"/>
          <w:szCs w:val="28"/>
          <w:lang w:val="en-US" w:eastAsia="zh-CN"/>
        </w:rPr>
        <w:t>4.3、工艺流程</w:t>
      </w:r>
      <w:bookmarkEnd w:id="30"/>
    </w:p>
    <w:p w14:paraId="2721E7D9">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ascii="Times New Roman" w:hAnsi="Times New Roman" w:eastAsia="宋体" w:cs="宋体"/>
          <w:b/>
          <w:bCs/>
          <w:color w:val="auto"/>
          <w:sz w:val="24"/>
        </w:rPr>
      </w:pPr>
      <w:bookmarkStart w:id="31" w:name="_Toc24640"/>
      <w:r>
        <w:rPr>
          <w:rFonts w:hint="eastAsia" w:ascii="Times New Roman" w:hAnsi="Times New Roman" w:eastAsia="宋体" w:cs="宋体"/>
          <w:b/>
          <w:color w:val="auto"/>
          <w:sz w:val="24"/>
          <w:lang w:val="en-US" w:eastAsia="zh-CN"/>
        </w:rPr>
        <w:t>4.3.1、</w:t>
      </w:r>
      <w:r>
        <w:rPr>
          <w:rFonts w:ascii="Times New Roman" w:hAnsi="Times New Roman" w:eastAsia="宋体" w:cs="宋体"/>
          <w:b/>
          <w:bCs/>
          <w:color w:val="auto"/>
          <w:sz w:val="24"/>
        </w:rPr>
        <w:t>马铃薯淀粉生产工艺流程</w:t>
      </w:r>
    </w:p>
    <w:p w14:paraId="5DAF0057">
      <w:pPr>
        <w:autoSpaceDE w:val="0"/>
        <w:autoSpaceDN w:val="0"/>
        <w:adjustRightInd w:val="0"/>
        <w:snapToGrid w:val="0"/>
        <w:spacing w:line="360" w:lineRule="auto"/>
        <w:ind w:firstLine="480" w:firstLineChars="200"/>
        <w:rPr>
          <w:rFonts w:hint="eastAsia" w:ascii="Times New Roman" w:hAnsi="Times New Roman" w:eastAsia="宋体" w:cs="宋体"/>
          <w:b w:val="0"/>
          <w:bCs/>
          <w:color w:val="auto"/>
          <w:sz w:val="24"/>
          <w:szCs w:val="24"/>
        </w:rPr>
      </w:pPr>
      <w:r>
        <w:rPr>
          <w:rFonts w:hint="eastAsia" w:ascii="Times New Roman" w:hAnsi="Times New Roman" w:eastAsia="宋体" w:cs="宋体"/>
          <w:b w:val="0"/>
          <w:bCs/>
          <w:color w:val="auto"/>
          <w:sz w:val="24"/>
          <w:szCs w:val="24"/>
          <w:lang w:eastAsia="zh-CN"/>
        </w:rPr>
        <w:t>（</w:t>
      </w:r>
      <w:r>
        <w:rPr>
          <w:rFonts w:hint="eastAsia" w:ascii="Times New Roman" w:hAnsi="Times New Roman" w:eastAsia="宋体" w:cs="宋体"/>
          <w:b w:val="0"/>
          <w:bCs/>
          <w:color w:val="auto"/>
          <w:sz w:val="24"/>
          <w:szCs w:val="24"/>
          <w:lang w:val="en-US" w:eastAsia="zh-CN"/>
        </w:rPr>
        <w:t>1</w:t>
      </w:r>
      <w:r>
        <w:rPr>
          <w:rFonts w:hint="eastAsia" w:ascii="Times New Roman" w:hAnsi="Times New Roman" w:eastAsia="宋体" w:cs="宋体"/>
          <w:b w:val="0"/>
          <w:bCs/>
          <w:color w:val="auto"/>
          <w:sz w:val="24"/>
          <w:szCs w:val="24"/>
          <w:lang w:eastAsia="zh-CN"/>
        </w:rPr>
        <w:t>）</w:t>
      </w:r>
      <w:r>
        <w:rPr>
          <w:rFonts w:hint="eastAsia" w:ascii="Times New Roman" w:hAnsi="Times New Roman" w:eastAsia="宋体" w:cs="宋体"/>
          <w:b w:val="0"/>
          <w:bCs/>
          <w:color w:val="auto"/>
          <w:sz w:val="24"/>
          <w:szCs w:val="24"/>
        </w:rPr>
        <w:t>原料接收</w:t>
      </w:r>
    </w:p>
    <w:p w14:paraId="406D9ED6">
      <w:pPr>
        <w:autoSpaceDE w:val="0"/>
        <w:autoSpaceDN w:val="0"/>
        <w:adjustRightInd w:val="0"/>
        <w:snapToGrid w:val="0"/>
        <w:spacing w:line="360" w:lineRule="auto"/>
        <w:ind w:firstLine="480" w:firstLineChars="200"/>
        <w:rPr>
          <w:rFonts w:ascii="Times New Roman" w:hAnsi="Times New Roman" w:eastAsia="宋体" w:cs="宋体"/>
          <w:color w:val="auto"/>
          <w:sz w:val="24"/>
          <w:szCs w:val="24"/>
        </w:rPr>
      </w:pPr>
      <w:r>
        <w:rPr>
          <w:rFonts w:ascii="Times New Roman" w:hAnsi="Times New Roman" w:eastAsia="宋体" w:cs="宋体"/>
          <w:color w:val="auto"/>
          <w:sz w:val="24"/>
          <w:szCs w:val="24"/>
        </w:rPr>
        <w:t>新鲜的马铃薯经地磅称重后被拉到马铃薯储存池旁，先经过振动筛对马铃薯原料进行筛分，除去马铃薯中的一部分砂石。马铃薯从振动筛落到皮带输送机，将马铃薯输送进马铃薯原料储存池。在卸载马铃薯过程中，使用特制的铁锹，以保证马铃薯能够完好不破损。</w:t>
      </w:r>
    </w:p>
    <w:p w14:paraId="59C9B024">
      <w:pPr>
        <w:autoSpaceDE w:val="0"/>
        <w:autoSpaceDN w:val="0"/>
        <w:adjustRightInd w:val="0"/>
        <w:snapToGrid w:val="0"/>
        <w:spacing w:line="360" w:lineRule="auto"/>
        <w:ind w:firstLine="480" w:firstLineChars="200"/>
        <w:rPr>
          <w:rFonts w:hint="eastAsia" w:ascii="Times New Roman" w:hAnsi="Times New Roman" w:eastAsia="宋体" w:cs="宋体"/>
          <w:b w:val="0"/>
          <w:bCs/>
          <w:color w:val="auto"/>
          <w:sz w:val="24"/>
          <w:szCs w:val="24"/>
          <w:lang w:eastAsia="zh-CN"/>
        </w:rPr>
      </w:pPr>
      <w:r>
        <w:rPr>
          <w:rFonts w:hint="eastAsia" w:ascii="Times New Roman" w:hAnsi="Times New Roman" w:eastAsia="宋体" w:cs="宋体"/>
          <w:b w:val="0"/>
          <w:bCs/>
          <w:color w:val="auto"/>
          <w:sz w:val="24"/>
          <w:szCs w:val="24"/>
          <w:lang w:eastAsia="zh-CN"/>
        </w:rPr>
        <w:t>（</w:t>
      </w:r>
      <w:r>
        <w:rPr>
          <w:rFonts w:hint="eastAsia" w:ascii="Times New Roman" w:hAnsi="Times New Roman" w:eastAsia="宋体" w:cs="宋体"/>
          <w:b w:val="0"/>
          <w:bCs/>
          <w:color w:val="auto"/>
          <w:sz w:val="24"/>
          <w:szCs w:val="24"/>
          <w:lang w:val="en-US" w:eastAsia="zh-CN"/>
        </w:rPr>
        <w:t>2</w:t>
      </w:r>
      <w:r>
        <w:rPr>
          <w:rFonts w:hint="eastAsia" w:ascii="Times New Roman" w:hAnsi="Times New Roman" w:eastAsia="宋体" w:cs="宋体"/>
          <w:b w:val="0"/>
          <w:bCs/>
          <w:color w:val="auto"/>
          <w:sz w:val="24"/>
          <w:szCs w:val="24"/>
          <w:lang w:eastAsia="zh-CN"/>
        </w:rPr>
        <w:t>）水力输送</w:t>
      </w:r>
    </w:p>
    <w:p w14:paraId="0BB4894C">
      <w:pPr>
        <w:autoSpaceDE w:val="0"/>
        <w:autoSpaceDN w:val="0"/>
        <w:adjustRightInd w:val="0"/>
        <w:snapToGrid w:val="0"/>
        <w:spacing w:line="360" w:lineRule="auto"/>
        <w:ind w:firstLine="480" w:firstLineChars="200"/>
        <w:rPr>
          <w:rFonts w:ascii="Times New Roman" w:hAnsi="Times New Roman" w:eastAsia="宋体" w:cs="宋体"/>
          <w:color w:val="auto"/>
          <w:sz w:val="24"/>
          <w:szCs w:val="24"/>
        </w:rPr>
      </w:pPr>
      <w:r>
        <w:rPr>
          <w:rFonts w:ascii="Times New Roman" w:hAnsi="Times New Roman" w:eastAsia="宋体" w:cs="宋体"/>
          <w:color w:val="auto"/>
          <w:sz w:val="24"/>
          <w:szCs w:val="24"/>
        </w:rPr>
        <w:t>在输送的过程中，马铃薯在水流中不断翻滚摩擦，能够让马铃薯上粘的泥土剥落，起到清洗效果。在马铃薯储存池里安装一根冲送管道，在管道上分布了几个安装冲送水炮的基座。生产时将冲送水炮安装到基座上，通过循环水池的水来冲送马铃薯。马铃薯随冲送水一起沿流送沟流进土豆泵前坑中，通过土豆泵泵</w:t>
      </w:r>
      <w:r>
        <w:rPr>
          <w:rFonts w:hint="eastAsia" w:ascii="Times New Roman" w:hAnsi="Times New Roman" w:eastAsia="宋体" w:cs="宋体"/>
          <w:color w:val="auto"/>
          <w:sz w:val="24"/>
          <w:szCs w:val="24"/>
        </w:rPr>
        <w:t>送</w:t>
      </w:r>
      <w:r>
        <w:rPr>
          <w:rFonts w:ascii="Times New Roman" w:hAnsi="Times New Roman" w:eastAsia="宋体" w:cs="宋体"/>
          <w:color w:val="auto"/>
          <w:sz w:val="24"/>
          <w:szCs w:val="24"/>
        </w:rPr>
        <w:t>到除石机前溜槽，土豆随水流进入除石机。</w:t>
      </w:r>
    </w:p>
    <w:p w14:paraId="18C7EB15">
      <w:pPr>
        <w:autoSpaceDE w:val="0"/>
        <w:autoSpaceDN w:val="0"/>
        <w:adjustRightInd w:val="0"/>
        <w:snapToGrid w:val="0"/>
        <w:spacing w:line="360" w:lineRule="auto"/>
        <w:ind w:firstLine="480" w:firstLineChars="200"/>
        <w:rPr>
          <w:rFonts w:hint="eastAsia" w:ascii="Times New Roman" w:hAnsi="Times New Roman" w:eastAsia="宋体" w:cs="宋体"/>
          <w:b w:val="0"/>
          <w:bCs/>
          <w:color w:val="auto"/>
          <w:sz w:val="24"/>
          <w:szCs w:val="24"/>
          <w:lang w:eastAsia="zh-CN"/>
        </w:rPr>
      </w:pPr>
      <w:r>
        <w:rPr>
          <w:rFonts w:hint="eastAsia" w:ascii="Times New Roman" w:hAnsi="Times New Roman" w:eastAsia="宋体" w:cs="宋体"/>
          <w:b w:val="0"/>
          <w:bCs/>
          <w:color w:val="auto"/>
          <w:sz w:val="24"/>
          <w:szCs w:val="24"/>
          <w:lang w:eastAsia="zh-CN"/>
        </w:rPr>
        <w:t>（</w:t>
      </w:r>
      <w:r>
        <w:rPr>
          <w:rFonts w:hint="eastAsia" w:ascii="Times New Roman" w:hAnsi="Times New Roman" w:eastAsia="宋体" w:cs="宋体"/>
          <w:b w:val="0"/>
          <w:bCs/>
          <w:color w:val="auto"/>
          <w:sz w:val="24"/>
          <w:szCs w:val="24"/>
          <w:lang w:val="en-US" w:eastAsia="zh-CN"/>
        </w:rPr>
        <w:t>3</w:t>
      </w:r>
      <w:r>
        <w:rPr>
          <w:rFonts w:hint="eastAsia" w:ascii="Times New Roman" w:hAnsi="Times New Roman" w:eastAsia="宋体" w:cs="宋体"/>
          <w:b w:val="0"/>
          <w:bCs/>
          <w:color w:val="auto"/>
          <w:sz w:val="24"/>
          <w:szCs w:val="24"/>
          <w:lang w:eastAsia="zh-CN"/>
        </w:rPr>
        <w:t>）除石清洗</w:t>
      </w:r>
    </w:p>
    <w:p w14:paraId="3874F3E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本单元就是要将马铃薯中的砂石、泥土等异物彻底除掉</w:t>
      </w:r>
      <w:r>
        <w:rPr>
          <w:rFonts w:hint="eastAsia" w:ascii="Times New Roman" w:hAnsi="Times New Roman" w:eastAsia="宋体" w:cs="宋体"/>
          <w:color w:val="auto"/>
          <w:sz w:val="24"/>
          <w:szCs w:val="24"/>
        </w:rPr>
        <w:t>，</w:t>
      </w:r>
      <w:r>
        <w:rPr>
          <w:rFonts w:ascii="Times New Roman" w:hAnsi="Times New Roman" w:eastAsia="宋体" w:cs="宋体"/>
          <w:color w:val="auto"/>
          <w:sz w:val="24"/>
          <w:szCs w:val="24"/>
        </w:rPr>
        <w:t>将清洗干净的马铃薯存放到马铃薯暂存料斗中。马铃薯经水流输送进入逆螺旋式除石机进行清洗除石。除石机转鼓分为排砂鼓和筛筒两部分；其筛筒壁上按工艺要求开有筛孔。除石机工作时直径小于筛孔的砂粒，会从筛孔中漏到筛筒外，在筛筒外壁逆推螺旋带的作用下，向水流逆方向前进，落入除石机前的集砂槽内，由排砂鼓经卸砂板排到石杂出料口。直径大一些的石块、砖料等重杂物由于不</w:t>
      </w:r>
      <w:r>
        <w:rPr>
          <w:rFonts w:hint="eastAsia" w:ascii="Times New Roman" w:hAnsi="Times New Roman" w:eastAsia="宋体" w:cs="宋体"/>
          <w:color w:val="auto"/>
          <w:sz w:val="24"/>
          <w:szCs w:val="24"/>
          <w:lang w:eastAsia="zh-CN"/>
        </w:rPr>
        <w:t>漂浮</w:t>
      </w:r>
      <w:r>
        <w:rPr>
          <w:rFonts w:ascii="Times New Roman" w:hAnsi="Times New Roman" w:eastAsia="宋体" w:cs="宋体"/>
          <w:color w:val="auto"/>
          <w:sz w:val="24"/>
          <w:szCs w:val="24"/>
        </w:rPr>
        <w:t>，进入筛筒后会贴在筛筒内壁上，在筛筒内逆螺旋带的推动下，逆水流方向前进并落入排砂鼓内，与直径较小的砂粒汇集一同排除。</w:t>
      </w:r>
    </w:p>
    <w:p w14:paraId="6DD0439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除石后的马铃薯随水流经过流送</w:t>
      </w:r>
      <w:r>
        <w:rPr>
          <w:rFonts w:hint="eastAsia" w:ascii="Times New Roman" w:hAnsi="Times New Roman" w:eastAsia="宋体" w:cs="宋体"/>
          <w:color w:val="auto"/>
          <w:sz w:val="24"/>
          <w:szCs w:val="24"/>
          <w:lang w:eastAsia="zh-CN"/>
        </w:rPr>
        <w:t>槽</w:t>
      </w:r>
      <w:r>
        <w:rPr>
          <w:rFonts w:ascii="Times New Roman" w:hAnsi="Times New Roman" w:eastAsia="宋体" w:cs="宋体"/>
          <w:color w:val="auto"/>
          <w:sz w:val="24"/>
          <w:szCs w:val="24"/>
        </w:rPr>
        <w:t>、脱水格栅、滚筒清洗机对马铃薯进行清洗。滚筒清洗机在低液位下工作，对马铃薯进行彻底清洗。经转鼓的旋转使得马铃薯块茎相互之间强有力地摩擦碰撞以达到洗涤效果，同时干净的清洗水从清洗机的出料口喂入，水流逆向洗涤原料并从清洗机进料口处将脏水和薯皮等排出。清洗水可以由循环泵输送到流送槽作为冲送水，达到循环使用。</w:t>
      </w:r>
    </w:p>
    <w:p w14:paraId="160F60D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洗净的马铃薯从滚筒清洗机落到带喷淋的螺旋输送机。在螺旋输送机上均匀分布喷嘴，新鲜水通过一定的压力喷洒在马铃薯上，进一步将马铃薯表面的脏水带走。清洗水可以通过网带沥到输送带下的收集槽里，并由循环泵输送到清洗机出料口，达到循环使用。干净的马铃薯经过喷淋的螺旋输送机送入马铃薯暂存仓。</w:t>
      </w:r>
    </w:p>
    <w:p w14:paraId="450B98EC">
      <w:pPr>
        <w:pStyle w:val="2"/>
        <w:keepNext w:val="0"/>
        <w:keepLines w:val="0"/>
        <w:pageBreakBefore w:val="0"/>
        <w:wordWrap/>
        <w:overflowPunct/>
        <w:topLinePunct w:val="0"/>
        <w:autoSpaceDE w:val="0"/>
        <w:autoSpaceDN w:val="0"/>
        <w:bidi w:val="0"/>
        <w:spacing w:line="360" w:lineRule="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每年生产期结束后循环清洗废水排入</w:t>
      </w:r>
      <w:r>
        <w:rPr>
          <w:rFonts w:hint="eastAsia" w:ascii="Times New Roman" w:hAnsi="Times New Roman" w:cs="宋体"/>
          <w:color w:val="auto"/>
          <w:lang w:val="en-US" w:eastAsia="zh-CN"/>
        </w:rPr>
        <w:t>黑膜氧化池</w:t>
      </w:r>
      <w:r>
        <w:rPr>
          <w:rFonts w:hint="eastAsia" w:ascii="Times New Roman" w:hAnsi="Times New Roman" w:eastAsia="宋体" w:cs="宋体"/>
          <w:color w:val="auto"/>
          <w:lang w:val="en-US" w:eastAsia="zh-CN"/>
        </w:rPr>
        <w:t>处理还田。</w:t>
      </w:r>
    </w:p>
    <w:p w14:paraId="2726A698">
      <w:pPr>
        <w:keepNext w:val="0"/>
        <w:keepLines w:val="0"/>
        <w:pageBreakBefore w:val="0"/>
        <w:wordWrap/>
        <w:overflowPunct/>
        <w:topLinePunct w:val="0"/>
        <w:autoSpaceDE w:val="0"/>
        <w:autoSpaceDN w:val="0"/>
        <w:bidi w:val="0"/>
        <w:adjustRightInd w:val="0"/>
        <w:snapToGrid w:val="0"/>
        <w:spacing w:line="360" w:lineRule="auto"/>
        <w:ind w:firstLine="480" w:firstLineChars="200"/>
        <w:rPr>
          <w:rFonts w:hint="eastAsia" w:ascii="Times New Roman" w:hAnsi="Times New Roman" w:eastAsia="宋体" w:cs="宋体"/>
          <w:b w:val="0"/>
          <w:bCs/>
          <w:color w:val="auto"/>
          <w:sz w:val="24"/>
          <w:szCs w:val="24"/>
          <w:lang w:eastAsia="zh-CN"/>
        </w:rPr>
      </w:pPr>
      <w:r>
        <w:rPr>
          <w:rFonts w:hint="eastAsia" w:ascii="Times New Roman" w:hAnsi="Times New Roman" w:eastAsia="宋体" w:cs="宋体"/>
          <w:b w:val="0"/>
          <w:bCs/>
          <w:color w:val="auto"/>
          <w:sz w:val="24"/>
          <w:szCs w:val="24"/>
          <w:lang w:eastAsia="zh-CN"/>
        </w:rPr>
        <w:t>（</w:t>
      </w:r>
      <w:r>
        <w:rPr>
          <w:rFonts w:hint="eastAsia" w:ascii="Times New Roman" w:hAnsi="Times New Roman" w:eastAsia="宋体" w:cs="宋体"/>
          <w:b w:val="0"/>
          <w:bCs/>
          <w:color w:val="auto"/>
          <w:sz w:val="24"/>
          <w:szCs w:val="24"/>
          <w:lang w:val="en-US" w:eastAsia="zh-CN"/>
        </w:rPr>
        <w:t>4</w:t>
      </w:r>
      <w:r>
        <w:rPr>
          <w:rFonts w:hint="eastAsia" w:ascii="Times New Roman" w:hAnsi="Times New Roman" w:eastAsia="宋体" w:cs="宋体"/>
          <w:b w:val="0"/>
          <w:bCs/>
          <w:color w:val="auto"/>
          <w:sz w:val="24"/>
          <w:szCs w:val="24"/>
          <w:lang w:eastAsia="zh-CN"/>
        </w:rPr>
        <w:t>）锉磨泵送</w:t>
      </w:r>
    </w:p>
    <w:p w14:paraId="2973D80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锉磨单元是影响马铃薯淀粉提取率最重要的环节。高效率的锉磨机能够让马铃薯细胞中的淀粉颗粒彻底释放出来，保证薯渣里的结合淀粉含量降到最低限度。在马铃薯仓的下面连接了一个特殊设计的出料口，出料口与可调速喂料螺旋相连。喂料螺旋三个出口，两个锉磨机接口和一个溢流口。在锉磨机与喂料螺旋间有带插板阀的短接。当系统要进料时打开插板阀，并根据需要调整喂料螺旋的频率。锉磨下的马铃薯浆料用纤维泵泵送进除砂单元。</w:t>
      </w:r>
    </w:p>
    <w:p w14:paraId="1785D365">
      <w:pPr>
        <w:keepNext w:val="0"/>
        <w:keepLines w:val="0"/>
        <w:pageBreakBefore w:val="0"/>
        <w:wordWrap/>
        <w:overflowPunct/>
        <w:topLinePunct w:val="0"/>
        <w:autoSpaceDE w:val="0"/>
        <w:autoSpaceDN w:val="0"/>
        <w:bidi w:val="0"/>
        <w:adjustRightInd w:val="0"/>
        <w:snapToGrid w:val="0"/>
        <w:spacing w:line="360" w:lineRule="auto"/>
        <w:ind w:firstLine="480" w:firstLineChars="200"/>
        <w:rPr>
          <w:rFonts w:hint="eastAsia" w:ascii="Times New Roman" w:hAnsi="Times New Roman" w:eastAsia="宋体" w:cs="宋体"/>
          <w:b w:val="0"/>
          <w:bCs/>
          <w:color w:val="auto"/>
          <w:sz w:val="24"/>
          <w:szCs w:val="24"/>
          <w:lang w:eastAsia="zh-CN"/>
        </w:rPr>
      </w:pPr>
      <w:r>
        <w:rPr>
          <w:rFonts w:hint="eastAsia" w:ascii="Times New Roman" w:hAnsi="Times New Roman" w:eastAsia="宋体" w:cs="宋体"/>
          <w:b w:val="0"/>
          <w:bCs/>
          <w:color w:val="auto"/>
          <w:sz w:val="24"/>
          <w:szCs w:val="24"/>
          <w:lang w:eastAsia="zh-CN"/>
        </w:rPr>
        <w:t>（</w:t>
      </w:r>
      <w:r>
        <w:rPr>
          <w:rFonts w:hint="eastAsia" w:ascii="Times New Roman" w:hAnsi="Times New Roman" w:eastAsia="宋体" w:cs="宋体"/>
          <w:b w:val="0"/>
          <w:bCs/>
          <w:color w:val="auto"/>
          <w:sz w:val="24"/>
          <w:szCs w:val="24"/>
          <w:lang w:val="en-US" w:eastAsia="zh-CN"/>
        </w:rPr>
        <w:t>5</w:t>
      </w:r>
      <w:r>
        <w:rPr>
          <w:rFonts w:hint="eastAsia" w:ascii="Times New Roman" w:hAnsi="Times New Roman" w:eastAsia="宋体" w:cs="宋体"/>
          <w:b w:val="0"/>
          <w:bCs/>
          <w:color w:val="auto"/>
          <w:sz w:val="24"/>
          <w:szCs w:val="24"/>
          <w:lang w:eastAsia="zh-CN"/>
        </w:rPr>
        <w:t>）旋流除砂</w:t>
      </w:r>
    </w:p>
    <w:p w14:paraId="635FFE8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锉磨得到的马铃薯浆液通过纤维泵泵送进入除砂旋流器。带有一定压力的物料沿切线方向进入除砂旋流器，在旋流器中马铃薯浆高速旋转，轻相的淀粉和马铃薯渣等从顶部溢出，重相的砂粒等会从底部排出。在陶瓷旋流管下面有一个积砂罐，积砂罐联有压力反冲水，保证淀粉不从底流口流失，排出的砂粒通过两个气囊阀定期排出。</w:t>
      </w:r>
    </w:p>
    <w:p w14:paraId="0610A3EF">
      <w:pPr>
        <w:autoSpaceDE w:val="0"/>
        <w:autoSpaceDN w:val="0"/>
        <w:adjustRightInd w:val="0"/>
        <w:snapToGrid w:val="0"/>
        <w:spacing w:line="360" w:lineRule="auto"/>
        <w:ind w:firstLine="480" w:firstLineChars="200"/>
        <w:rPr>
          <w:rFonts w:hint="eastAsia" w:ascii="Times New Roman" w:hAnsi="Times New Roman" w:eastAsia="宋体" w:cs="宋体"/>
          <w:b w:val="0"/>
          <w:bCs/>
          <w:color w:val="auto"/>
          <w:sz w:val="24"/>
          <w:szCs w:val="24"/>
          <w:lang w:eastAsia="zh-CN"/>
        </w:rPr>
      </w:pPr>
      <w:r>
        <w:rPr>
          <w:rFonts w:hint="eastAsia" w:ascii="Times New Roman" w:hAnsi="Times New Roman" w:eastAsia="宋体" w:cs="宋体"/>
          <w:b w:val="0"/>
          <w:bCs/>
          <w:color w:val="auto"/>
          <w:sz w:val="24"/>
          <w:szCs w:val="24"/>
          <w:lang w:eastAsia="zh-CN"/>
        </w:rPr>
        <w:t>（</w:t>
      </w:r>
      <w:r>
        <w:rPr>
          <w:rFonts w:hint="eastAsia" w:ascii="Times New Roman" w:hAnsi="Times New Roman" w:eastAsia="宋体" w:cs="宋体"/>
          <w:b w:val="0"/>
          <w:bCs/>
          <w:color w:val="auto"/>
          <w:sz w:val="24"/>
          <w:szCs w:val="24"/>
          <w:lang w:val="en-US" w:eastAsia="zh-CN"/>
        </w:rPr>
        <w:t>6</w:t>
      </w:r>
      <w:r>
        <w:rPr>
          <w:rFonts w:hint="eastAsia" w:ascii="Times New Roman" w:hAnsi="Times New Roman" w:eastAsia="宋体" w:cs="宋体"/>
          <w:b w:val="0"/>
          <w:bCs/>
          <w:color w:val="auto"/>
          <w:sz w:val="24"/>
          <w:szCs w:val="24"/>
          <w:lang w:eastAsia="zh-CN"/>
        </w:rPr>
        <w:t>）离心提取</w:t>
      </w:r>
    </w:p>
    <w:p w14:paraId="28055CA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提取单元是由</w:t>
      </w:r>
      <w:r>
        <w:rPr>
          <w:rFonts w:hint="eastAsia" w:ascii="Times New Roman" w:hAnsi="Times New Roman" w:eastAsia="宋体" w:cs="宋体"/>
          <w:color w:val="auto"/>
          <w:sz w:val="24"/>
          <w:szCs w:val="24"/>
        </w:rPr>
        <w:t>3-5</w:t>
      </w:r>
      <w:r>
        <w:rPr>
          <w:rFonts w:ascii="Times New Roman" w:hAnsi="Times New Roman" w:eastAsia="宋体" w:cs="宋体"/>
          <w:color w:val="auto"/>
          <w:sz w:val="24"/>
          <w:szCs w:val="24"/>
        </w:rPr>
        <w:t>个离心筛组成的离心筛组，每个离心筛配备纤维泵和消沫泵。从除砂器出来的马铃薯浆料进入第一级提取筛，浆料在筛篮高速旋转的离心力作用下，淀粉通过筛网而薯渣等留在筛篮表面被甩出。筛篮有一定压力的冲洗水，从喷嘴中喷射出来让薯渣不断翻滚，使得薯渣里的淀粉能够充分分离出来。筛篮背面也设计有冲洗水，只是背面反冲水是定期开启保证果胶和薯渣等不堵塞筛网。淀粉乳通过消沫泵被泵送到旋流站进行洗涤，薯渣通过纤维泵泵送到第二级离心筛。含有一定淀粉的薯渣在第二级离心筛中进一步提取淀粉，含有淀粉的水通过消沫泵进入提取系统的工艺水中，薯渣则继续经纤维泵泵送到第三级提取筛。同样第三</w:t>
      </w:r>
      <w:r>
        <w:rPr>
          <w:rFonts w:hint="eastAsia" w:ascii="Times New Roman" w:hAnsi="Times New Roman" w:eastAsia="宋体" w:cs="宋体"/>
          <w:color w:val="auto"/>
          <w:sz w:val="24"/>
          <w:szCs w:val="24"/>
        </w:rPr>
        <w:t>、四、五</w:t>
      </w:r>
      <w:r>
        <w:rPr>
          <w:rFonts w:ascii="Times New Roman" w:hAnsi="Times New Roman" w:eastAsia="宋体" w:cs="宋体"/>
          <w:color w:val="auto"/>
          <w:sz w:val="24"/>
          <w:szCs w:val="24"/>
        </w:rPr>
        <w:t>级提取筛仍然进行淀粉提取，筛下物仍进入提取单元的工艺水中，而薯渣则被泵送到薯渣脱水单元。串联式的离心筛组能够保证游离淀粉全部被收集到提取系统，使得薯渣中不含有游离淀粉</w:t>
      </w:r>
      <w:r>
        <w:rPr>
          <w:rFonts w:hint="eastAsia" w:ascii="Times New Roman" w:hAnsi="Times New Roman" w:eastAsia="宋体" w:cs="宋体"/>
          <w:color w:val="auto"/>
          <w:sz w:val="24"/>
          <w:szCs w:val="24"/>
        </w:rPr>
        <w:t>，</w:t>
      </w:r>
      <w:r>
        <w:rPr>
          <w:rFonts w:ascii="Times New Roman" w:hAnsi="Times New Roman" w:eastAsia="宋体" w:cs="宋体"/>
          <w:color w:val="auto"/>
          <w:sz w:val="24"/>
          <w:szCs w:val="24"/>
        </w:rPr>
        <w:t>充分保证了淀粉的提出率。</w:t>
      </w:r>
    </w:p>
    <w:p w14:paraId="0AD073D9">
      <w:pPr>
        <w:autoSpaceDE w:val="0"/>
        <w:autoSpaceDN w:val="0"/>
        <w:adjustRightInd w:val="0"/>
        <w:snapToGrid w:val="0"/>
        <w:spacing w:line="360" w:lineRule="auto"/>
        <w:ind w:firstLine="480" w:firstLineChars="200"/>
        <w:rPr>
          <w:rFonts w:hint="eastAsia" w:ascii="Times New Roman" w:hAnsi="Times New Roman" w:eastAsia="宋体" w:cs="宋体"/>
          <w:b w:val="0"/>
          <w:bCs/>
          <w:color w:val="auto"/>
          <w:sz w:val="24"/>
          <w:szCs w:val="24"/>
          <w:lang w:eastAsia="zh-CN"/>
        </w:rPr>
      </w:pPr>
      <w:r>
        <w:rPr>
          <w:rFonts w:hint="eastAsia" w:ascii="Times New Roman" w:hAnsi="Times New Roman" w:eastAsia="宋体" w:cs="宋体"/>
          <w:b w:val="0"/>
          <w:bCs/>
          <w:color w:val="auto"/>
          <w:sz w:val="24"/>
          <w:szCs w:val="24"/>
          <w:lang w:eastAsia="zh-CN"/>
        </w:rPr>
        <w:t>（</w:t>
      </w:r>
      <w:r>
        <w:rPr>
          <w:rFonts w:hint="eastAsia" w:ascii="Times New Roman" w:hAnsi="Times New Roman" w:eastAsia="宋体" w:cs="宋体"/>
          <w:b w:val="0"/>
          <w:bCs/>
          <w:color w:val="auto"/>
          <w:sz w:val="24"/>
          <w:szCs w:val="24"/>
          <w:lang w:val="en-US" w:eastAsia="zh-CN"/>
        </w:rPr>
        <w:t>7</w:t>
      </w:r>
      <w:r>
        <w:rPr>
          <w:rFonts w:hint="eastAsia" w:ascii="Times New Roman" w:hAnsi="Times New Roman" w:eastAsia="宋体" w:cs="宋体"/>
          <w:b w:val="0"/>
          <w:bCs/>
          <w:color w:val="auto"/>
          <w:sz w:val="24"/>
          <w:szCs w:val="24"/>
          <w:lang w:eastAsia="zh-CN"/>
        </w:rPr>
        <w:t>）薯渣脱水</w:t>
      </w:r>
    </w:p>
    <w:p w14:paraId="51260BA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从提取单元泵送的薯渣用离心筛对薯渣进行脱水处理，薯渣最终通过螺旋输送机被输送出车间，薯渣中出来的水</w:t>
      </w:r>
      <w:r>
        <w:rPr>
          <w:rFonts w:hint="eastAsia" w:ascii="Times New Roman" w:hAnsi="Times New Roman" w:eastAsia="宋体" w:cs="宋体"/>
          <w:color w:val="auto"/>
          <w:sz w:val="24"/>
          <w:szCs w:val="24"/>
          <w:lang w:val="en-US" w:eastAsia="zh-CN"/>
        </w:rPr>
        <w:t>与加工废水一同排入黑膜氧化池进行发酵处理还田</w:t>
      </w:r>
      <w:r>
        <w:rPr>
          <w:rFonts w:ascii="Times New Roman" w:hAnsi="Times New Roman" w:eastAsia="宋体" w:cs="宋体"/>
          <w:color w:val="auto"/>
          <w:sz w:val="24"/>
          <w:szCs w:val="24"/>
        </w:rPr>
        <w:t>。</w:t>
      </w:r>
    </w:p>
    <w:p w14:paraId="5C7B6C5C">
      <w:pPr>
        <w:autoSpaceDE w:val="0"/>
        <w:autoSpaceDN w:val="0"/>
        <w:adjustRightInd w:val="0"/>
        <w:snapToGrid w:val="0"/>
        <w:spacing w:line="360" w:lineRule="auto"/>
        <w:ind w:firstLine="480" w:firstLineChars="200"/>
        <w:rPr>
          <w:rFonts w:hint="eastAsia" w:ascii="Times New Roman" w:hAnsi="Times New Roman" w:eastAsia="宋体" w:cs="宋体"/>
          <w:b w:val="0"/>
          <w:bCs/>
          <w:color w:val="auto"/>
          <w:sz w:val="24"/>
          <w:szCs w:val="24"/>
          <w:lang w:eastAsia="zh-CN"/>
        </w:rPr>
      </w:pPr>
      <w:r>
        <w:rPr>
          <w:rFonts w:hint="eastAsia" w:ascii="Times New Roman" w:hAnsi="Times New Roman" w:eastAsia="宋体" w:cs="宋体"/>
          <w:b w:val="0"/>
          <w:bCs/>
          <w:color w:val="auto"/>
          <w:sz w:val="24"/>
          <w:szCs w:val="24"/>
          <w:lang w:eastAsia="zh-CN"/>
        </w:rPr>
        <w:t>（</w:t>
      </w:r>
      <w:r>
        <w:rPr>
          <w:rFonts w:hint="eastAsia" w:ascii="Times New Roman" w:hAnsi="Times New Roman" w:eastAsia="宋体" w:cs="宋体"/>
          <w:b w:val="0"/>
          <w:bCs/>
          <w:color w:val="auto"/>
          <w:sz w:val="24"/>
          <w:szCs w:val="24"/>
          <w:lang w:val="en-US" w:eastAsia="zh-CN"/>
        </w:rPr>
        <w:t>8</w:t>
      </w:r>
      <w:r>
        <w:rPr>
          <w:rFonts w:hint="eastAsia" w:ascii="Times New Roman" w:hAnsi="Times New Roman" w:eastAsia="宋体" w:cs="宋体"/>
          <w:b w:val="0"/>
          <w:bCs/>
          <w:color w:val="auto"/>
          <w:sz w:val="24"/>
          <w:szCs w:val="24"/>
          <w:lang w:eastAsia="zh-CN"/>
        </w:rPr>
        <w:t>）浓缩精制</w:t>
      </w:r>
    </w:p>
    <w:p w14:paraId="1F07E8F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浓缩精制是通过物理的方法将淀粉浆中的杂质彻底</w:t>
      </w:r>
      <w:r>
        <w:rPr>
          <w:rFonts w:hint="eastAsia" w:ascii="Times New Roman" w:hAnsi="Times New Roman" w:eastAsia="宋体" w:cs="宋体"/>
          <w:color w:val="auto"/>
          <w:sz w:val="24"/>
          <w:szCs w:val="24"/>
          <w:lang w:eastAsia="zh-CN"/>
        </w:rPr>
        <w:t>除去</w:t>
      </w:r>
      <w:r>
        <w:rPr>
          <w:rFonts w:ascii="Times New Roman" w:hAnsi="Times New Roman" w:eastAsia="宋体" w:cs="宋体"/>
          <w:color w:val="auto"/>
          <w:sz w:val="24"/>
          <w:szCs w:val="24"/>
        </w:rPr>
        <w:t>，使其不影响淀粉产品的质量。从第一级离心筛出来的淀粉浆进入</w:t>
      </w:r>
      <w:r>
        <w:rPr>
          <w:rFonts w:hint="eastAsia" w:ascii="Times New Roman" w:hAnsi="Times New Roman" w:eastAsia="宋体" w:cs="宋体"/>
          <w:color w:val="auto"/>
          <w:sz w:val="24"/>
          <w:szCs w:val="24"/>
        </w:rPr>
        <w:t>多</w:t>
      </w:r>
      <w:r>
        <w:rPr>
          <w:rFonts w:ascii="Times New Roman" w:hAnsi="Times New Roman" w:eastAsia="宋体" w:cs="宋体"/>
          <w:color w:val="auto"/>
          <w:sz w:val="24"/>
          <w:szCs w:val="24"/>
        </w:rPr>
        <w:t>级浓缩旋流洗涤单元，</w:t>
      </w:r>
      <w:r>
        <w:rPr>
          <w:rFonts w:hint="eastAsia" w:ascii="Times New Roman" w:hAnsi="Times New Roman" w:eastAsia="宋体" w:cs="宋体"/>
          <w:color w:val="auto"/>
          <w:sz w:val="24"/>
          <w:szCs w:val="24"/>
          <w:lang w:val="en-US" w:eastAsia="zh-CN"/>
        </w:rPr>
        <w:t>工艺</w:t>
      </w:r>
      <w:r>
        <w:rPr>
          <w:rFonts w:ascii="Times New Roman" w:hAnsi="Times New Roman" w:eastAsia="宋体" w:cs="宋体"/>
          <w:color w:val="auto"/>
          <w:sz w:val="24"/>
          <w:szCs w:val="24"/>
        </w:rPr>
        <w:t>水从旋流站的另外一端泵入以逆流的方式对淀粉进行洗涤。整个旋流站可以分为三个部分</w:t>
      </w:r>
      <w:r>
        <w:rPr>
          <w:rFonts w:hint="eastAsia" w:ascii="Times New Roman" w:hAnsi="Times New Roman" w:eastAsia="宋体" w:cs="宋体"/>
          <w:color w:val="auto"/>
          <w:sz w:val="24"/>
          <w:szCs w:val="24"/>
        </w:rPr>
        <w:t>，</w:t>
      </w:r>
      <w:r>
        <w:rPr>
          <w:rFonts w:ascii="Times New Roman" w:hAnsi="Times New Roman" w:eastAsia="宋体" w:cs="宋体"/>
          <w:color w:val="auto"/>
          <w:sz w:val="24"/>
          <w:szCs w:val="24"/>
        </w:rPr>
        <w:t>首先淀粉浆通过浓缩旋流站进行脱汁浓缩，浓缩后的淀粉乳进入后面</w:t>
      </w:r>
      <w:r>
        <w:rPr>
          <w:rFonts w:hint="eastAsia" w:ascii="Times New Roman" w:hAnsi="Times New Roman" w:eastAsia="宋体" w:cs="宋体"/>
          <w:color w:val="auto"/>
          <w:sz w:val="24"/>
          <w:szCs w:val="24"/>
        </w:rPr>
        <w:t>多</w:t>
      </w:r>
      <w:r>
        <w:rPr>
          <w:rFonts w:ascii="Times New Roman" w:hAnsi="Times New Roman" w:eastAsia="宋体" w:cs="宋体"/>
          <w:color w:val="auto"/>
          <w:sz w:val="24"/>
          <w:szCs w:val="24"/>
        </w:rPr>
        <w:t>级洗涤单元，而从溢流出来的细胞液则进入两级回收旋流站对其中所含的淀粉进行回收</w:t>
      </w:r>
      <w:r>
        <w:rPr>
          <w:rFonts w:hint="eastAsia" w:ascii="Times New Roman" w:hAnsi="Times New Roman" w:eastAsia="宋体" w:cs="宋体"/>
          <w:color w:val="auto"/>
          <w:sz w:val="24"/>
          <w:szCs w:val="24"/>
        </w:rPr>
        <w:t>。</w:t>
      </w:r>
      <w:r>
        <w:rPr>
          <w:rFonts w:ascii="Times New Roman" w:hAnsi="Times New Roman" w:eastAsia="宋体" w:cs="宋体"/>
          <w:color w:val="auto"/>
          <w:sz w:val="24"/>
          <w:szCs w:val="24"/>
        </w:rPr>
        <w:t>从旋流站溢流出来的含大量纤维杂质的废液绝大部分直接外排，很少的一部分仍然进入提取单元的工艺水系统中。从旋流站出来的淀粉乳被泵送到带搅拌器的不锈钢淀粉乳储存罐中。</w:t>
      </w:r>
    </w:p>
    <w:p w14:paraId="335BDFD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宋体"/>
          <w:color w:val="auto"/>
          <w:sz w:val="24"/>
          <w:szCs w:val="24"/>
          <w:lang w:eastAsia="zh-CN"/>
        </w:rPr>
      </w:pPr>
      <w:r>
        <w:rPr>
          <w:rFonts w:ascii="Times New Roman" w:hAnsi="Times New Roman" w:eastAsia="宋体" w:cs="宋体"/>
          <w:color w:val="auto"/>
          <w:sz w:val="24"/>
          <w:szCs w:val="24"/>
        </w:rPr>
        <w:t>洁净的工艺水从旋流站最后一级加入，与淀粉乳混合洗涤，然后溢流又与前一级淀粉乳混合洗涤分离，如此一级一级逆流洗涤使得纤维和细胞液等都随水排出旋流站。细纤分离是对浓缩精制单元的配套单元。主要目的是减轻旋流站的工作压力，当淀粉浆中纤维和杂质等很多时，可以打开细纤筛将旋流站中一部分的细纤维排出旋流系统，以此来保证过多的细纤维能够从旋流站排出。</w:t>
      </w:r>
    </w:p>
    <w:p w14:paraId="46EB016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含细纤维的废液从旋流站洗涤的第一级溢流直接进入细纤筛的进口，与提取单元一样，通过细纤筛将细纤中所含的淀粉提取出来，含淀粉的细胞液与从第一级提取筛提取的淀粉浆一起重新进入旋流站。细纤分离单元对旋流站的工作起到了很好的辅助作用。可以及时将旋流站中大量的细纤维及时排出旋流系统，同时在原料比较差的情况下，可以将细胞液及时排出。</w:t>
      </w:r>
    </w:p>
    <w:p w14:paraId="19624250">
      <w:pPr>
        <w:autoSpaceDE w:val="0"/>
        <w:autoSpaceDN w:val="0"/>
        <w:adjustRightInd w:val="0"/>
        <w:snapToGrid w:val="0"/>
        <w:spacing w:line="360" w:lineRule="auto"/>
        <w:ind w:firstLine="480" w:firstLineChars="200"/>
        <w:rPr>
          <w:rFonts w:hint="eastAsia" w:ascii="Times New Roman" w:hAnsi="Times New Roman" w:eastAsia="宋体" w:cs="宋体"/>
          <w:b w:val="0"/>
          <w:bCs/>
          <w:color w:val="auto"/>
          <w:sz w:val="24"/>
          <w:szCs w:val="24"/>
          <w:lang w:eastAsia="zh-CN"/>
        </w:rPr>
      </w:pPr>
      <w:r>
        <w:rPr>
          <w:rFonts w:hint="eastAsia" w:ascii="Times New Roman" w:hAnsi="Times New Roman" w:eastAsia="宋体" w:cs="宋体"/>
          <w:b w:val="0"/>
          <w:bCs/>
          <w:color w:val="auto"/>
          <w:sz w:val="24"/>
          <w:szCs w:val="24"/>
          <w:lang w:eastAsia="zh-CN"/>
        </w:rPr>
        <w:t>（</w:t>
      </w:r>
      <w:r>
        <w:rPr>
          <w:rFonts w:hint="eastAsia" w:ascii="Times New Roman" w:hAnsi="Times New Roman" w:eastAsia="宋体" w:cs="宋体"/>
          <w:b w:val="0"/>
          <w:bCs/>
          <w:color w:val="auto"/>
          <w:sz w:val="24"/>
          <w:szCs w:val="24"/>
          <w:lang w:val="en-US" w:eastAsia="zh-CN"/>
        </w:rPr>
        <w:t>9</w:t>
      </w:r>
      <w:r>
        <w:rPr>
          <w:rFonts w:hint="eastAsia" w:ascii="Times New Roman" w:hAnsi="Times New Roman" w:eastAsia="宋体" w:cs="宋体"/>
          <w:b w:val="0"/>
          <w:bCs/>
          <w:color w:val="auto"/>
          <w:sz w:val="24"/>
          <w:szCs w:val="24"/>
          <w:lang w:eastAsia="zh-CN"/>
        </w:rPr>
        <w:t>）真空脱水</w:t>
      </w:r>
    </w:p>
    <w:p w14:paraId="2D838F0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szCs w:val="24"/>
        </w:rPr>
      </w:pPr>
      <w:r>
        <w:rPr>
          <w:rFonts w:ascii="Times New Roman" w:hAnsi="Times New Roman" w:eastAsia="宋体" w:cs="宋体"/>
          <w:color w:val="auto"/>
          <w:sz w:val="24"/>
          <w:szCs w:val="24"/>
        </w:rPr>
        <w:t>从旋流站出来的淀粉乳水分含量太大，不可以直接去干燥，因此需要先对淀粉乳进行脱水，使淀粉水分含量约在40%左右。淀粉乳用淀粉泵从淀粉乳暂存罐中打到真空脱水机槽中，在淀粉乳的管道上接一根水管，用工艺水将淀粉乳稀释到一定的浓度。真空泵使真空转鼓内形成负压</w:t>
      </w:r>
      <w:r>
        <w:rPr>
          <w:rFonts w:hint="eastAsia" w:ascii="Times New Roman" w:hAnsi="Times New Roman" w:eastAsia="宋体" w:cs="宋体"/>
          <w:color w:val="auto"/>
          <w:sz w:val="24"/>
          <w:szCs w:val="24"/>
        </w:rPr>
        <w:t>，</w:t>
      </w:r>
      <w:r>
        <w:rPr>
          <w:rFonts w:ascii="Times New Roman" w:hAnsi="Times New Roman" w:eastAsia="宋体" w:cs="宋体"/>
          <w:color w:val="auto"/>
          <w:sz w:val="24"/>
          <w:szCs w:val="24"/>
        </w:rPr>
        <w:t>当淀粉乳液位接触真空转鼓时，淀粉浆被吸在鼓面上，滤液被吸到滤液分离罐中并被滤液泵抽走，滤饼通过刮刀刮下，用食品级的输送皮带输送进气流干燥机的喂料斗中。真空脱水机性能优良，操作简单稳定，脱水后淀粉的水分含量很低，大大减少了后续气流干燥的能耗。</w:t>
      </w:r>
    </w:p>
    <w:p w14:paraId="54C55519">
      <w:pPr>
        <w:keepNext w:val="0"/>
        <w:keepLines w:val="0"/>
        <w:pageBreakBefore w:val="0"/>
        <w:wordWrap/>
        <w:overflowPunct/>
        <w:topLinePunct w:val="0"/>
        <w:autoSpaceDE w:val="0"/>
        <w:autoSpaceDN w:val="0"/>
        <w:bidi w:val="0"/>
        <w:adjustRightInd w:val="0"/>
        <w:snapToGrid w:val="0"/>
        <w:spacing w:line="360" w:lineRule="auto"/>
        <w:ind w:firstLine="480" w:firstLineChars="200"/>
        <w:rPr>
          <w:rFonts w:hint="eastAsia" w:ascii="Times New Roman" w:hAnsi="Times New Roman" w:eastAsia="宋体" w:cs="宋体"/>
          <w:b w:val="0"/>
          <w:bCs/>
          <w:color w:val="auto"/>
          <w:sz w:val="24"/>
          <w:szCs w:val="24"/>
          <w:lang w:eastAsia="zh-CN"/>
        </w:rPr>
      </w:pPr>
      <w:r>
        <w:rPr>
          <w:rFonts w:hint="eastAsia" w:ascii="Times New Roman" w:hAnsi="Times New Roman" w:eastAsia="宋体" w:cs="宋体"/>
          <w:b w:val="0"/>
          <w:bCs/>
          <w:color w:val="auto"/>
          <w:sz w:val="24"/>
          <w:szCs w:val="24"/>
          <w:lang w:eastAsia="zh-CN"/>
        </w:rPr>
        <w:t>（</w:t>
      </w:r>
      <w:r>
        <w:rPr>
          <w:rFonts w:hint="eastAsia" w:ascii="Times New Roman" w:hAnsi="Times New Roman" w:eastAsia="宋体" w:cs="宋体"/>
          <w:b w:val="0"/>
          <w:bCs/>
          <w:color w:val="auto"/>
          <w:sz w:val="24"/>
          <w:szCs w:val="24"/>
          <w:lang w:val="en-US" w:eastAsia="zh-CN"/>
        </w:rPr>
        <w:t>10</w:t>
      </w:r>
      <w:r>
        <w:rPr>
          <w:rFonts w:hint="eastAsia" w:ascii="Times New Roman" w:hAnsi="Times New Roman" w:eastAsia="宋体" w:cs="宋体"/>
          <w:b w:val="0"/>
          <w:bCs/>
          <w:color w:val="auto"/>
          <w:sz w:val="24"/>
          <w:szCs w:val="24"/>
          <w:lang w:eastAsia="zh-CN"/>
        </w:rPr>
        <w:t>）气流干燥</w:t>
      </w:r>
    </w:p>
    <w:p w14:paraId="5103BFB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气流干燥机将脱水后的淀粉进一步干燥到商品淀粉所要求的水分含量。空气通过滤网经过换热器加热到要求的温度，由引风机将热风吸进气流干燥机。脱水后的淀粉被输送到带料斗的喂料螺旋，通过螺旋输送到气流干燥机的进料口，淀粉随气流干燥机中的热风沿风管进入旋风分离器，干燥后的淀粉在旋风分离器中与空气分离，湿空气离开旋风分离器后经引风机排出。淀粉通过旋风分离器下面的关风器进入成品螺旋。特殊设计的大弯管气流干燥机经过实践证明，其能耗比平均水平降低了一</w:t>
      </w:r>
      <w:r>
        <w:rPr>
          <w:rFonts w:hint="eastAsia" w:ascii="Times New Roman" w:hAnsi="Times New Roman" w:eastAsia="宋体" w:cs="宋体"/>
          <w:color w:val="auto"/>
          <w:sz w:val="24"/>
          <w:szCs w:val="24"/>
        </w:rPr>
        <w:t>半</w:t>
      </w:r>
      <w:r>
        <w:rPr>
          <w:rFonts w:ascii="Times New Roman" w:hAnsi="Times New Roman" w:eastAsia="宋体" w:cs="宋体"/>
          <w:color w:val="auto"/>
          <w:sz w:val="24"/>
          <w:szCs w:val="24"/>
        </w:rPr>
        <w:t>左右。</w:t>
      </w:r>
    </w:p>
    <w:p w14:paraId="35049842">
      <w:pPr>
        <w:autoSpaceDE w:val="0"/>
        <w:autoSpaceDN w:val="0"/>
        <w:adjustRightInd w:val="0"/>
        <w:snapToGrid w:val="0"/>
        <w:spacing w:line="360" w:lineRule="auto"/>
        <w:ind w:firstLine="480" w:firstLineChars="200"/>
        <w:rPr>
          <w:rFonts w:hint="eastAsia" w:ascii="Times New Roman" w:hAnsi="Times New Roman" w:eastAsia="宋体" w:cs="宋体"/>
          <w:b w:val="0"/>
          <w:bCs/>
          <w:color w:val="auto"/>
          <w:sz w:val="24"/>
          <w:szCs w:val="24"/>
          <w:lang w:eastAsia="zh-CN"/>
        </w:rPr>
      </w:pPr>
      <w:r>
        <w:rPr>
          <w:rFonts w:hint="eastAsia" w:ascii="Times New Roman" w:hAnsi="Times New Roman" w:eastAsia="宋体" w:cs="宋体"/>
          <w:b w:val="0"/>
          <w:bCs/>
          <w:color w:val="auto"/>
          <w:sz w:val="24"/>
          <w:szCs w:val="24"/>
          <w:lang w:eastAsia="zh-CN"/>
        </w:rPr>
        <w:t>（</w:t>
      </w:r>
      <w:r>
        <w:rPr>
          <w:rFonts w:hint="eastAsia" w:ascii="Times New Roman" w:hAnsi="Times New Roman" w:eastAsia="宋体" w:cs="宋体"/>
          <w:b w:val="0"/>
          <w:bCs/>
          <w:color w:val="auto"/>
          <w:sz w:val="24"/>
          <w:szCs w:val="24"/>
          <w:lang w:val="en-US" w:eastAsia="zh-CN"/>
        </w:rPr>
        <w:t>11</w:t>
      </w:r>
      <w:r>
        <w:rPr>
          <w:rFonts w:hint="eastAsia" w:ascii="Times New Roman" w:hAnsi="Times New Roman" w:eastAsia="宋体" w:cs="宋体"/>
          <w:b w:val="0"/>
          <w:bCs/>
          <w:color w:val="auto"/>
          <w:sz w:val="24"/>
          <w:szCs w:val="24"/>
          <w:lang w:eastAsia="zh-CN"/>
        </w:rPr>
        <w:t>）筛分仓储</w:t>
      </w:r>
    </w:p>
    <w:p w14:paraId="3591332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淀粉经成品螺旋输送到淀粉均匀料仓中，然后经过均匀料仓下的杠杆给料器将淀粉输送进入斗式提升机，斗提机将淀粉输送到双向输送螺旋。如果淀粉的水分含量达不到要求，淀粉经过双向输送螺旋回到均匀仓中；如果水分达标</w:t>
      </w:r>
      <w:r>
        <w:rPr>
          <w:rFonts w:hint="eastAsia" w:ascii="Times New Roman" w:hAnsi="Times New Roman" w:eastAsia="宋体" w:cs="宋体"/>
          <w:color w:val="auto"/>
          <w:sz w:val="24"/>
          <w:szCs w:val="24"/>
        </w:rPr>
        <w:t>，</w:t>
      </w:r>
      <w:r>
        <w:rPr>
          <w:rFonts w:ascii="Times New Roman" w:hAnsi="Times New Roman" w:eastAsia="宋体" w:cs="宋体"/>
          <w:color w:val="auto"/>
          <w:sz w:val="24"/>
          <w:szCs w:val="24"/>
        </w:rPr>
        <w:t>淀粉通过双向输送螺旋进入双仓</w:t>
      </w:r>
      <w:r>
        <w:rPr>
          <w:rFonts w:hint="eastAsia" w:ascii="Times New Roman" w:hAnsi="Times New Roman" w:eastAsia="宋体" w:cs="宋体"/>
          <w:color w:val="auto"/>
          <w:sz w:val="24"/>
          <w:szCs w:val="24"/>
          <w:lang w:eastAsia="zh-CN"/>
        </w:rPr>
        <w:t>振动</w:t>
      </w:r>
      <w:r>
        <w:rPr>
          <w:rFonts w:ascii="Times New Roman" w:hAnsi="Times New Roman" w:eastAsia="宋体" w:cs="宋体"/>
          <w:color w:val="auto"/>
          <w:sz w:val="24"/>
          <w:szCs w:val="24"/>
        </w:rPr>
        <w:t>平筛中，</w:t>
      </w:r>
      <w:r>
        <w:rPr>
          <w:rFonts w:hint="eastAsia" w:ascii="Times New Roman" w:hAnsi="Times New Roman" w:eastAsia="宋体" w:cs="宋体"/>
          <w:color w:val="auto"/>
          <w:sz w:val="24"/>
          <w:szCs w:val="24"/>
          <w:lang w:eastAsia="zh-CN"/>
        </w:rPr>
        <w:t>振动筛</w:t>
      </w:r>
      <w:r>
        <w:rPr>
          <w:rFonts w:ascii="Times New Roman" w:hAnsi="Times New Roman" w:eastAsia="宋体" w:cs="宋体"/>
          <w:color w:val="auto"/>
          <w:sz w:val="24"/>
          <w:szCs w:val="24"/>
        </w:rPr>
        <w:t>将干燥后的淀粉筛分分级，去除精淀粉中糊化及粗的颗粒，使成品淀粉的细度能够满足标准。筛分后的淀粉直接进入不锈钢淀粉仓中暂存。所选用的淀粉专用的双仓平筛其筛网目数从上到下逐渐增大，保证了淀粉筛分的畅通及淀粉的细度。</w:t>
      </w:r>
    </w:p>
    <w:p w14:paraId="72FDE09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eastAsia="宋体" w:cs="宋体"/>
          <w:color w:val="auto"/>
          <w:sz w:val="24"/>
          <w:szCs w:val="24"/>
        </w:rPr>
      </w:pPr>
      <w:r>
        <w:rPr>
          <w:rFonts w:ascii="Times New Roman" w:hAnsi="Times New Roman" w:eastAsia="宋体" w:cs="宋体"/>
          <w:color w:val="auto"/>
          <w:sz w:val="24"/>
          <w:szCs w:val="24"/>
        </w:rPr>
        <w:t>采取均匀料仓可以保证产品的均衡，若干燥后的淀粉水分太干或太湿可以通过均匀料仓的</w:t>
      </w:r>
      <w:r>
        <w:rPr>
          <w:rFonts w:hint="eastAsia" w:ascii="Times New Roman" w:hAnsi="Times New Roman" w:eastAsia="宋体" w:cs="宋体"/>
          <w:color w:val="auto"/>
          <w:sz w:val="24"/>
          <w:szCs w:val="24"/>
          <w:lang w:eastAsia="zh-CN"/>
        </w:rPr>
        <w:t>循环</w:t>
      </w:r>
      <w:r>
        <w:rPr>
          <w:rFonts w:ascii="Times New Roman" w:hAnsi="Times New Roman" w:eastAsia="宋体" w:cs="宋体"/>
          <w:color w:val="auto"/>
          <w:sz w:val="24"/>
          <w:szCs w:val="24"/>
        </w:rPr>
        <w:t>使得水分达标。尤其在气流干燥机开机不稳定的时候，通过均匀料仓可以保证淀粉水分含量均匀达标。</w:t>
      </w:r>
    </w:p>
    <w:p w14:paraId="636BFEEE">
      <w:pPr>
        <w:autoSpaceDE w:val="0"/>
        <w:autoSpaceDN w:val="0"/>
        <w:adjustRightInd w:val="0"/>
        <w:snapToGrid w:val="0"/>
        <w:spacing w:line="360" w:lineRule="auto"/>
        <w:ind w:firstLine="480" w:firstLineChars="200"/>
        <w:rPr>
          <w:rFonts w:hint="eastAsia" w:ascii="Times New Roman" w:hAnsi="Times New Roman" w:eastAsia="宋体" w:cs="宋体"/>
          <w:b w:val="0"/>
          <w:bCs/>
          <w:color w:val="auto"/>
          <w:sz w:val="24"/>
          <w:szCs w:val="24"/>
          <w:lang w:eastAsia="zh-CN"/>
        </w:rPr>
      </w:pPr>
      <w:r>
        <w:rPr>
          <w:rFonts w:hint="eastAsia" w:ascii="Times New Roman" w:hAnsi="Times New Roman" w:eastAsia="宋体" w:cs="宋体"/>
          <w:b w:val="0"/>
          <w:bCs/>
          <w:color w:val="auto"/>
          <w:sz w:val="24"/>
          <w:szCs w:val="24"/>
          <w:lang w:eastAsia="zh-CN"/>
        </w:rPr>
        <w:t>（</w:t>
      </w:r>
      <w:r>
        <w:rPr>
          <w:rFonts w:hint="eastAsia" w:ascii="Times New Roman" w:hAnsi="Times New Roman" w:eastAsia="宋体" w:cs="宋体"/>
          <w:b w:val="0"/>
          <w:bCs/>
          <w:color w:val="auto"/>
          <w:sz w:val="24"/>
          <w:szCs w:val="24"/>
          <w:lang w:val="en-US" w:eastAsia="zh-CN"/>
        </w:rPr>
        <w:t>12</w:t>
      </w:r>
      <w:r>
        <w:rPr>
          <w:rFonts w:hint="eastAsia" w:ascii="Times New Roman" w:hAnsi="Times New Roman" w:eastAsia="宋体" w:cs="宋体"/>
          <w:b w:val="0"/>
          <w:bCs/>
          <w:color w:val="auto"/>
          <w:sz w:val="24"/>
          <w:szCs w:val="24"/>
          <w:lang w:eastAsia="zh-CN"/>
        </w:rPr>
        <w:t>）称重包装</w:t>
      </w:r>
    </w:p>
    <w:p w14:paraId="48722F0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ascii="Times New Roman" w:hAnsi="Times New Roman" w:eastAsia="宋体" w:cs="宋体"/>
          <w:color w:val="auto"/>
          <w:sz w:val="24"/>
          <w:szCs w:val="24"/>
        </w:rPr>
      </w:pPr>
      <w:r>
        <w:rPr>
          <w:rFonts w:ascii="Times New Roman" w:hAnsi="Times New Roman" w:eastAsia="宋体" w:cs="宋体"/>
          <w:color w:val="auto"/>
          <w:sz w:val="24"/>
          <w:szCs w:val="24"/>
        </w:rPr>
        <w:t>淀粉仓中的淀粉经过自动包装机将淀粉包装为</w:t>
      </w:r>
      <w:r>
        <w:rPr>
          <w:rFonts w:hint="default" w:ascii="Times New Roman" w:hAnsi="Times New Roman" w:eastAsia="宋体" w:cs="宋体"/>
          <w:color w:val="auto"/>
          <w:sz w:val="24"/>
          <w:szCs w:val="24"/>
        </w:rPr>
        <w:t>25kg/</w:t>
      </w:r>
      <w:r>
        <w:rPr>
          <w:rFonts w:ascii="Times New Roman" w:hAnsi="Times New Roman" w:eastAsia="宋体" w:cs="宋体"/>
          <w:color w:val="auto"/>
          <w:sz w:val="24"/>
          <w:szCs w:val="24"/>
        </w:rPr>
        <w:t>袋。</w:t>
      </w:r>
    </w:p>
    <w:p w14:paraId="22BC7AA6">
      <w:pPr>
        <w:adjustRightInd w:val="0"/>
        <w:snapToGrid w:val="0"/>
        <w:spacing w:line="360" w:lineRule="auto"/>
        <w:jc w:val="center"/>
        <w:rPr>
          <w:rFonts w:hint="eastAsia" w:ascii="Times New Roman" w:hAnsi="Times New Roman" w:eastAsia="宋体" w:cs="宋体"/>
          <w:b/>
          <w:bCs w:val="0"/>
          <w:snapToGrid w:val="0"/>
          <w:color w:val="auto"/>
          <w:kern w:val="2"/>
          <w:sz w:val="24"/>
          <w:szCs w:val="24"/>
          <w:lang w:val="en-US" w:eastAsia="zh-CN" w:bidi="ar-SA"/>
        </w:rPr>
      </w:pPr>
      <w:r>
        <w:rPr>
          <w:rFonts w:ascii="Times New Roman" w:hAnsi="Times New Roman" w:eastAsia="宋体" w:cs="宋体"/>
          <w:color w:val="auto"/>
          <w:sz w:val="24"/>
        </w:rPr>
        <w:object>
          <v:shape id="_x0000_i1025" o:spt="75" type="#_x0000_t75" style="height:440.3pt;width:409.95pt;" o:ole="t" filled="f" o:preferrelative="t" stroked="t" coordsize="21600,21600">
            <v:path/>
            <v:fill on="f" focussize="0,0"/>
            <v:stroke color="#000000" joinstyle="miter"/>
            <v:imagedata r:id="rId37" o:title=""/>
            <o:lock v:ext="edit" aspectratio="t"/>
            <w10:wrap type="none"/>
            <w10:anchorlock/>
          </v:shape>
          <o:OLEObject Type="Embed" ProgID="Visio.Drawing.11" ShapeID="_x0000_i1025" DrawAspect="Content" ObjectID="_1468075725" r:id="rId36">
            <o:LockedField>false</o:LockedField>
          </o:OLEObject>
        </w:object>
      </w:r>
      <w:r>
        <w:rPr>
          <w:rFonts w:hint="eastAsia" w:ascii="Times New Roman" w:hAnsi="Times New Roman" w:eastAsia="宋体" w:cs="宋体"/>
          <w:b/>
          <w:bCs w:val="0"/>
          <w:snapToGrid w:val="0"/>
          <w:color w:val="auto"/>
          <w:kern w:val="2"/>
          <w:sz w:val="24"/>
          <w:szCs w:val="24"/>
          <w:lang w:val="en-US" w:eastAsia="zh-CN" w:bidi="ar-SA"/>
        </w:rPr>
        <w:t>图4-1   淀粉生产工艺流程图</w:t>
      </w:r>
    </w:p>
    <w:p w14:paraId="3306EC88">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bCs/>
          <w:color w:val="auto"/>
          <w:sz w:val="24"/>
          <w:lang w:val="en-US" w:eastAsia="zh-CN"/>
        </w:rPr>
      </w:pPr>
      <w:r>
        <w:rPr>
          <w:rFonts w:hint="eastAsia" w:ascii="Times New Roman" w:hAnsi="Times New Roman" w:eastAsia="宋体" w:cs="宋体"/>
          <w:b/>
          <w:color w:val="auto"/>
          <w:sz w:val="24"/>
          <w:lang w:val="en-US" w:eastAsia="zh-CN"/>
        </w:rPr>
        <w:t>4.3.2、</w:t>
      </w:r>
      <w:r>
        <w:rPr>
          <w:rFonts w:ascii="Times New Roman" w:hAnsi="Times New Roman" w:eastAsia="宋体" w:cs="宋体"/>
          <w:b/>
          <w:bCs/>
          <w:color w:val="auto"/>
          <w:sz w:val="24"/>
        </w:rPr>
        <w:t>马铃薯淀粉生产</w:t>
      </w:r>
      <w:r>
        <w:rPr>
          <w:rFonts w:hint="eastAsia" w:ascii="Times New Roman" w:hAnsi="Times New Roman" w:eastAsia="宋体" w:cs="宋体"/>
          <w:b/>
          <w:bCs/>
          <w:color w:val="auto"/>
          <w:sz w:val="24"/>
          <w:lang w:val="en-US" w:eastAsia="zh-CN"/>
        </w:rPr>
        <w:t>设备</w:t>
      </w:r>
    </w:p>
    <w:p w14:paraId="1FB78C4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szCs w:val="24"/>
          <w:lang w:eastAsia="zh-CN"/>
        </w:rPr>
      </w:pPr>
      <w:r>
        <w:rPr>
          <w:rFonts w:hint="default" w:ascii="Times New Roman" w:hAnsi="Times New Roman" w:eastAsia="宋体" w:cs="宋体"/>
          <w:color w:val="auto"/>
          <w:sz w:val="24"/>
          <w:szCs w:val="24"/>
          <w:lang w:eastAsia="zh-CN"/>
        </w:rPr>
        <w:t>根据本项目生产线设置水平、配套要求，综合考虑国内外同类技术设备先进性和价格比较等因素，生产线技术设备采用国产先进设备，其他配套设备、公用设施亦采用国产配套。</w:t>
      </w:r>
    </w:p>
    <w:p w14:paraId="03A2BE15">
      <w:pPr>
        <w:pStyle w:val="30"/>
        <w:spacing w:line="240" w:lineRule="auto"/>
        <w:ind w:firstLine="198" w:firstLineChars="82"/>
        <w:jc w:val="center"/>
        <w:rPr>
          <w:rFonts w:hint="eastAsia" w:ascii="Times New Roman" w:hAnsi="Times New Roman" w:eastAsia="宋体" w:cs="宋体"/>
          <w:b/>
          <w:bCs w:val="0"/>
          <w:color w:val="auto"/>
        </w:rPr>
      </w:pPr>
      <w:r>
        <w:rPr>
          <w:rFonts w:hint="eastAsia" w:ascii="Times New Roman" w:hAnsi="Times New Roman" w:eastAsia="宋体" w:cs="宋体"/>
          <w:b/>
          <w:bCs w:val="0"/>
          <w:color w:val="auto"/>
        </w:rPr>
        <w:t>表</w:t>
      </w:r>
      <w:r>
        <w:rPr>
          <w:rFonts w:hint="eastAsia" w:ascii="Times New Roman" w:hAnsi="Times New Roman" w:eastAsia="宋体" w:cs="宋体"/>
          <w:b/>
          <w:bCs w:val="0"/>
          <w:color w:val="auto"/>
          <w:lang w:val="en-US" w:eastAsia="zh-CN"/>
        </w:rPr>
        <w:t>4</w:t>
      </w:r>
      <w:r>
        <w:rPr>
          <w:rFonts w:hint="eastAsia" w:ascii="Times New Roman" w:hAnsi="Times New Roman" w:eastAsia="宋体" w:cs="宋体"/>
          <w:b/>
          <w:bCs w:val="0"/>
          <w:color w:val="auto"/>
        </w:rPr>
        <w:t>-</w:t>
      </w:r>
      <w:r>
        <w:rPr>
          <w:rFonts w:hint="eastAsia" w:ascii="Times New Roman" w:hAnsi="Times New Roman" w:eastAsia="宋体" w:cs="宋体"/>
          <w:b/>
          <w:bCs w:val="0"/>
          <w:color w:val="auto"/>
          <w:lang w:val="en-US" w:eastAsia="zh-CN"/>
        </w:rPr>
        <w:t>4   项目</w:t>
      </w:r>
      <w:r>
        <w:rPr>
          <w:rFonts w:hint="eastAsia" w:ascii="Times New Roman" w:hAnsi="Times New Roman" w:eastAsia="宋体" w:cs="宋体"/>
          <w:b/>
          <w:bCs w:val="0"/>
          <w:color w:val="auto"/>
        </w:rPr>
        <w:t>主要设备清单一览表</w:t>
      </w:r>
    </w:p>
    <w:tbl>
      <w:tblPr>
        <w:tblStyle w:val="21"/>
        <w:tblW w:w="4885"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4"/>
        <w:gridCol w:w="1110"/>
        <w:gridCol w:w="1995"/>
        <w:gridCol w:w="645"/>
        <w:gridCol w:w="735"/>
        <w:gridCol w:w="3188"/>
      </w:tblGrid>
      <w:tr w14:paraId="7F4ABF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3BC13BB5">
            <w:pPr>
              <w:pStyle w:val="31"/>
              <w:adjustRightInd w:val="0"/>
              <w:snapToGrid w:val="0"/>
              <w:spacing w:line="240" w:lineRule="auto"/>
              <w:ind w:firstLine="0" w:firstLineChars="0"/>
              <w:jc w:val="center"/>
              <w:rPr>
                <w:rFonts w:ascii="Times New Roman" w:hAnsi="Times New Roman" w:eastAsia="宋体" w:cs="宋体"/>
                <w:b/>
                <w:bCs/>
                <w:snapToGrid w:val="0"/>
                <w:color w:val="auto"/>
                <w:spacing w:val="0"/>
                <w:sz w:val="21"/>
                <w:szCs w:val="21"/>
              </w:rPr>
            </w:pPr>
            <w:r>
              <w:rPr>
                <w:rFonts w:ascii="Times New Roman" w:hAnsi="Times New Roman" w:eastAsia="宋体" w:cs="宋体"/>
                <w:b/>
                <w:bCs/>
                <w:snapToGrid w:val="0"/>
                <w:color w:val="auto"/>
                <w:spacing w:val="0"/>
                <w:sz w:val="21"/>
                <w:szCs w:val="21"/>
              </w:rPr>
              <w:t>序号</w:t>
            </w:r>
          </w:p>
        </w:tc>
        <w:tc>
          <w:tcPr>
            <w:tcW w:w="666" w:type="pct"/>
            <w:tcBorders>
              <w:tl2br w:val="nil"/>
              <w:tr2bl w:val="nil"/>
            </w:tcBorders>
            <w:noWrap w:val="0"/>
            <w:vAlign w:val="center"/>
          </w:tcPr>
          <w:p w14:paraId="4C8098B2">
            <w:pPr>
              <w:pStyle w:val="31"/>
              <w:adjustRightInd w:val="0"/>
              <w:snapToGrid w:val="0"/>
              <w:spacing w:line="240" w:lineRule="auto"/>
              <w:ind w:firstLine="0" w:firstLineChars="0"/>
              <w:jc w:val="center"/>
              <w:rPr>
                <w:rFonts w:hint="eastAsia" w:ascii="Times New Roman" w:hAnsi="Times New Roman" w:eastAsia="宋体" w:cs="宋体"/>
                <w:b/>
                <w:bCs/>
                <w:snapToGrid w:val="0"/>
                <w:color w:val="auto"/>
                <w:spacing w:val="0"/>
                <w:sz w:val="21"/>
                <w:szCs w:val="21"/>
              </w:rPr>
            </w:pPr>
            <w:r>
              <w:rPr>
                <w:rFonts w:hint="eastAsia" w:ascii="Times New Roman" w:hAnsi="Times New Roman" w:eastAsia="宋体" w:cs="宋体"/>
                <w:b/>
                <w:bCs/>
                <w:snapToGrid w:val="0"/>
                <w:color w:val="auto"/>
                <w:spacing w:val="0"/>
                <w:sz w:val="21"/>
                <w:szCs w:val="21"/>
              </w:rPr>
              <w:t>分布单元</w:t>
            </w:r>
          </w:p>
        </w:tc>
        <w:tc>
          <w:tcPr>
            <w:tcW w:w="1197" w:type="pct"/>
            <w:tcBorders>
              <w:tl2br w:val="nil"/>
              <w:tr2bl w:val="nil"/>
            </w:tcBorders>
            <w:noWrap w:val="0"/>
            <w:vAlign w:val="center"/>
          </w:tcPr>
          <w:p w14:paraId="1C287006">
            <w:pPr>
              <w:pStyle w:val="31"/>
              <w:adjustRightInd w:val="0"/>
              <w:snapToGrid w:val="0"/>
              <w:spacing w:line="240" w:lineRule="auto"/>
              <w:ind w:firstLine="0" w:firstLineChars="0"/>
              <w:jc w:val="center"/>
              <w:rPr>
                <w:rFonts w:ascii="Times New Roman" w:hAnsi="Times New Roman" w:eastAsia="宋体" w:cs="宋体"/>
                <w:b/>
                <w:bCs/>
                <w:snapToGrid w:val="0"/>
                <w:color w:val="auto"/>
                <w:spacing w:val="0"/>
                <w:sz w:val="21"/>
                <w:szCs w:val="21"/>
              </w:rPr>
            </w:pPr>
            <w:r>
              <w:rPr>
                <w:rFonts w:ascii="Times New Roman" w:hAnsi="Times New Roman" w:eastAsia="宋体" w:cs="宋体"/>
                <w:b/>
                <w:bCs/>
                <w:snapToGrid w:val="0"/>
                <w:color w:val="auto"/>
                <w:spacing w:val="0"/>
                <w:sz w:val="21"/>
                <w:szCs w:val="21"/>
              </w:rPr>
              <w:t>设备名称</w:t>
            </w:r>
          </w:p>
        </w:tc>
        <w:tc>
          <w:tcPr>
            <w:tcW w:w="387" w:type="pct"/>
            <w:tcBorders>
              <w:tl2br w:val="nil"/>
              <w:tr2bl w:val="nil"/>
            </w:tcBorders>
            <w:noWrap w:val="0"/>
            <w:vAlign w:val="center"/>
          </w:tcPr>
          <w:p w14:paraId="1D5E8524">
            <w:pPr>
              <w:pStyle w:val="31"/>
              <w:adjustRightInd w:val="0"/>
              <w:snapToGrid w:val="0"/>
              <w:spacing w:line="240" w:lineRule="auto"/>
              <w:ind w:firstLine="0" w:firstLineChars="0"/>
              <w:jc w:val="center"/>
              <w:rPr>
                <w:rFonts w:hint="eastAsia" w:ascii="Times New Roman" w:hAnsi="Times New Roman" w:eastAsia="宋体" w:cs="宋体"/>
                <w:b/>
                <w:bCs/>
                <w:snapToGrid w:val="0"/>
                <w:color w:val="auto"/>
                <w:spacing w:val="0"/>
                <w:sz w:val="21"/>
                <w:szCs w:val="21"/>
                <w:lang w:val="en-US" w:eastAsia="zh-CN"/>
              </w:rPr>
            </w:pPr>
            <w:r>
              <w:rPr>
                <w:rFonts w:hint="eastAsia" w:ascii="Times New Roman" w:hAnsi="Times New Roman" w:eastAsia="宋体" w:cs="宋体"/>
                <w:b/>
                <w:bCs/>
                <w:snapToGrid w:val="0"/>
                <w:color w:val="auto"/>
                <w:spacing w:val="0"/>
                <w:sz w:val="21"/>
                <w:szCs w:val="21"/>
                <w:lang w:val="en-US" w:eastAsia="zh-CN"/>
              </w:rPr>
              <w:t>单位</w:t>
            </w:r>
          </w:p>
        </w:tc>
        <w:tc>
          <w:tcPr>
            <w:tcW w:w="441" w:type="pct"/>
            <w:tcBorders>
              <w:tl2br w:val="nil"/>
              <w:tr2bl w:val="nil"/>
            </w:tcBorders>
            <w:noWrap w:val="0"/>
            <w:vAlign w:val="center"/>
          </w:tcPr>
          <w:p w14:paraId="63B69970">
            <w:pPr>
              <w:pStyle w:val="31"/>
              <w:adjustRightInd w:val="0"/>
              <w:snapToGrid w:val="0"/>
              <w:spacing w:line="240" w:lineRule="auto"/>
              <w:ind w:firstLine="0" w:firstLineChars="0"/>
              <w:jc w:val="center"/>
              <w:rPr>
                <w:rFonts w:ascii="Times New Roman" w:hAnsi="Times New Roman" w:eastAsia="宋体" w:cs="宋体"/>
                <w:b/>
                <w:bCs/>
                <w:snapToGrid w:val="0"/>
                <w:color w:val="auto"/>
                <w:spacing w:val="0"/>
                <w:sz w:val="21"/>
                <w:szCs w:val="21"/>
              </w:rPr>
            </w:pPr>
            <w:r>
              <w:rPr>
                <w:rFonts w:ascii="Times New Roman" w:hAnsi="Times New Roman" w:eastAsia="宋体" w:cs="宋体"/>
                <w:b/>
                <w:bCs/>
                <w:snapToGrid w:val="0"/>
                <w:color w:val="auto"/>
                <w:spacing w:val="0"/>
                <w:sz w:val="21"/>
                <w:szCs w:val="21"/>
              </w:rPr>
              <w:t>数量</w:t>
            </w:r>
          </w:p>
        </w:tc>
        <w:tc>
          <w:tcPr>
            <w:tcW w:w="1914" w:type="pct"/>
            <w:tcBorders>
              <w:tl2br w:val="nil"/>
              <w:tr2bl w:val="nil"/>
            </w:tcBorders>
            <w:noWrap w:val="0"/>
            <w:vAlign w:val="center"/>
          </w:tcPr>
          <w:p w14:paraId="3BB0CA3A">
            <w:pPr>
              <w:pStyle w:val="31"/>
              <w:adjustRightInd w:val="0"/>
              <w:snapToGrid w:val="0"/>
              <w:spacing w:line="240" w:lineRule="auto"/>
              <w:ind w:firstLine="0" w:firstLineChars="0"/>
              <w:jc w:val="center"/>
              <w:rPr>
                <w:rFonts w:ascii="Times New Roman" w:hAnsi="Times New Roman" w:eastAsia="宋体" w:cs="宋体"/>
                <w:b/>
                <w:bCs/>
                <w:snapToGrid w:val="0"/>
                <w:color w:val="auto"/>
                <w:spacing w:val="0"/>
                <w:sz w:val="21"/>
                <w:szCs w:val="21"/>
              </w:rPr>
            </w:pPr>
            <w:r>
              <w:rPr>
                <w:rFonts w:hint="eastAsia" w:ascii="Times New Roman" w:hAnsi="Times New Roman" w:eastAsia="宋体" w:cs="宋体"/>
                <w:b/>
                <w:bCs/>
                <w:snapToGrid w:val="0"/>
                <w:color w:val="auto"/>
                <w:spacing w:val="0"/>
                <w:sz w:val="21"/>
                <w:szCs w:val="21"/>
                <w:lang w:val="en-US" w:eastAsia="zh-CN"/>
              </w:rPr>
              <w:t>型号/参数</w:t>
            </w:r>
          </w:p>
        </w:tc>
      </w:tr>
      <w:tr w14:paraId="0C3142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0E3F6E54">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restart"/>
            <w:tcBorders>
              <w:tl2br w:val="nil"/>
              <w:tr2bl w:val="nil"/>
            </w:tcBorders>
            <w:noWrap w:val="0"/>
            <w:vAlign w:val="center"/>
          </w:tcPr>
          <w:p w14:paraId="0A6E8CFD">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接收清洗</w:t>
            </w:r>
          </w:p>
        </w:tc>
        <w:tc>
          <w:tcPr>
            <w:tcW w:w="1197" w:type="pct"/>
            <w:tcBorders>
              <w:tl2br w:val="nil"/>
              <w:tr2bl w:val="nil"/>
            </w:tcBorders>
            <w:noWrap w:val="0"/>
            <w:vAlign w:val="center"/>
          </w:tcPr>
          <w:p w14:paraId="662BD2C9">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输送水枪</w:t>
            </w:r>
          </w:p>
        </w:tc>
        <w:tc>
          <w:tcPr>
            <w:tcW w:w="387" w:type="pct"/>
            <w:tcBorders>
              <w:tl2br w:val="nil"/>
              <w:tr2bl w:val="nil"/>
            </w:tcBorders>
            <w:noWrap w:val="0"/>
            <w:vAlign w:val="center"/>
          </w:tcPr>
          <w:p w14:paraId="7BA50BF2">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台</w:t>
            </w:r>
          </w:p>
        </w:tc>
        <w:tc>
          <w:tcPr>
            <w:tcW w:w="441" w:type="pct"/>
            <w:tcBorders>
              <w:tl2br w:val="nil"/>
              <w:tr2bl w:val="nil"/>
            </w:tcBorders>
            <w:noWrap w:val="0"/>
            <w:vAlign w:val="center"/>
          </w:tcPr>
          <w:p w14:paraId="008F1F66">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2</w:t>
            </w:r>
          </w:p>
        </w:tc>
        <w:tc>
          <w:tcPr>
            <w:tcW w:w="1914" w:type="pct"/>
            <w:tcBorders>
              <w:tl2br w:val="nil"/>
              <w:tr2bl w:val="nil"/>
            </w:tcBorders>
            <w:noWrap w:val="0"/>
            <w:vAlign w:val="center"/>
          </w:tcPr>
          <w:p w14:paraId="38951B5F">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rPr>
              <w:t>PS80W</w:t>
            </w:r>
          </w:p>
        </w:tc>
      </w:tr>
      <w:tr w14:paraId="049D27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58D31469">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6E42AECD">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2149C854">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滚筒除石机</w:t>
            </w:r>
          </w:p>
        </w:tc>
        <w:tc>
          <w:tcPr>
            <w:tcW w:w="387" w:type="pct"/>
            <w:tcBorders>
              <w:tl2br w:val="nil"/>
              <w:tr2bl w:val="nil"/>
            </w:tcBorders>
            <w:noWrap w:val="0"/>
            <w:vAlign w:val="center"/>
          </w:tcPr>
          <w:p w14:paraId="7897CF0E">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台</w:t>
            </w:r>
          </w:p>
        </w:tc>
        <w:tc>
          <w:tcPr>
            <w:tcW w:w="441" w:type="pct"/>
            <w:tcBorders>
              <w:tl2br w:val="nil"/>
              <w:tr2bl w:val="nil"/>
            </w:tcBorders>
            <w:noWrap w:val="0"/>
            <w:vAlign w:val="center"/>
          </w:tcPr>
          <w:p w14:paraId="689475A4">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2</w:t>
            </w:r>
          </w:p>
        </w:tc>
        <w:tc>
          <w:tcPr>
            <w:tcW w:w="1914" w:type="pct"/>
            <w:tcBorders>
              <w:tl2br w:val="nil"/>
              <w:tr2bl w:val="nil"/>
            </w:tcBorders>
            <w:noWrap w:val="0"/>
            <w:vAlign w:val="center"/>
          </w:tcPr>
          <w:p w14:paraId="4EA2BD8C">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TQS-1800</w:t>
            </w:r>
          </w:p>
        </w:tc>
      </w:tr>
      <w:tr w14:paraId="5B725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28F6D74B">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792D14F2">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7DA73ADC">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滚筒脱水机</w:t>
            </w:r>
          </w:p>
        </w:tc>
        <w:tc>
          <w:tcPr>
            <w:tcW w:w="387" w:type="pct"/>
            <w:tcBorders>
              <w:tl2br w:val="nil"/>
              <w:tr2bl w:val="nil"/>
            </w:tcBorders>
            <w:noWrap w:val="0"/>
            <w:vAlign w:val="center"/>
          </w:tcPr>
          <w:p w14:paraId="3D4278A2">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台</w:t>
            </w:r>
          </w:p>
        </w:tc>
        <w:tc>
          <w:tcPr>
            <w:tcW w:w="441" w:type="pct"/>
            <w:tcBorders>
              <w:tl2br w:val="nil"/>
              <w:tr2bl w:val="nil"/>
            </w:tcBorders>
            <w:noWrap w:val="0"/>
            <w:vAlign w:val="center"/>
          </w:tcPr>
          <w:p w14:paraId="3AE5985E">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0585404B">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rPr>
              <w:t>TDW1900，φ1900*3400</w:t>
            </w:r>
          </w:p>
        </w:tc>
      </w:tr>
      <w:tr w14:paraId="2CD8CE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7E69E273">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0143EEA6">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042E94DD">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滚筒式清洗机</w:t>
            </w:r>
          </w:p>
        </w:tc>
        <w:tc>
          <w:tcPr>
            <w:tcW w:w="387" w:type="pct"/>
            <w:tcBorders>
              <w:tl2br w:val="nil"/>
              <w:tr2bl w:val="nil"/>
            </w:tcBorders>
            <w:noWrap w:val="0"/>
            <w:vAlign w:val="center"/>
          </w:tcPr>
          <w:p w14:paraId="43E711DE">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lang w:val="en-US" w:eastAsia="zh-CN"/>
              </w:rPr>
              <w:t>台</w:t>
            </w:r>
          </w:p>
        </w:tc>
        <w:tc>
          <w:tcPr>
            <w:tcW w:w="441" w:type="pct"/>
            <w:tcBorders>
              <w:tl2br w:val="nil"/>
              <w:tr2bl w:val="nil"/>
            </w:tcBorders>
            <w:noWrap w:val="0"/>
            <w:vAlign w:val="center"/>
          </w:tcPr>
          <w:p w14:paraId="60443E68">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2</w:t>
            </w:r>
          </w:p>
        </w:tc>
        <w:tc>
          <w:tcPr>
            <w:tcW w:w="1914" w:type="pct"/>
            <w:tcBorders>
              <w:tl2br w:val="nil"/>
              <w:tr2bl w:val="nil"/>
            </w:tcBorders>
            <w:noWrap w:val="0"/>
            <w:vAlign w:val="center"/>
          </w:tcPr>
          <w:p w14:paraId="1F857B09">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TWA1900，φ1900*4500</w:t>
            </w:r>
          </w:p>
        </w:tc>
      </w:tr>
      <w:tr w14:paraId="272CEE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3ABFE237">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72DA2EB6">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5BF23516">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螺旋输送机</w:t>
            </w:r>
          </w:p>
        </w:tc>
        <w:tc>
          <w:tcPr>
            <w:tcW w:w="387" w:type="pct"/>
            <w:tcBorders>
              <w:tl2br w:val="nil"/>
              <w:tr2bl w:val="nil"/>
            </w:tcBorders>
            <w:noWrap w:val="0"/>
            <w:vAlign w:val="center"/>
          </w:tcPr>
          <w:p w14:paraId="20464574">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台</w:t>
            </w:r>
          </w:p>
        </w:tc>
        <w:tc>
          <w:tcPr>
            <w:tcW w:w="441" w:type="pct"/>
            <w:tcBorders>
              <w:tl2br w:val="nil"/>
              <w:tr2bl w:val="nil"/>
            </w:tcBorders>
            <w:noWrap w:val="0"/>
            <w:vAlign w:val="center"/>
          </w:tcPr>
          <w:p w14:paraId="3ACA4C11">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2</w:t>
            </w:r>
          </w:p>
        </w:tc>
        <w:tc>
          <w:tcPr>
            <w:tcW w:w="1914" w:type="pct"/>
            <w:tcBorders>
              <w:tl2br w:val="nil"/>
              <w:tr2bl w:val="nil"/>
            </w:tcBorders>
            <w:noWrap w:val="0"/>
            <w:vAlign w:val="center"/>
          </w:tcPr>
          <w:p w14:paraId="3097595F">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输送量：70T/h</w:t>
            </w:r>
          </w:p>
        </w:tc>
      </w:tr>
      <w:tr w14:paraId="333BFE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314640BF">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6978BD5F">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27509127">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渣皮机</w:t>
            </w:r>
          </w:p>
        </w:tc>
        <w:tc>
          <w:tcPr>
            <w:tcW w:w="387" w:type="pct"/>
            <w:tcBorders>
              <w:tl2br w:val="nil"/>
              <w:tr2bl w:val="nil"/>
            </w:tcBorders>
            <w:shd w:val="clear" w:color="auto" w:fill="auto"/>
            <w:noWrap w:val="0"/>
            <w:vAlign w:val="center"/>
          </w:tcPr>
          <w:p w14:paraId="7957DE22">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kern w:val="0"/>
                <w:sz w:val="21"/>
                <w:szCs w:val="21"/>
                <w:lang w:val="en-US" w:eastAsia="zh-CN" w:bidi="ar-SA"/>
              </w:rPr>
            </w:pPr>
            <w:r>
              <w:rPr>
                <w:rFonts w:hint="eastAsia" w:ascii="Times New Roman" w:hAnsi="Times New Roman" w:eastAsia="宋体" w:cs="宋体"/>
                <w:snapToGrid w:val="0"/>
                <w:color w:val="auto"/>
                <w:spacing w:val="0"/>
                <w:sz w:val="21"/>
                <w:szCs w:val="21"/>
                <w:lang w:val="en-US" w:eastAsia="zh-CN"/>
              </w:rPr>
              <w:t>台</w:t>
            </w:r>
          </w:p>
        </w:tc>
        <w:tc>
          <w:tcPr>
            <w:tcW w:w="441" w:type="pct"/>
            <w:tcBorders>
              <w:tl2br w:val="nil"/>
              <w:tr2bl w:val="nil"/>
            </w:tcBorders>
            <w:shd w:val="clear" w:color="auto" w:fill="auto"/>
            <w:noWrap w:val="0"/>
            <w:vAlign w:val="center"/>
          </w:tcPr>
          <w:p w14:paraId="44E30959">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kern w:val="0"/>
                <w:sz w:val="21"/>
                <w:szCs w:val="21"/>
                <w:lang w:val="en-US" w:eastAsia="zh-CN" w:bidi="ar-SA"/>
              </w:rPr>
            </w:pPr>
            <w:r>
              <w:rPr>
                <w:rFonts w:hint="eastAsia" w:ascii="Times New Roman" w:hAnsi="Times New Roman" w:eastAsia="宋体" w:cs="宋体"/>
                <w:snapToGrid w:val="0"/>
                <w:color w:val="auto"/>
                <w:spacing w:val="0"/>
                <w:kern w:val="0"/>
                <w:sz w:val="21"/>
                <w:szCs w:val="21"/>
                <w:lang w:val="en-US" w:eastAsia="zh-CN" w:bidi="ar-SA"/>
              </w:rPr>
              <w:t>1</w:t>
            </w:r>
          </w:p>
        </w:tc>
        <w:tc>
          <w:tcPr>
            <w:tcW w:w="1914" w:type="pct"/>
            <w:tcBorders>
              <w:tl2br w:val="nil"/>
              <w:tr2bl w:val="nil"/>
            </w:tcBorders>
            <w:noWrap w:val="0"/>
            <w:vAlign w:val="center"/>
          </w:tcPr>
          <w:p w14:paraId="4DBE8676">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TPS2000</w:t>
            </w:r>
          </w:p>
        </w:tc>
      </w:tr>
      <w:tr w14:paraId="572F03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097AABE4">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restart"/>
            <w:tcBorders>
              <w:tl2br w:val="nil"/>
              <w:tr2bl w:val="nil"/>
            </w:tcBorders>
            <w:noWrap w:val="0"/>
            <w:vAlign w:val="center"/>
          </w:tcPr>
          <w:p w14:paraId="0BD9C614">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锉磨泵送</w:t>
            </w:r>
          </w:p>
        </w:tc>
        <w:tc>
          <w:tcPr>
            <w:tcW w:w="1197" w:type="pct"/>
            <w:tcBorders>
              <w:tl2br w:val="nil"/>
              <w:tr2bl w:val="nil"/>
            </w:tcBorders>
            <w:noWrap w:val="0"/>
            <w:vAlign w:val="center"/>
          </w:tcPr>
          <w:p w14:paraId="1F3BA1C6">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锉磨机</w:t>
            </w:r>
          </w:p>
        </w:tc>
        <w:tc>
          <w:tcPr>
            <w:tcW w:w="387" w:type="pct"/>
            <w:tcBorders>
              <w:tl2br w:val="nil"/>
              <w:tr2bl w:val="nil"/>
            </w:tcBorders>
            <w:noWrap w:val="0"/>
            <w:vAlign w:val="center"/>
          </w:tcPr>
          <w:p w14:paraId="5EE6A28E">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6DF4149C">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3</w:t>
            </w:r>
          </w:p>
        </w:tc>
        <w:tc>
          <w:tcPr>
            <w:tcW w:w="1914" w:type="pct"/>
            <w:tcBorders>
              <w:tl2br w:val="nil"/>
              <w:tr2bl w:val="nil"/>
            </w:tcBorders>
            <w:noWrap w:val="0"/>
            <w:vAlign w:val="center"/>
          </w:tcPr>
          <w:p w14:paraId="27B94655">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转子宽度：600mm，转速：</w:t>
            </w:r>
          </w:p>
          <w:p w14:paraId="698B5A9C">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2100rpm，两用一备，进口 Cooper轴承，美国 Gates 皮带；</w:t>
            </w:r>
          </w:p>
        </w:tc>
      </w:tr>
      <w:tr w14:paraId="6271BE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78D7C5AB">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6B92A585">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22D4D430">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浆料泵</w:t>
            </w:r>
          </w:p>
        </w:tc>
        <w:tc>
          <w:tcPr>
            <w:tcW w:w="387" w:type="pct"/>
            <w:tcBorders>
              <w:tl2br w:val="nil"/>
              <w:tr2bl w:val="nil"/>
            </w:tcBorders>
            <w:noWrap w:val="0"/>
            <w:vAlign w:val="center"/>
          </w:tcPr>
          <w:p w14:paraId="768CDE5D">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5F05CD58">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163B7F47">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120m</w:t>
            </w:r>
            <w:r>
              <w:rPr>
                <w:rFonts w:hint="eastAsia" w:ascii="Times New Roman" w:hAnsi="Times New Roman" w:eastAsia="宋体" w:cs="宋体"/>
                <w:snapToGrid w:val="0"/>
                <w:color w:val="auto"/>
                <w:spacing w:val="0"/>
                <w:sz w:val="21"/>
                <w:szCs w:val="21"/>
                <w:vertAlign w:val="superscript"/>
              </w:rPr>
              <w:t>3</w:t>
            </w:r>
            <w:r>
              <w:rPr>
                <w:rFonts w:hint="eastAsia" w:ascii="Times New Roman" w:hAnsi="Times New Roman" w:eastAsia="宋体" w:cs="宋体"/>
                <w:snapToGrid w:val="0"/>
                <w:color w:val="auto"/>
                <w:spacing w:val="0"/>
                <w:sz w:val="21"/>
                <w:szCs w:val="21"/>
              </w:rPr>
              <w:t>/h，3~5bar</w:t>
            </w:r>
          </w:p>
        </w:tc>
      </w:tr>
      <w:tr w14:paraId="11A244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5580D2AC">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00F6C5F9">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6138AEEC">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篮式过滤器</w:t>
            </w:r>
          </w:p>
        </w:tc>
        <w:tc>
          <w:tcPr>
            <w:tcW w:w="387" w:type="pct"/>
            <w:tcBorders>
              <w:tl2br w:val="nil"/>
              <w:tr2bl w:val="nil"/>
            </w:tcBorders>
            <w:noWrap w:val="0"/>
            <w:vAlign w:val="center"/>
          </w:tcPr>
          <w:p w14:paraId="33C57504">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62B86B16">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2</w:t>
            </w:r>
          </w:p>
        </w:tc>
        <w:tc>
          <w:tcPr>
            <w:tcW w:w="1914" w:type="pct"/>
            <w:tcBorders>
              <w:tl2br w:val="nil"/>
              <w:tr2bl w:val="nil"/>
            </w:tcBorders>
            <w:noWrap w:val="0"/>
            <w:vAlign w:val="center"/>
          </w:tcPr>
          <w:p w14:paraId="18AC04D5">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w:t>
            </w:r>
          </w:p>
        </w:tc>
      </w:tr>
      <w:tr w14:paraId="0451B3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200984E6">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restart"/>
            <w:tcBorders>
              <w:tl2br w:val="nil"/>
              <w:tr2bl w:val="nil"/>
            </w:tcBorders>
            <w:noWrap w:val="0"/>
            <w:vAlign w:val="center"/>
          </w:tcPr>
          <w:p w14:paraId="005C4FFC">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旋流除砂</w:t>
            </w:r>
          </w:p>
        </w:tc>
        <w:tc>
          <w:tcPr>
            <w:tcW w:w="1197" w:type="pct"/>
            <w:tcBorders>
              <w:tl2br w:val="nil"/>
              <w:tr2bl w:val="nil"/>
            </w:tcBorders>
            <w:noWrap w:val="0"/>
            <w:vAlign w:val="center"/>
          </w:tcPr>
          <w:p w14:paraId="5A341898">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除砂旋流器</w:t>
            </w:r>
          </w:p>
        </w:tc>
        <w:tc>
          <w:tcPr>
            <w:tcW w:w="387" w:type="pct"/>
            <w:tcBorders>
              <w:tl2br w:val="nil"/>
              <w:tr2bl w:val="nil"/>
            </w:tcBorders>
            <w:noWrap w:val="0"/>
            <w:vAlign w:val="center"/>
          </w:tcPr>
          <w:p w14:paraId="42DDFFA5">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套</w:t>
            </w:r>
          </w:p>
        </w:tc>
        <w:tc>
          <w:tcPr>
            <w:tcW w:w="441" w:type="pct"/>
            <w:tcBorders>
              <w:tl2br w:val="nil"/>
              <w:tr2bl w:val="nil"/>
            </w:tcBorders>
            <w:noWrap w:val="0"/>
            <w:vAlign w:val="center"/>
          </w:tcPr>
          <w:p w14:paraId="5BC52C93">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2</w:t>
            </w:r>
          </w:p>
        </w:tc>
        <w:tc>
          <w:tcPr>
            <w:tcW w:w="1914" w:type="pct"/>
            <w:tcBorders>
              <w:tl2br w:val="nil"/>
              <w:tr2bl w:val="nil"/>
            </w:tcBorders>
            <w:noWrap w:val="0"/>
            <w:vAlign w:val="center"/>
          </w:tcPr>
          <w:p w14:paraId="3B04FCBD">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SDS-4-150，处理量:100-120m³/h</w:t>
            </w:r>
            <w:r>
              <w:rPr>
                <w:rFonts w:hint="eastAsia" w:ascii="Times New Roman" w:hAnsi="Times New Roman" w:eastAsia="宋体" w:cs="宋体"/>
                <w:snapToGrid w:val="0"/>
                <w:color w:val="auto"/>
                <w:spacing w:val="0"/>
                <w:sz w:val="21"/>
                <w:szCs w:val="21"/>
                <w:lang w:eastAsia="zh-CN"/>
              </w:rPr>
              <w:t>；</w:t>
            </w:r>
            <w:r>
              <w:rPr>
                <w:rFonts w:hint="eastAsia" w:ascii="Times New Roman" w:hAnsi="Times New Roman" w:eastAsia="宋体" w:cs="宋体"/>
                <w:snapToGrid w:val="0"/>
                <w:color w:val="auto"/>
                <w:spacing w:val="0"/>
                <w:sz w:val="21"/>
                <w:szCs w:val="21"/>
              </w:rPr>
              <w:t>陶瓷旋流管，D=150 mm</w:t>
            </w:r>
          </w:p>
        </w:tc>
      </w:tr>
      <w:tr w14:paraId="5F40A7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578E4EE9">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67432227">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29A41397">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除砂罐</w:t>
            </w:r>
          </w:p>
        </w:tc>
        <w:tc>
          <w:tcPr>
            <w:tcW w:w="387" w:type="pct"/>
            <w:tcBorders>
              <w:tl2br w:val="nil"/>
              <w:tr2bl w:val="nil"/>
            </w:tcBorders>
            <w:noWrap w:val="0"/>
            <w:vAlign w:val="center"/>
          </w:tcPr>
          <w:p w14:paraId="2330AB37">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个</w:t>
            </w:r>
          </w:p>
        </w:tc>
        <w:tc>
          <w:tcPr>
            <w:tcW w:w="441" w:type="pct"/>
            <w:tcBorders>
              <w:tl2br w:val="nil"/>
              <w:tr2bl w:val="nil"/>
            </w:tcBorders>
            <w:noWrap w:val="0"/>
            <w:vAlign w:val="center"/>
          </w:tcPr>
          <w:p w14:paraId="6BA9B9B7">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2</w:t>
            </w:r>
          </w:p>
        </w:tc>
        <w:tc>
          <w:tcPr>
            <w:tcW w:w="1914" w:type="pct"/>
            <w:tcBorders>
              <w:tl2br w:val="nil"/>
              <w:tr2bl w:val="nil"/>
            </w:tcBorders>
            <w:noWrap w:val="0"/>
            <w:vAlign w:val="center"/>
          </w:tcPr>
          <w:p w14:paraId="0F26B226">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V=90 L</w:t>
            </w:r>
          </w:p>
        </w:tc>
      </w:tr>
      <w:tr w14:paraId="265C93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556331DE">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restart"/>
            <w:tcBorders>
              <w:tl2br w:val="nil"/>
              <w:tr2bl w:val="nil"/>
            </w:tcBorders>
            <w:noWrap w:val="0"/>
            <w:vAlign w:val="center"/>
          </w:tcPr>
          <w:p w14:paraId="4CE804BC">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离心筛分</w:t>
            </w:r>
          </w:p>
        </w:tc>
        <w:tc>
          <w:tcPr>
            <w:tcW w:w="1197" w:type="pct"/>
            <w:tcBorders>
              <w:tl2br w:val="nil"/>
              <w:tr2bl w:val="nil"/>
            </w:tcBorders>
            <w:noWrap w:val="0"/>
            <w:vAlign w:val="center"/>
          </w:tcPr>
          <w:p w14:paraId="12A2F0B9">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第一级提取离心筛</w:t>
            </w:r>
          </w:p>
        </w:tc>
        <w:tc>
          <w:tcPr>
            <w:tcW w:w="387" w:type="pct"/>
            <w:tcBorders>
              <w:tl2br w:val="nil"/>
              <w:tr2bl w:val="nil"/>
            </w:tcBorders>
            <w:noWrap w:val="0"/>
            <w:vAlign w:val="center"/>
          </w:tcPr>
          <w:p w14:paraId="47ACB9BC">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3F5794D6">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2</w:t>
            </w:r>
          </w:p>
        </w:tc>
        <w:tc>
          <w:tcPr>
            <w:tcW w:w="1914" w:type="pct"/>
            <w:tcBorders>
              <w:tl2br w:val="nil"/>
              <w:tr2bl w:val="nil"/>
            </w:tcBorders>
            <w:noWrap w:val="0"/>
            <w:vAlign w:val="center"/>
          </w:tcPr>
          <w:p w14:paraId="523CC576">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型号：TCS-1200 并联,筛篮直径:1200mm;转速:800 - 1500 rpm;新型横向进料,前后观察孔,瑞典 SKF 轴承,美国Gates 皮带</w:t>
            </w:r>
          </w:p>
        </w:tc>
      </w:tr>
      <w:tr w14:paraId="08080D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06D03958">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16E4036F">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12660B90">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消沫泵</w:t>
            </w:r>
          </w:p>
        </w:tc>
        <w:tc>
          <w:tcPr>
            <w:tcW w:w="387" w:type="pct"/>
            <w:tcBorders>
              <w:tl2br w:val="nil"/>
              <w:tr2bl w:val="nil"/>
            </w:tcBorders>
            <w:noWrap w:val="0"/>
            <w:vAlign w:val="center"/>
          </w:tcPr>
          <w:p w14:paraId="6B189738">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5A33A843">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3B73AAD8">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Q=140~160 m</w:t>
            </w:r>
            <w:r>
              <w:rPr>
                <w:rFonts w:hint="eastAsia" w:ascii="Times New Roman" w:hAnsi="Times New Roman" w:eastAsia="宋体" w:cs="宋体"/>
                <w:snapToGrid w:val="0"/>
                <w:color w:val="auto"/>
                <w:spacing w:val="0"/>
                <w:sz w:val="21"/>
                <w:szCs w:val="21"/>
                <w:vertAlign w:val="superscript"/>
              </w:rPr>
              <w:t>3</w:t>
            </w:r>
            <w:r>
              <w:rPr>
                <w:rFonts w:hint="eastAsia" w:ascii="Times New Roman" w:hAnsi="Times New Roman" w:eastAsia="宋体" w:cs="宋体"/>
                <w:snapToGrid w:val="0"/>
                <w:color w:val="auto"/>
                <w:spacing w:val="0"/>
                <w:sz w:val="21"/>
                <w:szCs w:val="21"/>
              </w:rPr>
              <w:t>/h ,2 bar</w:t>
            </w:r>
          </w:p>
        </w:tc>
      </w:tr>
      <w:tr w14:paraId="246D3A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457082E5">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4A6FC9C7">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423F55FD">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纤维泵</w:t>
            </w:r>
          </w:p>
        </w:tc>
        <w:tc>
          <w:tcPr>
            <w:tcW w:w="387" w:type="pct"/>
            <w:tcBorders>
              <w:tl2br w:val="nil"/>
              <w:tr2bl w:val="nil"/>
            </w:tcBorders>
            <w:noWrap w:val="0"/>
            <w:vAlign w:val="center"/>
          </w:tcPr>
          <w:p w14:paraId="1CA2B1E5">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065F45D9">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2</w:t>
            </w:r>
          </w:p>
        </w:tc>
        <w:tc>
          <w:tcPr>
            <w:tcW w:w="1914" w:type="pct"/>
            <w:tcBorders>
              <w:tl2br w:val="nil"/>
              <w:tr2bl w:val="nil"/>
            </w:tcBorders>
            <w:noWrap w:val="0"/>
            <w:vAlign w:val="center"/>
          </w:tcPr>
          <w:p w14:paraId="64F51E9E">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Q=90~120 m</w:t>
            </w:r>
            <w:r>
              <w:rPr>
                <w:rFonts w:hint="eastAsia" w:ascii="Times New Roman" w:hAnsi="Times New Roman" w:eastAsia="宋体" w:cs="宋体"/>
                <w:snapToGrid w:val="0"/>
                <w:color w:val="auto"/>
                <w:spacing w:val="0"/>
                <w:sz w:val="21"/>
                <w:szCs w:val="21"/>
                <w:vertAlign w:val="superscript"/>
              </w:rPr>
              <w:t>3</w:t>
            </w:r>
            <w:r>
              <w:rPr>
                <w:rFonts w:hint="eastAsia" w:ascii="Times New Roman" w:hAnsi="Times New Roman" w:eastAsia="宋体" w:cs="宋体"/>
                <w:snapToGrid w:val="0"/>
                <w:color w:val="auto"/>
                <w:spacing w:val="0"/>
                <w:sz w:val="21"/>
                <w:szCs w:val="21"/>
              </w:rPr>
              <w:t>/h ,2 bar</w:t>
            </w:r>
          </w:p>
        </w:tc>
      </w:tr>
      <w:tr w14:paraId="6F8255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3186D494">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4CA0E557">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31DBEE7A">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第二级提取离心筛</w:t>
            </w:r>
          </w:p>
        </w:tc>
        <w:tc>
          <w:tcPr>
            <w:tcW w:w="387" w:type="pct"/>
            <w:tcBorders>
              <w:tl2br w:val="nil"/>
              <w:tr2bl w:val="nil"/>
            </w:tcBorders>
            <w:noWrap w:val="0"/>
            <w:vAlign w:val="center"/>
          </w:tcPr>
          <w:p w14:paraId="6490A383">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3AC87EEF">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1914" w:type="pct"/>
            <w:tcBorders>
              <w:tl2br w:val="nil"/>
              <w:tr2bl w:val="nil"/>
            </w:tcBorders>
            <w:noWrap w:val="0"/>
            <w:vAlign w:val="center"/>
          </w:tcPr>
          <w:p w14:paraId="5B08FAD5">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型号：TCS-1200,筛篮直径:1200mm;转速:800 - 1500 rpm;新型横向进料,前后观察孔,瑞典 SKF 轴承,美国Gates 皮带</w:t>
            </w:r>
          </w:p>
        </w:tc>
      </w:tr>
      <w:tr w14:paraId="169364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188E7FB4">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1956A5A7">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shd w:val="clear" w:color="auto" w:fill="auto"/>
            <w:noWrap w:val="0"/>
            <w:vAlign w:val="center"/>
          </w:tcPr>
          <w:p w14:paraId="010FF962">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kern w:val="0"/>
                <w:sz w:val="21"/>
                <w:szCs w:val="21"/>
                <w:lang w:val="en-US" w:eastAsia="en-US" w:bidi="ar-SA"/>
              </w:rPr>
            </w:pPr>
            <w:r>
              <w:rPr>
                <w:rFonts w:hint="eastAsia" w:ascii="Times New Roman" w:hAnsi="Times New Roman" w:eastAsia="宋体" w:cs="宋体"/>
                <w:snapToGrid w:val="0"/>
                <w:color w:val="auto"/>
                <w:spacing w:val="0"/>
                <w:sz w:val="21"/>
                <w:szCs w:val="21"/>
              </w:rPr>
              <w:t>消沫泵</w:t>
            </w:r>
          </w:p>
        </w:tc>
        <w:tc>
          <w:tcPr>
            <w:tcW w:w="387" w:type="pct"/>
            <w:tcBorders>
              <w:tl2br w:val="nil"/>
              <w:tr2bl w:val="nil"/>
            </w:tcBorders>
            <w:shd w:val="clear" w:color="auto" w:fill="auto"/>
            <w:noWrap w:val="0"/>
            <w:vAlign w:val="center"/>
          </w:tcPr>
          <w:p w14:paraId="296BFE99">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kern w:val="0"/>
                <w:sz w:val="21"/>
                <w:szCs w:val="21"/>
                <w:lang w:val="en-US" w:eastAsia="en-US" w:bidi="ar-SA"/>
              </w:rPr>
            </w:pPr>
          </w:p>
        </w:tc>
        <w:tc>
          <w:tcPr>
            <w:tcW w:w="441" w:type="pct"/>
            <w:tcBorders>
              <w:tl2br w:val="nil"/>
              <w:tr2bl w:val="nil"/>
            </w:tcBorders>
            <w:shd w:val="clear" w:color="auto" w:fill="auto"/>
            <w:noWrap w:val="0"/>
            <w:vAlign w:val="center"/>
          </w:tcPr>
          <w:p w14:paraId="4F15E236">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kern w:val="0"/>
                <w:sz w:val="21"/>
                <w:szCs w:val="21"/>
                <w:lang w:val="en-US" w:eastAsia="zh-CN" w:bidi="ar-SA"/>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shd w:val="clear" w:color="auto" w:fill="auto"/>
            <w:noWrap w:val="0"/>
            <w:vAlign w:val="center"/>
          </w:tcPr>
          <w:p w14:paraId="10FFA00F">
            <w:pPr>
              <w:pStyle w:val="31"/>
              <w:adjustRightInd w:val="0"/>
              <w:snapToGrid w:val="0"/>
              <w:spacing w:line="240" w:lineRule="auto"/>
              <w:ind w:firstLine="0" w:firstLineChars="0"/>
              <w:jc w:val="center"/>
              <w:rPr>
                <w:rFonts w:ascii="Times New Roman" w:hAnsi="Times New Roman" w:eastAsia="宋体" w:cs="宋体"/>
                <w:snapToGrid w:val="0"/>
                <w:color w:val="auto"/>
                <w:spacing w:val="0"/>
                <w:kern w:val="0"/>
                <w:sz w:val="21"/>
                <w:szCs w:val="21"/>
                <w:lang w:val="en-US" w:eastAsia="en-US" w:bidi="ar-SA"/>
              </w:rPr>
            </w:pPr>
            <w:r>
              <w:rPr>
                <w:rFonts w:hint="eastAsia" w:ascii="Times New Roman" w:hAnsi="Times New Roman" w:eastAsia="宋体" w:cs="宋体"/>
                <w:snapToGrid w:val="0"/>
                <w:color w:val="auto"/>
                <w:spacing w:val="0"/>
                <w:sz w:val="21"/>
                <w:szCs w:val="21"/>
              </w:rPr>
              <w:t>Q=</w:t>
            </w:r>
            <w:r>
              <w:rPr>
                <w:rFonts w:hint="eastAsia" w:ascii="Times New Roman" w:hAnsi="Times New Roman" w:eastAsia="宋体" w:cs="宋体"/>
                <w:snapToGrid w:val="0"/>
                <w:color w:val="auto"/>
                <w:spacing w:val="0"/>
                <w:sz w:val="21"/>
                <w:szCs w:val="21"/>
                <w:lang w:val="en-US" w:eastAsia="zh-CN"/>
              </w:rPr>
              <w:t>90</w:t>
            </w:r>
            <w:r>
              <w:rPr>
                <w:rFonts w:hint="eastAsia" w:ascii="Times New Roman" w:hAnsi="Times New Roman" w:eastAsia="宋体" w:cs="宋体"/>
                <w:snapToGrid w:val="0"/>
                <w:color w:val="auto"/>
                <w:spacing w:val="0"/>
                <w:sz w:val="21"/>
                <w:szCs w:val="21"/>
              </w:rPr>
              <w:t>~1</w:t>
            </w:r>
            <w:r>
              <w:rPr>
                <w:rFonts w:hint="eastAsia" w:ascii="Times New Roman" w:hAnsi="Times New Roman" w:eastAsia="宋体" w:cs="宋体"/>
                <w:snapToGrid w:val="0"/>
                <w:color w:val="auto"/>
                <w:spacing w:val="0"/>
                <w:sz w:val="21"/>
                <w:szCs w:val="21"/>
                <w:lang w:val="en-US" w:eastAsia="zh-CN"/>
              </w:rPr>
              <w:t>2</w:t>
            </w:r>
            <w:r>
              <w:rPr>
                <w:rFonts w:hint="eastAsia" w:ascii="Times New Roman" w:hAnsi="Times New Roman" w:eastAsia="宋体" w:cs="宋体"/>
                <w:snapToGrid w:val="0"/>
                <w:color w:val="auto"/>
                <w:spacing w:val="0"/>
                <w:sz w:val="21"/>
                <w:szCs w:val="21"/>
              </w:rPr>
              <w:t>0 m</w:t>
            </w:r>
            <w:r>
              <w:rPr>
                <w:rFonts w:hint="eastAsia" w:ascii="Times New Roman" w:hAnsi="Times New Roman" w:eastAsia="宋体" w:cs="宋体"/>
                <w:snapToGrid w:val="0"/>
                <w:color w:val="auto"/>
                <w:spacing w:val="0"/>
                <w:sz w:val="21"/>
                <w:szCs w:val="21"/>
                <w:vertAlign w:val="superscript"/>
              </w:rPr>
              <w:t>3</w:t>
            </w:r>
            <w:r>
              <w:rPr>
                <w:rFonts w:hint="eastAsia" w:ascii="Times New Roman" w:hAnsi="Times New Roman" w:eastAsia="宋体" w:cs="宋体"/>
                <w:snapToGrid w:val="0"/>
                <w:color w:val="auto"/>
                <w:spacing w:val="0"/>
                <w:sz w:val="21"/>
                <w:szCs w:val="21"/>
              </w:rPr>
              <w:t>/h ,2 bar</w:t>
            </w:r>
          </w:p>
        </w:tc>
      </w:tr>
      <w:tr w14:paraId="101AFB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238712B5">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740C5AEF">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shd w:val="clear" w:color="auto" w:fill="auto"/>
            <w:noWrap w:val="0"/>
            <w:vAlign w:val="center"/>
          </w:tcPr>
          <w:p w14:paraId="18671C1D">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kern w:val="0"/>
                <w:sz w:val="21"/>
                <w:szCs w:val="21"/>
                <w:lang w:val="en-US" w:eastAsia="en-US" w:bidi="ar-SA"/>
              </w:rPr>
            </w:pPr>
            <w:r>
              <w:rPr>
                <w:rFonts w:hint="eastAsia" w:ascii="Times New Roman" w:hAnsi="Times New Roman" w:eastAsia="宋体" w:cs="宋体"/>
                <w:snapToGrid w:val="0"/>
                <w:color w:val="auto"/>
                <w:spacing w:val="0"/>
                <w:sz w:val="21"/>
                <w:szCs w:val="21"/>
              </w:rPr>
              <w:t>纤维泵</w:t>
            </w:r>
          </w:p>
        </w:tc>
        <w:tc>
          <w:tcPr>
            <w:tcW w:w="387" w:type="pct"/>
            <w:tcBorders>
              <w:tl2br w:val="nil"/>
              <w:tr2bl w:val="nil"/>
            </w:tcBorders>
            <w:shd w:val="clear" w:color="auto" w:fill="auto"/>
            <w:noWrap w:val="0"/>
            <w:vAlign w:val="center"/>
          </w:tcPr>
          <w:p w14:paraId="2B7AEA2B">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kern w:val="0"/>
                <w:sz w:val="21"/>
                <w:szCs w:val="21"/>
                <w:lang w:val="en-US" w:eastAsia="en-US" w:bidi="ar-SA"/>
              </w:rPr>
            </w:pPr>
          </w:p>
        </w:tc>
        <w:tc>
          <w:tcPr>
            <w:tcW w:w="441" w:type="pct"/>
            <w:tcBorders>
              <w:tl2br w:val="nil"/>
              <w:tr2bl w:val="nil"/>
            </w:tcBorders>
            <w:shd w:val="clear" w:color="auto" w:fill="auto"/>
            <w:noWrap w:val="0"/>
            <w:vAlign w:val="center"/>
          </w:tcPr>
          <w:p w14:paraId="08DD7C40">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kern w:val="0"/>
                <w:sz w:val="21"/>
                <w:szCs w:val="21"/>
                <w:lang w:val="en-US" w:eastAsia="zh-CN" w:bidi="ar-SA"/>
              </w:rPr>
            </w:pPr>
            <w:r>
              <w:rPr>
                <w:rFonts w:hint="eastAsia" w:ascii="Times New Roman" w:hAnsi="Times New Roman" w:eastAsia="宋体" w:cs="宋体"/>
                <w:snapToGrid w:val="0"/>
                <w:color w:val="auto"/>
                <w:spacing w:val="0"/>
                <w:kern w:val="0"/>
                <w:sz w:val="21"/>
                <w:szCs w:val="21"/>
                <w:lang w:val="en-US" w:eastAsia="zh-CN" w:bidi="ar-SA"/>
              </w:rPr>
              <w:t>1</w:t>
            </w:r>
          </w:p>
        </w:tc>
        <w:tc>
          <w:tcPr>
            <w:tcW w:w="1914" w:type="pct"/>
            <w:tcBorders>
              <w:tl2br w:val="nil"/>
              <w:tr2bl w:val="nil"/>
            </w:tcBorders>
            <w:shd w:val="clear" w:color="auto" w:fill="auto"/>
            <w:noWrap w:val="0"/>
            <w:vAlign w:val="center"/>
          </w:tcPr>
          <w:p w14:paraId="7F201379">
            <w:pPr>
              <w:pStyle w:val="31"/>
              <w:adjustRightInd w:val="0"/>
              <w:snapToGrid w:val="0"/>
              <w:spacing w:line="240" w:lineRule="auto"/>
              <w:ind w:firstLine="0" w:firstLineChars="0"/>
              <w:jc w:val="center"/>
              <w:rPr>
                <w:rFonts w:ascii="Times New Roman" w:hAnsi="Times New Roman" w:eastAsia="宋体" w:cs="宋体"/>
                <w:snapToGrid w:val="0"/>
                <w:color w:val="auto"/>
                <w:spacing w:val="0"/>
                <w:kern w:val="0"/>
                <w:sz w:val="21"/>
                <w:szCs w:val="21"/>
                <w:lang w:val="en-US" w:eastAsia="en-US" w:bidi="ar-SA"/>
              </w:rPr>
            </w:pPr>
            <w:r>
              <w:rPr>
                <w:rFonts w:hint="eastAsia" w:ascii="Times New Roman" w:hAnsi="Times New Roman" w:eastAsia="宋体" w:cs="宋体"/>
                <w:snapToGrid w:val="0"/>
                <w:color w:val="auto"/>
                <w:spacing w:val="0"/>
                <w:sz w:val="21"/>
                <w:szCs w:val="21"/>
              </w:rPr>
              <w:t>Q=90~120 m</w:t>
            </w:r>
            <w:r>
              <w:rPr>
                <w:rFonts w:hint="eastAsia" w:ascii="Times New Roman" w:hAnsi="Times New Roman" w:eastAsia="宋体" w:cs="宋体"/>
                <w:snapToGrid w:val="0"/>
                <w:color w:val="auto"/>
                <w:spacing w:val="0"/>
                <w:sz w:val="21"/>
                <w:szCs w:val="21"/>
                <w:vertAlign w:val="superscript"/>
              </w:rPr>
              <w:t>3</w:t>
            </w:r>
            <w:r>
              <w:rPr>
                <w:rFonts w:hint="eastAsia" w:ascii="Times New Roman" w:hAnsi="Times New Roman" w:eastAsia="宋体" w:cs="宋体"/>
                <w:snapToGrid w:val="0"/>
                <w:color w:val="auto"/>
                <w:spacing w:val="0"/>
                <w:sz w:val="21"/>
                <w:szCs w:val="21"/>
              </w:rPr>
              <w:t>/h ,2 bar</w:t>
            </w:r>
          </w:p>
        </w:tc>
      </w:tr>
      <w:tr w14:paraId="653341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2B7D6561">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39B9E173">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shd w:val="clear" w:color="auto" w:fill="auto"/>
            <w:noWrap w:val="0"/>
            <w:vAlign w:val="center"/>
          </w:tcPr>
          <w:p w14:paraId="0DB92ABB">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kern w:val="0"/>
                <w:sz w:val="21"/>
                <w:szCs w:val="21"/>
                <w:lang w:val="en-US" w:eastAsia="en-US" w:bidi="ar-SA"/>
              </w:rPr>
            </w:pPr>
            <w:r>
              <w:rPr>
                <w:rFonts w:hint="eastAsia" w:ascii="Times New Roman" w:hAnsi="Times New Roman" w:eastAsia="宋体" w:cs="宋体"/>
                <w:snapToGrid w:val="0"/>
                <w:color w:val="auto"/>
                <w:spacing w:val="0"/>
                <w:sz w:val="21"/>
                <w:szCs w:val="21"/>
              </w:rPr>
              <w:t>第</w:t>
            </w:r>
            <w:r>
              <w:rPr>
                <w:rFonts w:hint="eastAsia" w:ascii="Times New Roman" w:hAnsi="Times New Roman" w:eastAsia="宋体" w:cs="宋体"/>
                <w:snapToGrid w:val="0"/>
                <w:color w:val="auto"/>
                <w:spacing w:val="0"/>
                <w:sz w:val="21"/>
                <w:szCs w:val="21"/>
                <w:lang w:val="en-US" w:eastAsia="zh-CN"/>
              </w:rPr>
              <w:t>三</w:t>
            </w:r>
            <w:r>
              <w:rPr>
                <w:rFonts w:hint="eastAsia" w:ascii="Times New Roman" w:hAnsi="Times New Roman" w:eastAsia="宋体" w:cs="宋体"/>
                <w:snapToGrid w:val="0"/>
                <w:color w:val="auto"/>
                <w:spacing w:val="0"/>
                <w:sz w:val="21"/>
                <w:szCs w:val="21"/>
              </w:rPr>
              <w:t>级提取离心筛</w:t>
            </w:r>
          </w:p>
        </w:tc>
        <w:tc>
          <w:tcPr>
            <w:tcW w:w="387" w:type="pct"/>
            <w:tcBorders>
              <w:tl2br w:val="nil"/>
              <w:tr2bl w:val="nil"/>
            </w:tcBorders>
            <w:shd w:val="clear" w:color="auto" w:fill="auto"/>
            <w:noWrap w:val="0"/>
            <w:vAlign w:val="center"/>
          </w:tcPr>
          <w:p w14:paraId="533E01C9">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kern w:val="0"/>
                <w:sz w:val="21"/>
                <w:szCs w:val="21"/>
                <w:lang w:val="en-US" w:eastAsia="en-US" w:bidi="ar-SA"/>
              </w:rPr>
            </w:pPr>
          </w:p>
        </w:tc>
        <w:tc>
          <w:tcPr>
            <w:tcW w:w="441" w:type="pct"/>
            <w:tcBorders>
              <w:tl2br w:val="nil"/>
              <w:tr2bl w:val="nil"/>
            </w:tcBorders>
            <w:shd w:val="clear" w:color="auto" w:fill="auto"/>
            <w:noWrap w:val="0"/>
            <w:vAlign w:val="center"/>
          </w:tcPr>
          <w:p w14:paraId="16A2A68E">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kern w:val="0"/>
                <w:sz w:val="21"/>
                <w:szCs w:val="21"/>
                <w:lang w:val="en-US" w:eastAsia="zh-CN" w:bidi="ar-SA"/>
              </w:rPr>
            </w:pPr>
            <w:r>
              <w:rPr>
                <w:rFonts w:hint="eastAsia" w:ascii="Times New Roman" w:hAnsi="Times New Roman" w:eastAsia="宋体" w:cs="宋体"/>
                <w:snapToGrid w:val="0"/>
                <w:color w:val="auto"/>
                <w:spacing w:val="0"/>
                <w:kern w:val="0"/>
                <w:sz w:val="21"/>
                <w:szCs w:val="21"/>
                <w:lang w:val="en-US" w:eastAsia="zh-CN" w:bidi="ar-SA"/>
              </w:rPr>
              <w:t>1</w:t>
            </w:r>
          </w:p>
        </w:tc>
        <w:tc>
          <w:tcPr>
            <w:tcW w:w="1914" w:type="pct"/>
            <w:tcBorders>
              <w:tl2br w:val="nil"/>
              <w:tr2bl w:val="nil"/>
            </w:tcBorders>
            <w:shd w:val="clear" w:color="auto" w:fill="auto"/>
            <w:noWrap w:val="0"/>
            <w:vAlign w:val="center"/>
          </w:tcPr>
          <w:p w14:paraId="33EC8342">
            <w:pPr>
              <w:pStyle w:val="31"/>
              <w:adjustRightInd w:val="0"/>
              <w:snapToGrid w:val="0"/>
              <w:spacing w:line="240" w:lineRule="auto"/>
              <w:ind w:firstLine="0" w:firstLineChars="0"/>
              <w:jc w:val="center"/>
              <w:rPr>
                <w:rFonts w:ascii="Times New Roman" w:hAnsi="Times New Roman" w:eastAsia="宋体" w:cs="宋体"/>
                <w:snapToGrid w:val="0"/>
                <w:color w:val="auto"/>
                <w:spacing w:val="0"/>
                <w:kern w:val="0"/>
                <w:sz w:val="21"/>
                <w:szCs w:val="21"/>
                <w:lang w:val="en-US" w:eastAsia="en-US" w:bidi="ar-SA"/>
              </w:rPr>
            </w:pPr>
            <w:r>
              <w:rPr>
                <w:rFonts w:hint="eastAsia" w:ascii="Times New Roman" w:hAnsi="Times New Roman" w:eastAsia="宋体" w:cs="宋体"/>
                <w:snapToGrid w:val="0"/>
                <w:color w:val="auto"/>
                <w:spacing w:val="0"/>
                <w:sz w:val="21"/>
                <w:szCs w:val="21"/>
              </w:rPr>
              <w:t>型号：TCS-1200,筛篮直径:1200mm;转速:800 - 1500 rpm;新型横向进料,前后观察孔,瑞典 SKF 轴承,美国Gates 皮带</w:t>
            </w:r>
          </w:p>
        </w:tc>
      </w:tr>
      <w:tr w14:paraId="6EE04E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5F2219AD">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0C6CCF7E">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shd w:val="clear" w:color="auto" w:fill="auto"/>
            <w:noWrap w:val="0"/>
            <w:vAlign w:val="center"/>
          </w:tcPr>
          <w:p w14:paraId="559C3A70">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kern w:val="0"/>
                <w:sz w:val="21"/>
                <w:szCs w:val="21"/>
                <w:lang w:val="en-US" w:eastAsia="en-US" w:bidi="ar-SA"/>
              </w:rPr>
            </w:pPr>
            <w:r>
              <w:rPr>
                <w:rFonts w:hint="eastAsia" w:ascii="Times New Roman" w:hAnsi="Times New Roman" w:eastAsia="宋体" w:cs="宋体"/>
                <w:snapToGrid w:val="0"/>
                <w:color w:val="auto"/>
                <w:spacing w:val="0"/>
                <w:sz w:val="21"/>
                <w:szCs w:val="21"/>
              </w:rPr>
              <w:t>消沫泵</w:t>
            </w:r>
          </w:p>
        </w:tc>
        <w:tc>
          <w:tcPr>
            <w:tcW w:w="387" w:type="pct"/>
            <w:tcBorders>
              <w:tl2br w:val="nil"/>
              <w:tr2bl w:val="nil"/>
            </w:tcBorders>
            <w:shd w:val="clear" w:color="auto" w:fill="auto"/>
            <w:noWrap w:val="0"/>
            <w:vAlign w:val="center"/>
          </w:tcPr>
          <w:p w14:paraId="6AC13D3E">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kern w:val="0"/>
                <w:sz w:val="21"/>
                <w:szCs w:val="21"/>
                <w:lang w:val="en-US" w:eastAsia="en-US" w:bidi="ar-SA"/>
              </w:rPr>
            </w:pPr>
          </w:p>
        </w:tc>
        <w:tc>
          <w:tcPr>
            <w:tcW w:w="441" w:type="pct"/>
            <w:tcBorders>
              <w:tl2br w:val="nil"/>
              <w:tr2bl w:val="nil"/>
            </w:tcBorders>
            <w:shd w:val="clear" w:color="auto" w:fill="auto"/>
            <w:noWrap w:val="0"/>
            <w:vAlign w:val="center"/>
          </w:tcPr>
          <w:p w14:paraId="6808C63F">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kern w:val="0"/>
                <w:sz w:val="21"/>
                <w:szCs w:val="21"/>
                <w:lang w:val="en-US" w:eastAsia="zh-CN" w:bidi="ar-SA"/>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shd w:val="clear" w:color="auto" w:fill="auto"/>
            <w:noWrap w:val="0"/>
            <w:vAlign w:val="center"/>
          </w:tcPr>
          <w:p w14:paraId="4711A884">
            <w:pPr>
              <w:pStyle w:val="31"/>
              <w:adjustRightInd w:val="0"/>
              <w:snapToGrid w:val="0"/>
              <w:spacing w:line="240" w:lineRule="auto"/>
              <w:ind w:firstLine="0" w:firstLineChars="0"/>
              <w:jc w:val="center"/>
              <w:rPr>
                <w:rFonts w:ascii="Times New Roman" w:hAnsi="Times New Roman" w:eastAsia="宋体" w:cs="宋体"/>
                <w:snapToGrid w:val="0"/>
                <w:color w:val="auto"/>
                <w:spacing w:val="0"/>
                <w:kern w:val="0"/>
                <w:sz w:val="21"/>
                <w:szCs w:val="21"/>
                <w:lang w:val="en-US" w:eastAsia="en-US" w:bidi="ar-SA"/>
              </w:rPr>
            </w:pPr>
            <w:r>
              <w:rPr>
                <w:rFonts w:hint="eastAsia" w:ascii="Times New Roman" w:hAnsi="Times New Roman" w:eastAsia="宋体" w:cs="宋体"/>
                <w:snapToGrid w:val="0"/>
                <w:color w:val="auto"/>
                <w:spacing w:val="0"/>
                <w:sz w:val="21"/>
                <w:szCs w:val="21"/>
              </w:rPr>
              <w:t>Q=</w:t>
            </w:r>
            <w:r>
              <w:rPr>
                <w:rFonts w:hint="eastAsia" w:ascii="Times New Roman" w:hAnsi="Times New Roman" w:eastAsia="宋体" w:cs="宋体"/>
                <w:snapToGrid w:val="0"/>
                <w:color w:val="auto"/>
                <w:spacing w:val="0"/>
                <w:sz w:val="21"/>
                <w:szCs w:val="21"/>
                <w:lang w:val="en-US" w:eastAsia="zh-CN"/>
              </w:rPr>
              <w:t>90</w:t>
            </w:r>
            <w:r>
              <w:rPr>
                <w:rFonts w:hint="eastAsia" w:ascii="Times New Roman" w:hAnsi="Times New Roman" w:eastAsia="宋体" w:cs="宋体"/>
                <w:snapToGrid w:val="0"/>
                <w:color w:val="auto"/>
                <w:spacing w:val="0"/>
                <w:sz w:val="21"/>
                <w:szCs w:val="21"/>
              </w:rPr>
              <w:t>~</w:t>
            </w:r>
            <w:r>
              <w:rPr>
                <w:rFonts w:hint="eastAsia" w:ascii="Times New Roman" w:hAnsi="Times New Roman" w:eastAsia="宋体" w:cs="宋体"/>
                <w:snapToGrid w:val="0"/>
                <w:color w:val="auto"/>
                <w:spacing w:val="0"/>
                <w:sz w:val="21"/>
                <w:szCs w:val="21"/>
                <w:lang w:val="en-US" w:eastAsia="zh-CN"/>
              </w:rPr>
              <w:t>120</w:t>
            </w:r>
            <w:r>
              <w:rPr>
                <w:rFonts w:hint="eastAsia" w:ascii="Times New Roman" w:hAnsi="Times New Roman" w:eastAsia="宋体" w:cs="宋体"/>
                <w:snapToGrid w:val="0"/>
                <w:color w:val="auto"/>
                <w:spacing w:val="0"/>
                <w:sz w:val="21"/>
                <w:szCs w:val="21"/>
              </w:rPr>
              <w:t xml:space="preserve"> m</w:t>
            </w:r>
            <w:r>
              <w:rPr>
                <w:rFonts w:hint="eastAsia" w:ascii="Times New Roman" w:hAnsi="Times New Roman" w:eastAsia="宋体" w:cs="宋体"/>
                <w:snapToGrid w:val="0"/>
                <w:color w:val="auto"/>
                <w:spacing w:val="0"/>
                <w:sz w:val="21"/>
                <w:szCs w:val="21"/>
                <w:vertAlign w:val="superscript"/>
              </w:rPr>
              <w:t>3</w:t>
            </w:r>
            <w:r>
              <w:rPr>
                <w:rFonts w:hint="eastAsia" w:ascii="Times New Roman" w:hAnsi="Times New Roman" w:eastAsia="宋体" w:cs="宋体"/>
                <w:snapToGrid w:val="0"/>
                <w:color w:val="auto"/>
                <w:spacing w:val="0"/>
                <w:sz w:val="21"/>
                <w:szCs w:val="21"/>
              </w:rPr>
              <w:t>/h ,2 bar</w:t>
            </w:r>
          </w:p>
        </w:tc>
      </w:tr>
      <w:tr w14:paraId="56A8A7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2E9EC1BF">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6093CB11">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shd w:val="clear" w:color="auto" w:fill="auto"/>
            <w:noWrap w:val="0"/>
            <w:vAlign w:val="center"/>
          </w:tcPr>
          <w:p w14:paraId="7C9662D9">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kern w:val="0"/>
                <w:sz w:val="21"/>
                <w:szCs w:val="21"/>
                <w:lang w:val="en-US" w:eastAsia="en-US" w:bidi="ar-SA"/>
              </w:rPr>
            </w:pPr>
            <w:r>
              <w:rPr>
                <w:rFonts w:hint="eastAsia" w:ascii="Times New Roman" w:hAnsi="Times New Roman" w:eastAsia="宋体" w:cs="宋体"/>
                <w:snapToGrid w:val="0"/>
                <w:color w:val="auto"/>
                <w:spacing w:val="0"/>
                <w:sz w:val="21"/>
                <w:szCs w:val="21"/>
              </w:rPr>
              <w:t>纤维泵</w:t>
            </w:r>
          </w:p>
        </w:tc>
        <w:tc>
          <w:tcPr>
            <w:tcW w:w="387" w:type="pct"/>
            <w:tcBorders>
              <w:tl2br w:val="nil"/>
              <w:tr2bl w:val="nil"/>
            </w:tcBorders>
            <w:shd w:val="clear" w:color="auto" w:fill="auto"/>
            <w:noWrap w:val="0"/>
            <w:vAlign w:val="center"/>
          </w:tcPr>
          <w:p w14:paraId="6731AB36">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kern w:val="0"/>
                <w:sz w:val="21"/>
                <w:szCs w:val="21"/>
                <w:lang w:val="en-US" w:eastAsia="en-US" w:bidi="ar-SA"/>
              </w:rPr>
            </w:pPr>
          </w:p>
        </w:tc>
        <w:tc>
          <w:tcPr>
            <w:tcW w:w="441" w:type="pct"/>
            <w:tcBorders>
              <w:tl2br w:val="nil"/>
              <w:tr2bl w:val="nil"/>
            </w:tcBorders>
            <w:shd w:val="clear" w:color="auto" w:fill="auto"/>
            <w:noWrap w:val="0"/>
            <w:vAlign w:val="center"/>
          </w:tcPr>
          <w:p w14:paraId="21AFE1B3">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kern w:val="0"/>
                <w:sz w:val="21"/>
                <w:szCs w:val="21"/>
                <w:lang w:val="en-US" w:eastAsia="zh-CN" w:bidi="ar-SA"/>
              </w:rPr>
            </w:pPr>
            <w:r>
              <w:rPr>
                <w:rFonts w:hint="eastAsia" w:ascii="Times New Roman" w:hAnsi="Times New Roman" w:eastAsia="宋体" w:cs="宋体"/>
                <w:snapToGrid w:val="0"/>
                <w:color w:val="auto"/>
                <w:spacing w:val="0"/>
                <w:kern w:val="0"/>
                <w:sz w:val="21"/>
                <w:szCs w:val="21"/>
                <w:lang w:val="en-US" w:eastAsia="zh-CN" w:bidi="ar-SA"/>
              </w:rPr>
              <w:t>1</w:t>
            </w:r>
          </w:p>
        </w:tc>
        <w:tc>
          <w:tcPr>
            <w:tcW w:w="1914" w:type="pct"/>
            <w:tcBorders>
              <w:tl2br w:val="nil"/>
              <w:tr2bl w:val="nil"/>
            </w:tcBorders>
            <w:shd w:val="clear" w:color="auto" w:fill="auto"/>
            <w:noWrap w:val="0"/>
            <w:vAlign w:val="center"/>
          </w:tcPr>
          <w:p w14:paraId="1FF36A93">
            <w:pPr>
              <w:pStyle w:val="31"/>
              <w:adjustRightInd w:val="0"/>
              <w:snapToGrid w:val="0"/>
              <w:spacing w:line="240" w:lineRule="auto"/>
              <w:ind w:firstLine="0" w:firstLineChars="0"/>
              <w:jc w:val="center"/>
              <w:rPr>
                <w:rFonts w:ascii="Times New Roman" w:hAnsi="Times New Roman" w:eastAsia="宋体" w:cs="宋体"/>
                <w:snapToGrid w:val="0"/>
                <w:color w:val="auto"/>
                <w:spacing w:val="0"/>
                <w:kern w:val="0"/>
                <w:sz w:val="21"/>
                <w:szCs w:val="21"/>
                <w:lang w:val="en-US" w:eastAsia="en-US" w:bidi="ar-SA"/>
              </w:rPr>
            </w:pPr>
            <w:r>
              <w:rPr>
                <w:rFonts w:hint="eastAsia" w:ascii="Times New Roman" w:hAnsi="Times New Roman" w:eastAsia="宋体" w:cs="宋体"/>
                <w:snapToGrid w:val="0"/>
                <w:color w:val="auto"/>
                <w:spacing w:val="0"/>
                <w:sz w:val="21"/>
                <w:szCs w:val="21"/>
              </w:rPr>
              <w:t>Q=90~120 m</w:t>
            </w:r>
            <w:r>
              <w:rPr>
                <w:rFonts w:hint="eastAsia" w:ascii="Times New Roman" w:hAnsi="Times New Roman" w:eastAsia="宋体" w:cs="宋体"/>
                <w:snapToGrid w:val="0"/>
                <w:color w:val="auto"/>
                <w:spacing w:val="0"/>
                <w:sz w:val="21"/>
                <w:szCs w:val="21"/>
                <w:vertAlign w:val="superscript"/>
              </w:rPr>
              <w:t>3</w:t>
            </w:r>
            <w:r>
              <w:rPr>
                <w:rFonts w:hint="eastAsia" w:ascii="Times New Roman" w:hAnsi="Times New Roman" w:eastAsia="宋体" w:cs="宋体"/>
                <w:snapToGrid w:val="0"/>
                <w:color w:val="auto"/>
                <w:spacing w:val="0"/>
                <w:sz w:val="21"/>
                <w:szCs w:val="21"/>
              </w:rPr>
              <w:t>/h ,2 bar</w:t>
            </w:r>
          </w:p>
        </w:tc>
      </w:tr>
      <w:tr w14:paraId="57FC2B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7E74F250">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restart"/>
            <w:tcBorders>
              <w:tl2br w:val="nil"/>
              <w:tr2bl w:val="nil"/>
            </w:tcBorders>
            <w:noWrap w:val="0"/>
            <w:vAlign w:val="center"/>
          </w:tcPr>
          <w:p w14:paraId="2F553C62">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薯渣脱水</w:t>
            </w:r>
          </w:p>
        </w:tc>
        <w:tc>
          <w:tcPr>
            <w:tcW w:w="1197" w:type="pct"/>
            <w:tcBorders>
              <w:tl2br w:val="nil"/>
              <w:tr2bl w:val="nil"/>
            </w:tcBorders>
            <w:noWrap w:val="0"/>
            <w:vAlign w:val="center"/>
          </w:tcPr>
          <w:p w14:paraId="1B0DE648">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脱水离心筛</w:t>
            </w:r>
          </w:p>
        </w:tc>
        <w:tc>
          <w:tcPr>
            <w:tcW w:w="387" w:type="pct"/>
            <w:tcBorders>
              <w:tl2br w:val="nil"/>
              <w:tr2bl w:val="nil"/>
            </w:tcBorders>
            <w:noWrap w:val="0"/>
            <w:vAlign w:val="center"/>
          </w:tcPr>
          <w:p w14:paraId="00FC9812">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1FC3808E">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20C656C1">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型号：TCS-1200,筛篮直径:1200mm;转速:800 - 1500 rpm;新型横向进料,前后观察孔,瑞典 SKF 轴承,美国Gates 皮带</w:t>
            </w:r>
          </w:p>
        </w:tc>
      </w:tr>
      <w:tr w14:paraId="2A1178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0E13959D">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3C13B9C5">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7D02A629">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薯渣螺旋输送机</w:t>
            </w:r>
          </w:p>
        </w:tc>
        <w:tc>
          <w:tcPr>
            <w:tcW w:w="387" w:type="pct"/>
            <w:tcBorders>
              <w:tl2br w:val="nil"/>
              <w:tr2bl w:val="nil"/>
            </w:tcBorders>
            <w:noWrap w:val="0"/>
            <w:vAlign w:val="center"/>
          </w:tcPr>
          <w:p w14:paraId="474E5EDD">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154B54B9">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45A19E5C">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输送量：10~15 吨/小时，L=6000</w:t>
            </w:r>
          </w:p>
        </w:tc>
      </w:tr>
      <w:tr w14:paraId="043EAC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119221DD">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6A3A24F1">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6A2CFE43">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废液排放泵</w:t>
            </w:r>
          </w:p>
        </w:tc>
        <w:tc>
          <w:tcPr>
            <w:tcW w:w="387" w:type="pct"/>
            <w:tcBorders>
              <w:tl2br w:val="nil"/>
              <w:tr2bl w:val="nil"/>
            </w:tcBorders>
            <w:noWrap w:val="0"/>
            <w:vAlign w:val="center"/>
          </w:tcPr>
          <w:p w14:paraId="13FAFC88">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5A884EFB">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57364702">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Q=60~100m</w:t>
            </w:r>
            <w:r>
              <w:rPr>
                <w:rFonts w:hint="eastAsia" w:ascii="Times New Roman" w:hAnsi="Times New Roman" w:eastAsia="宋体" w:cs="宋体"/>
                <w:snapToGrid w:val="0"/>
                <w:color w:val="auto"/>
                <w:spacing w:val="0"/>
                <w:sz w:val="21"/>
                <w:szCs w:val="21"/>
                <w:vertAlign w:val="superscript"/>
              </w:rPr>
              <w:t>3</w:t>
            </w:r>
            <w:r>
              <w:rPr>
                <w:rFonts w:hint="eastAsia" w:ascii="Times New Roman" w:hAnsi="Times New Roman" w:eastAsia="宋体" w:cs="宋体"/>
                <w:snapToGrid w:val="0"/>
                <w:color w:val="auto"/>
                <w:spacing w:val="0"/>
                <w:sz w:val="21"/>
                <w:szCs w:val="21"/>
              </w:rPr>
              <w:t>/h 2ba</w:t>
            </w:r>
          </w:p>
        </w:tc>
      </w:tr>
      <w:tr w14:paraId="15CCF6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107140AB">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restart"/>
            <w:tcBorders>
              <w:tl2br w:val="nil"/>
              <w:tr2bl w:val="nil"/>
            </w:tcBorders>
            <w:noWrap w:val="0"/>
            <w:vAlign w:val="center"/>
          </w:tcPr>
          <w:p w14:paraId="1BC83623">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浓缩精制</w:t>
            </w:r>
          </w:p>
        </w:tc>
        <w:tc>
          <w:tcPr>
            <w:tcW w:w="1197" w:type="pct"/>
            <w:tcBorders>
              <w:tl2br w:val="nil"/>
              <w:tr2bl w:val="nil"/>
            </w:tcBorders>
            <w:noWrap w:val="0"/>
            <w:vAlign w:val="center"/>
          </w:tcPr>
          <w:p w14:paraId="31861CD2">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回收旋流站</w:t>
            </w:r>
          </w:p>
        </w:tc>
        <w:tc>
          <w:tcPr>
            <w:tcW w:w="387" w:type="pct"/>
            <w:tcBorders>
              <w:tl2br w:val="nil"/>
              <w:tr2bl w:val="nil"/>
            </w:tcBorders>
            <w:noWrap w:val="0"/>
            <w:vAlign w:val="center"/>
          </w:tcPr>
          <w:p w14:paraId="006B6A19">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lang w:val="en-US" w:eastAsia="zh-CN"/>
              </w:rPr>
              <w:t>套</w:t>
            </w:r>
          </w:p>
        </w:tc>
        <w:tc>
          <w:tcPr>
            <w:tcW w:w="441" w:type="pct"/>
            <w:tcBorders>
              <w:tl2br w:val="nil"/>
              <w:tr2bl w:val="nil"/>
            </w:tcBorders>
            <w:noWrap w:val="0"/>
            <w:vAlign w:val="center"/>
          </w:tcPr>
          <w:p w14:paraId="64642B54">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2</w:t>
            </w:r>
          </w:p>
        </w:tc>
        <w:tc>
          <w:tcPr>
            <w:tcW w:w="1914" w:type="pct"/>
            <w:tcBorders>
              <w:tl2br w:val="nil"/>
              <w:tr2bl w:val="nil"/>
            </w:tcBorders>
            <w:noWrap w:val="0"/>
            <w:vAlign w:val="center"/>
          </w:tcPr>
          <w:p w14:paraId="3F395273">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THCA-600-10,旋流桶直径：600mm</w:t>
            </w:r>
          </w:p>
        </w:tc>
      </w:tr>
      <w:tr w14:paraId="4ED883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1BA45CD9">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6BB11720">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769DD9D2">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rPr>
              <w:t>浓缩旋流站</w:t>
            </w:r>
          </w:p>
        </w:tc>
        <w:tc>
          <w:tcPr>
            <w:tcW w:w="387" w:type="pct"/>
            <w:tcBorders>
              <w:tl2br w:val="nil"/>
              <w:tr2bl w:val="nil"/>
            </w:tcBorders>
            <w:noWrap w:val="0"/>
            <w:vAlign w:val="center"/>
          </w:tcPr>
          <w:p w14:paraId="59D0DC48">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套</w:t>
            </w:r>
          </w:p>
        </w:tc>
        <w:tc>
          <w:tcPr>
            <w:tcW w:w="441" w:type="pct"/>
            <w:tcBorders>
              <w:tl2br w:val="nil"/>
              <w:tr2bl w:val="nil"/>
            </w:tcBorders>
            <w:noWrap w:val="0"/>
            <w:vAlign w:val="center"/>
          </w:tcPr>
          <w:p w14:paraId="7E5E15CF">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2</w:t>
            </w:r>
          </w:p>
        </w:tc>
        <w:tc>
          <w:tcPr>
            <w:tcW w:w="1914" w:type="pct"/>
            <w:tcBorders>
              <w:tl2br w:val="nil"/>
              <w:tr2bl w:val="nil"/>
            </w:tcBorders>
            <w:noWrap w:val="0"/>
            <w:vAlign w:val="center"/>
          </w:tcPr>
          <w:p w14:paraId="54855443">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THCA-550*3-15,旋流桶直径：</w:t>
            </w:r>
          </w:p>
          <w:p w14:paraId="35F1725B">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eastAsia="zh-CN"/>
              </w:rPr>
            </w:pPr>
            <w:r>
              <w:rPr>
                <w:rFonts w:hint="eastAsia" w:ascii="Times New Roman" w:hAnsi="Times New Roman" w:eastAsia="宋体" w:cs="宋体"/>
                <w:snapToGrid w:val="0"/>
                <w:color w:val="auto"/>
                <w:spacing w:val="0"/>
                <w:sz w:val="21"/>
                <w:szCs w:val="21"/>
              </w:rPr>
              <w:t>550mm</w:t>
            </w:r>
            <w:r>
              <w:rPr>
                <w:rFonts w:hint="eastAsia" w:ascii="Times New Roman" w:hAnsi="Times New Roman" w:eastAsia="宋体" w:cs="宋体"/>
                <w:snapToGrid w:val="0"/>
                <w:color w:val="auto"/>
                <w:spacing w:val="0"/>
                <w:sz w:val="21"/>
                <w:szCs w:val="21"/>
                <w:lang w:eastAsia="zh-CN"/>
              </w:rPr>
              <w:t>（</w:t>
            </w:r>
            <w:r>
              <w:rPr>
                <w:rFonts w:hint="eastAsia" w:ascii="Times New Roman" w:hAnsi="Times New Roman" w:eastAsia="宋体" w:cs="宋体"/>
                <w:snapToGrid w:val="0"/>
                <w:color w:val="auto"/>
                <w:spacing w:val="0"/>
                <w:sz w:val="21"/>
                <w:szCs w:val="21"/>
                <w:lang w:val="en-US" w:eastAsia="zh-CN"/>
              </w:rPr>
              <w:t>600mm</w:t>
            </w:r>
            <w:r>
              <w:rPr>
                <w:rFonts w:hint="eastAsia" w:ascii="Times New Roman" w:hAnsi="Times New Roman" w:eastAsia="宋体" w:cs="宋体"/>
                <w:snapToGrid w:val="0"/>
                <w:color w:val="auto"/>
                <w:spacing w:val="0"/>
                <w:sz w:val="21"/>
                <w:szCs w:val="21"/>
                <w:lang w:eastAsia="zh-CN"/>
              </w:rPr>
              <w:t>）</w:t>
            </w:r>
          </w:p>
        </w:tc>
      </w:tr>
      <w:tr w14:paraId="036DF5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35164141">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1A223FC8">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393486AA">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 xml:space="preserve">回收淀粉泵 </w:t>
            </w:r>
          </w:p>
        </w:tc>
        <w:tc>
          <w:tcPr>
            <w:tcW w:w="387" w:type="pct"/>
            <w:tcBorders>
              <w:tl2br w:val="nil"/>
              <w:tr2bl w:val="nil"/>
            </w:tcBorders>
            <w:noWrap w:val="0"/>
            <w:vAlign w:val="center"/>
          </w:tcPr>
          <w:p w14:paraId="5C72BDBB">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60BC2B06">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6F6DC221">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Q=100~130m</w:t>
            </w:r>
            <w:r>
              <w:rPr>
                <w:rFonts w:hint="eastAsia" w:ascii="Times New Roman" w:hAnsi="Times New Roman" w:eastAsia="宋体" w:cs="宋体"/>
                <w:snapToGrid w:val="0"/>
                <w:color w:val="auto"/>
                <w:spacing w:val="0"/>
                <w:sz w:val="21"/>
                <w:szCs w:val="21"/>
                <w:vertAlign w:val="superscript"/>
              </w:rPr>
              <w:t>3</w:t>
            </w:r>
            <w:r>
              <w:rPr>
                <w:rFonts w:hint="eastAsia" w:ascii="Times New Roman" w:hAnsi="Times New Roman" w:eastAsia="宋体" w:cs="宋体"/>
                <w:snapToGrid w:val="0"/>
                <w:color w:val="auto"/>
                <w:spacing w:val="0"/>
                <w:sz w:val="21"/>
                <w:szCs w:val="21"/>
              </w:rPr>
              <w:t>/h，H=65m</w:t>
            </w:r>
          </w:p>
        </w:tc>
      </w:tr>
      <w:tr w14:paraId="7815FB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7382965C">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6918F304">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4DA2C1CA">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浓缩淀粉泵</w:t>
            </w:r>
          </w:p>
        </w:tc>
        <w:tc>
          <w:tcPr>
            <w:tcW w:w="387" w:type="pct"/>
            <w:tcBorders>
              <w:tl2br w:val="nil"/>
              <w:tr2bl w:val="nil"/>
            </w:tcBorders>
            <w:noWrap w:val="0"/>
            <w:vAlign w:val="center"/>
          </w:tcPr>
          <w:p w14:paraId="44F5BCB7">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592A6AB4">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2</w:t>
            </w:r>
          </w:p>
        </w:tc>
        <w:tc>
          <w:tcPr>
            <w:tcW w:w="1914" w:type="pct"/>
            <w:tcBorders>
              <w:tl2br w:val="nil"/>
              <w:tr2bl w:val="nil"/>
            </w:tcBorders>
            <w:noWrap w:val="0"/>
            <w:vAlign w:val="center"/>
          </w:tcPr>
          <w:p w14:paraId="14A754EA">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eastAsia="zh-CN"/>
              </w:rPr>
            </w:pPr>
            <w:r>
              <w:rPr>
                <w:rFonts w:hint="eastAsia" w:ascii="Times New Roman" w:hAnsi="Times New Roman" w:eastAsia="宋体" w:cs="宋体"/>
                <w:snapToGrid w:val="0"/>
                <w:color w:val="auto"/>
                <w:spacing w:val="0"/>
                <w:sz w:val="21"/>
                <w:szCs w:val="21"/>
              </w:rPr>
              <w:t>Q=180~200m</w:t>
            </w:r>
            <w:r>
              <w:rPr>
                <w:rFonts w:hint="eastAsia" w:ascii="Times New Roman" w:hAnsi="Times New Roman" w:eastAsia="宋体" w:cs="宋体"/>
                <w:snapToGrid w:val="0"/>
                <w:color w:val="auto"/>
                <w:spacing w:val="0"/>
                <w:sz w:val="21"/>
                <w:szCs w:val="21"/>
                <w:vertAlign w:val="superscript"/>
              </w:rPr>
              <w:t>3</w:t>
            </w:r>
            <w:r>
              <w:rPr>
                <w:rFonts w:hint="eastAsia" w:ascii="Times New Roman" w:hAnsi="Times New Roman" w:eastAsia="宋体" w:cs="宋体"/>
                <w:snapToGrid w:val="0"/>
                <w:color w:val="auto"/>
                <w:spacing w:val="0"/>
                <w:sz w:val="21"/>
                <w:szCs w:val="21"/>
              </w:rPr>
              <w:t>/h，H=45m</w:t>
            </w:r>
            <w:r>
              <w:rPr>
                <w:rFonts w:hint="eastAsia" w:ascii="Times New Roman" w:hAnsi="Times New Roman" w:eastAsia="宋体" w:cs="宋体"/>
                <w:snapToGrid w:val="0"/>
                <w:color w:val="auto"/>
                <w:spacing w:val="0"/>
                <w:sz w:val="21"/>
                <w:szCs w:val="21"/>
                <w:lang w:eastAsia="zh-CN"/>
              </w:rPr>
              <w:t>；</w:t>
            </w:r>
          </w:p>
          <w:p w14:paraId="05D2EDA2">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eastAsia="zh-CN"/>
              </w:rPr>
            </w:pPr>
            <w:r>
              <w:rPr>
                <w:rFonts w:hint="eastAsia" w:ascii="Times New Roman" w:hAnsi="Times New Roman" w:eastAsia="宋体" w:cs="宋体"/>
                <w:snapToGrid w:val="0"/>
                <w:color w:val="auto"/>
                <w:spacing w:val="0"/>
                <w:sz w:val="21"/>
                <w:szCs w:val="21"/>
                <w:lang w:eastAsia="zh-CN"/>
              </w:rPr>
              <w:t>Q=70~90m</w:t>
            </w:r>
            <w:r>
              <w:rPr>
                <w:rFonts w:hint="eastAsia" w:ascii="Times New Roman" w:hAnsi="Times New Roman" w:eastAsia="宋体" w:cs="宋体"/>
                <w:snapToGrid w:val="0"/>
                <w:color w:val="auto"/>
                <w:spacing w:val="0"/>
                <w:sz w:val="21"/>
                <w:szCs w:val="21"/>
                <w:vertAlign w:val="superscript"/>
                <w:lang w:eastAsia="zh-CN"/>
              </w:rPr>
              <w:t>3</w:t>
            </w:r>
            <w:r>
              <w:rPr>
                <w:rFonts w:hint="eastAsia" w:ascii="Times New Roman" w:hAnsi="Times New Roman" w:eastAsia="宋体" w:cs="宋体"/>
                <w:snapToGrid w:val="0"/>
                <w:color w:val="auto"/>
                <w:spacing w:val="0"/>
                <w:sz w:val="21"/>
                <w:szCs w:val="21"/>
                <w:lang w:eastAsia="zh-CN"/>
              </w:rPr>
              <w:t>/h，H=45m</w:t>
            </w:r>
          </w:p>
        </w:tc>
      </w:tr>
      <w:tr w14:paraId="5767E0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47585C02">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restart"/>
            <w:tcBorders>
              <w:tl2br w:val="nil"/>
              <w:tr2bl w:val="nil"/>
            </w:tcBorders>
            <w:noWrap w:val="0"/>
            <w:vAlign w:val="center"/>
          </w:tcPr>
          <w:p w14:paraId="58EA4132">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真空脱水</w:t>
            </w:r>
          </w:p>
        </w:tc>
        <w:tc>
          <w:tcPr>
            <w:tcW w:w="1197" w:type="pct"/>
            <w:tcBorders>
              <w:tl2br w:val="nil"/>
              <w:tr2bl w:val="nil"/>
            </w:tcBorders>
            <w:noWrap w:val="0"/>
            <w:vAlign w:val="center"/>
          </w:tcPr>
          <w:p w14:paraId="719756E5">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真空脱水机</w:t>
            </w:r>
          </w:p>
        </w:tc>
        <w:tc>
          <w:tcPr>
            <w:tcW w:w="387" w:type="pct"/>
            <w:tcBorders>
              <w:tl2br w:val="nil"/>
              <w:tr2bl w:val="nil"/>
            </w:tcBorders>
            <w:noWrap w:val="0"/>
            <w:vAlign w:val="center"/>
          </w:tcPr>
          <w:p w14:paraId="6A1AE020">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p>
        </w:tc>
        <w:tc>
          <w:tcPr>
            <w:tcW w:w="441" w:type="pct"/>
            <w:tcBorders>
              <w:tl2br w:val="nil"/>
              <w:tr2bl w:val="nil"/>
            </w:tcBorders>
            <w:noWrap w:val="0"/>
            <w:vAlign w:val="center"/>
          </w:tcPr>
          <w:p w14:paraId="4773CF45">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1D39A7B3">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TVF-36,脱水面积：36m</w:t>
            </w:r>
            <w:r>
              <w:rPr>
                <w:rFonts w:hint="eastAsia" w:ascii="Times New Roman" w:hAnsi="Times New Roman" w:eastAsia="宋体" w:cs="宋体"/>
                <w:snapToGrid w:val="0"/>
                <w:color w:val="auto"/>
                <w:spacing w:val="0"/>
                <w:sz w:val="21"/>
                <w:szCs w:val="21"/>
                <w:vertAlign w:val="superscript"/>
              </w:rPr>
              <w:t>2</w:t>
            </w:r>
          </w:p>
        </w:tc>
      </w:tr>
      <w:tr w14:paraId="0DC514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0BE47C85">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7F18D769">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792902B5">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脱水机搅拌器</w:t>
            </w:r>
          </w:p>
        </w:tc>
        <w:tc>
          <w:tcPr>
            <w:tcW w:w="387" w:type="pct"/>
            <w:tcBorders>
              <w:tl2br w:val="nil"/>
              <w:tr2bl w:val="nil"/>
            </w:tcBorders>
            <w:noWrap w:val="0"/>
            <w:vAlign w:val="center"/>
          </w:tcPr>
          <w:p w14:paraId="18F741D9">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2477FF8A">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31F82A3C">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w:t>
            </w:r>
          </w:p>
        </w:tc>
      </w:tr>
      <w:tr w14:paraId="4CE63D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749BCC09">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2DA9838E">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3BDBAFDA">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真空泵</w:t>
            </w:r>
          </w:p>
        </w:tc>
        <w:tc>
          <w:tcPr>
            <w:tcW w:w="387" w:type="pct"/>
            <w:tcBorders>
              <w:tl2br w:val="nil"/>
              <w:tr2bl w:val="nil"/>
            </w:tcBorders>
            <w:noWrap w:val="0"/>
            <w:vAlign w:val="center"/>
          </w:tcPr>
          <w:p w14:paraId="4F6D23F5">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3F9FFAEB">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757E0A55">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吸气量：2600m</w:t>
            </w:r>
            <w:r>
              <w:rPr>
                <w:rFonts w:hint="eastAsia" w:ascii="Times New Roman" w:hAnsi="Times New Roman" w:eastAsia="宋体" w:cs="宋体"/>
                <w:snapToGrid w:val="0"/>
                <w:color w:val="auto"/>
                <w:spacing w:val="0"/>
                <w:sz w:val="21"/>
                <w:szCs w:val="21"/>
                <w:vertAlign w:val="superscript"/>
              </w:rPr>
              <w:t>3</w:t>
            </w:r>
            <w:r>
              <w:rPr>
                <w:rFonts w:hint="eastAsia" w:ascii="Times New Roman" w:hAnsi="Times New Roman" w:eastAsia="宋体" w:cs="宋体"/>
                <w:snapToGrid w:val="0"/>
                <w:color w:val="auto"/>
                <w:spacing w:val="0"/>
                <w:sz w:val="21"/>
                <w:szCs w:val="21"/>
              </w:rPr>
              <w:t>/min，33mbar</w:t>
            </w:r>
          </w:p>
        </w:tc>
      </w:tr>
      <w:tr w14:paraId="68CC5E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0F77F9CD">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5FC0788C">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1384DEC2">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rPr>
              <w:t>湿淀粉输送皮带机</w:t>
            </w:r>
          </w:p>
        </w:tc>
        <w:tc>
          <w:tcPr>
            <w:tcW w:w="387" w:type="pct"/>
            <w:tcBorders>
              <w:tl2br w:val="nil"/>
              <w:tr2bl w:val="nil"/>
            </w:tcBorders>
            <w:noWrap w:val="0"/>
            <w:vAlign w:val="center"/>
          </w:tcPr>
          <w:p w14:paraId="286A6B6B">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5F5C4A40">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4B55E2C9">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TBC500,食品级 PVC 输送带，带宽500mm</w:t>
            </w:r>
          </w:p>
        </w:tc>
      </w:tr>
      <w:tr w14:paraId="674C02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4842511D">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restart"/>
            <w:tcBorders>
              <w:tl2br w:val="nil"/>
              <w:tr2bl w:val="nil"/>
            </w:tcBorders>
            <w:noWrap w:val="0"/>
            <w:vAlign w:val="center"/>
          </w:tcPr>
          <w:p w14:paraId="032804D7">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干燥包装</w:t>
            </w:r>
          </w:p>
        </w:tc>
        <w:tc>
          <w:tcPr>
            <w:tcW w:w="1197" w:type="pct"/>
            <w:tcBorders>
              <w:tl2br w:val="nil"/>
              <w:tr2bl w:val="nil"/>
            </w:tcBorders>
            <w:noWrap w:val="0"/>
            <w:vAlign w:val="center"/>
          </w:tcPr>
          <w:p w14:paraId="0F0C0C03">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空气过滤器</w:t>
            </w:r>
          </w:p>
        </w:tc>
        <w:tc>
          <w:tcPr>
            <w:tcW w:w="387" w:type="pct"/>
            <w:tcBorders>
              <w:tl2br w:val="nil"/>
              <w:tr2bl w:val="nil"/>
            </w:tcBorders>
            <w:noWrap w:val="0"/>
            <w:vAlign w:val="center"/>
          </w:tcPr>
          <w:p w14:paraId="5A590643">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套</w:t>
            </w:r>
          </w:p>
        </w:tc>
        <w:tc>
          <w:tcPr>
            <w:tcW w:w="441" w:type="pct"/>
            <w:tcBorders>
              <w:tl2br w:val="nil"/>
              <w:tr2bl w:val="nil"/>
            </w:tcBorders>
            <w:noWrap w:val="0"/>
            <w:vAlign w:val="center"/>
          </w:tcPr>
          <w:p w14:paraId="2B1BD7E9">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7E513253">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G4 型,165000m</w:t>
            </w:r>
            <w:r>
              <w:rPr>
                <w:rFonts w:hint="eastAsia" w:ascii="Times New Roman" w:hAnsi="Times New Roman" w:eastAsia="宋体" w:cs="宋体"/>
                <w:snapToGrid w:val="0"/>
                <w:color w:val="auto"/>
                <w:spacing w:val="0"/>
                <w:sz w:val="21"/>
                <w:szCs w:val="21"/>
                <w:vertAlign w:val="superscript"/>
              </w:rPr>
              <w:t>3</w:t>
            </w:r>
            <w:r>
              <w:rPr>
                <w:rFonts w:hint="eastAsia" w:ascii="Times New Roman" w:hAnsi="Times New Roman" w:eastAsia="宋体" w:cs="宋体"/>
                <w:snapToGrid w:val="0"/>
                <w:color w:val="auto"/>
                <w:spacing w:val="0"/>
                <w:sz w:val="21"/>
                <w:szCs w:val="21"/>
              </w:rPr>
              <w:t>/h</w:t>
            </w:r>
          </w:p>
        </w:tc>
      </w:tr>
      <w:tr w14:paraId="6A815C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2E9D1DF2">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32E0934C">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633550A1">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扬升器</w:t>
            </w:r>
          </w:p>
        </w:tc>
        <w:tc>
          <w:tcPr>
            <w:tcW w:w="387" w:type="pct"/>
            <w:tcBorders>
              <w:tl2br w:val="nil"/>
              <w:tr2bl w:val="nil"/>
            </w:tcBorders>
            <w:noWrap w:val="0"/>
            <w:vAlign w:val="center"/>
          </w:tcPr>
          <w:p w14:paraId="06BF209A">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7555FA97">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2133146A">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TWL-15</w:t>
            </w:r>
          </w:p>
        </w:tc>
      </w:tr>
      <w:tr w14:paraId="6B46D7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2F7C8AC1">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37F99CBE">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7C1313FA">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干燥管</w:t>
            </w:r>
          </w:p>
        </w:tc>
        <w:tc>
          <w:tcPr>
            <w:tcW w:w="387" w:type="pct"/>
            <w:tcBorders>
              <w:tl2br w:val="nil"/>
              <w:tr2bl w:val="nil"/>
            </w:tcBorders>
            <w:noWrap w:val="0"/>
            <w:vAlign w:val="center"/>
          </w:tcPr>
          <w:p w14:paraId="6D956E12">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6F676654">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5F55C36A">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1500mm/1650mm，T=2mm</w:t>
            </w:r>
          </w:p>
        </w:tc>
      </w:tr>
      <w:tr w14:paraId="411C85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6396057D">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1609FF66">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79C30A16">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旋风分离器</w:t>
            </w:r>
          </w:p>
        </w:tc>
        <w:tc>
          <w:tcPr>
            <w:tcW w:w="387" w:type="pct"/>
            <w:tcBorders>
              <w:tl2br w:val="nil"/>
              <w:tr2bl w:val="nil"/>
            </w:tcBorders>
            <w:noWrap w:val="0"/>
            <w:vAlign w:val="center"/>
          </w:tcPr>
          <w:p w14:paraId="521BB81B">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个</w:t>
            </w:r>
          </w:p>
        </w:tc>
        <w:tc>
          <w:tcPr>
            <w:tcW w:w="441" w:type="pct"/>
            <w:tcBorders>
              <w:tl2br w:val="nil"/>
              <w:tr2bl w:val="nil"/>
            </w:tcBorders>
            <w:noWrap w:val="0"/>
            <w:vAlign w:val="center"/>
          </w:tcPr>
          <w:p w14:paraId="4E815094">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10</w:t>
            </w:r>
          </w:p>
        </w:tc>
        <w:tc>
          <w:tcPr>
            <w:tcW w:w="1914" w:type="pct"/>
            <w:tcBorders>
              <w:tl2br w:val="nil"/>
              <w:tr2bl w:val="nil"/>
            </w:tcBorders>
            <w:noWrap w:val="0"/>
            <w:vAlign w:val="center"/>
          </w:tcPr>
          <w:p w14:paraId="6CB4A118">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1500mm，T=2mm</w:t>
            </w:r>
          </w:p>
        </w:tc>
      </w:tr>
      <w:tr w14:paraId="053289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4C0E52BB">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0B6174EF">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401E01BB">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密封螺旋输送机</w:t>
            </w:r>
          </w:p>
        </w:tc>
        <w:tc>
          <w:tcPr>
            <w:tcW w:w="387" w:type="pct"/>
            <w:tcBorders>
              <w:tl2br w:val="nil"/>
              <w:tr2bl w:val="nil"/>
            </w:tcBorders>
            <w:noWrap w:val="0"/>
            <w:vAlign w:val="center"/>
          </w:tcPr>
          <w:p w14:paraId="653AAC33">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p>
        </w:tc>
        <w:tc>
          <w:tcPr>
            <w:tcW w:w="441" w:type="pct"/>
            <w:tcBorders>
              <w:tl2br w:val="nil"/>
              <w:tr2bl w:val="nil"/>
            </w:tcBorders>
            <w:noWrap w:val="0"/>
            <w:vAlign w:val="center"/>
          </w:tcPr>
          <w:p w14:paraId="0ADC2072">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2</w:t>
            </w:r>
          </w:p>
        </w:tc>
        <w:tc>
          <w:tcPr>
            <w:tcW w:w="1914" w:type="pct"/>
            <w:tcBorders>
              <w:tl2br w:val="nil"/>
              <w:tr2bl w:val="nil"/>
            </w:tcBorders>
            <w:noWrap w:val="0"/>
            <w:vAlign w:val="center"/>
          </w:tcPr>
          <w:p w14:paraId="50951459">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输送量：8T/h,转速:25.4r/min</w:t>
            </w:r>
          </w:p>
        </w:tc>
      </w:tr>
      <w:tr w14:paraId="349ED5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793ADEF7">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5EDB4EEC">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17CA2145">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淀粉筛</w:t>
            </w:r>
          </w:p>
        </w:tc>
        <w:tc>
          <w:tcPr>
            <w:tcW w:w="387" w:type="pct"/>
            <w:tcBorders>
              <w:tl2br w:val="nil"/>
              <w:tr2bl w:val="nil"/>
            </w:tcBorders>
            <w:noWrap w:val="0"/>
            <w:vAlign w:val="center"/>
          </w:tcPr>
          <w:p w14:paraId="29938E25">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p>
        </w:tc>
        <w:tc>
          <w:tcPr>
            <w:tcW w:w="441" w:type="pct"/>
            <w:tcBorders>
              <w:tl2br w:val="nil"/>
              <w:tr2bl w:val="nil"/>
            </w:tcBorders>
            <w:noWrap w:val="0"/>
            <w:vAlign w:val="center"/>
          </w:tcPr>
          <w:p w14:paraId="51D707BC">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3</w:t>
            </w:r>
          </w:p>
        </w:tc>
        <w:tc>
          <w:tcPr>
            <w:tcW w:w="1914" w:type="pct"/>
            <w:tcBorders>
              <w:tl2br w:val="nil"/>
              <w:tr2bl w:val="nil"/>
            </w:tcBorders>
            <w:noWrap w:val="0"/>
            <w:vAlign w:val="center"/>
          </w:tcPr>
          <w:p w14:paraId="0E03BCEB">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TS-1800</w:t>
            </w:r>
          </w:p>
        </w:tc>
      </w:tr>
      <w:tr w14:paraId="10455F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12C4B96D">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0B7713E6">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403791FC">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成品仓</w:t>
            </w:r>
          </w:p>
        </w:tc>
        <w:tc>
          <w:tcPr>
            <w:tcW w:w="387" w:type="pct"/>
            <w:tcBorders>
              <w:tl2br w:val="nil"/>
              <w:tr2bl w:val="nil"/>
            </w:tcBorders>
            <w:noWrap w:val="0"/>
            <w:vAlign w:val="center"/>
          </w:tcPr>
          <w:p w14:paraId="538CE0B7">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p>
        </w:tc>
        <w:tc>
          <w:tcPr>
            <w:tcW w:w="441" w:type="pct"/>
            <w:tcBorders>
              <w:tl2br w:val="nil"/>
              <w:tr2bl w:val="nil"/>
            </w:tcBorders>
            <w:noWrap w:val="0"/>
            <w:vAlign w:val="center"/>
          </w:tcPr>
          <w:p w14:paraId="06BF662E">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137DCCA2">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物料接触 304 不锈钢材料</w:t>
            </w:r>
          </w:p>
        </w:tc>
      </w:tr>
      <w:tr w14:paraId="1BCD23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209CB348">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582BB2D6">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0A1B9C58">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半自动双头包装机</w:t>
            </w:r>
          </w:p>
        </w:tc>
        <w:tc>
          <w:tcPr>
            <w:tcW w:w="387" w:type="pct"/>
            <w:tcBorders>
              <w:tl2br w:val="nil"/>
              <w:tr2bl w:val="nil"/>
            </w:tcBorders>
            <w:noWrap w:val="0"/>
            <w:vAlign w:val="center"/>
          </w:tcPr>
          <w:p w14:paraId="30B4AB5B">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6A992F37">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2</w:t>
            </w:r>
          </w:p>
        </w:tc>
        <w:tc>
          <w:tcPr>
            <w:tcW w:w="1914" w:type="pct"/>
            <w:tcBorders>
              <w:tl2br w:val="nil"/>
              <w:tr2bl w:val="nil"/>
            </w:tcBorders>
            <w:noWrap w:val="0"/>
            <w:vAlign w:val="center"/>
          </w:tcPr>
          <w:p w14:paraId="46D7FFB6">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称重范围：20-30kg , 产量：320B/h,精度：±0.2%</w:t>
            </w:r>
          </w:p>
        </w:tc>
      </w:tr>
      <w:tr w14:paraId="100461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2328FB26">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529307DD">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0ACEC8C0">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温度变送器</w:t>
            </w:r>
          </w:p>
        </w:tc>
        <w:tc>
          <w:tcPr>
            <w:tcW w:w="387" w:type="pct"/>
            <w:tcBorders>
              <w:tl2br w:val="nil"/>
              <w:tr2bl w:val="nil"/>
            </w:tcBorders>
            <w:noWrap w:val="0"/>
            <w:vAlign w:val="center"/>
          </w:tcPr>
          <w:p w14:paraId="4F3CAB3A">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个</w:t>
            </w:r>
          </w:p>
        </w:tc>
        <w:tc>
          <w:tcPr>
            <w:tcW w:w="441" w:type="pct"/>
            <w:tcBorders>
              <w:tl2br w:val="nil"/>
              <w:tr2bl w:val="nil"/>
            </w:tcBorders>
            <w:noWrap w:val="0"/>
            <w:vAlign w:val="center"/>
          </w:tcPr>
          <w:p w14:paraId="0FFEDCB7">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914" w:type="pct"/>
            <w:tcBorders>
              <w:tl2br w:val="nil"/>
              <w:tr2bl w:val="nil"/>
            </w:tcBorders>
            <w:noWrap w:val="0"/>
            <w:vAlign w:val="center"/>
          </w:tcPr>
          <w:p w14:paraId="7E155420">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0~300℃，PT100</w:t>
            </w:r>
          </w:p>
        </w:tc>
      </w:tr>
      <w:tr w14:paraId="077A5F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53414A64">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restart"/>
            <w:tcBorders>
              <w:tl2br w:val="nil"/>
              <w:tr2bl w:val="nil"/>
            </w:tcBorders>
            <w:noWrap w:val="0"/>
            <w:vAlign w:val="center"/>
          </w:tcPr>
          <w:p w14:paraId="47652082">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在线仪器</w:t>
            </w:r>
          </w:p>
        </w:tc>
        <w:tc>
          <w:tcPr>
            <w:tcW w:w="1197" w:type="pct"/>
            <w:tcBorders>
              <w:tl2br w:val="nil"/>
              <w:tr2bl w:val="nil"/>
            </w:tcBorders>
            <w:noWrap w:val="0"/>
            <w:vAlign w:val="center"/>
          </w:tcPr>
          <w:p w14:paraId="1FBB4A01">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质量流量计</w:t>
            </w:r>
          </w:p>
        </w:tc>
        <w:tc>
          <w:tcPr>
            <w:tcW w:w="387" w:type="pct"/>
            <w:tcBorders>
              <w:tl2br w:val="nil"/>
              <w:tr2bl w:val="nil"/>
            </w:tcBorders>
            <w:noWrap w:val="0"/>
            <w:vAlign w:val="center"/>
          </w:tcPr>
          <w:p w14:paraId="02ED65FE">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p>
        </w:tc>
        <w:tc>
          <w:tcPr>
            <w:tcW w:w="441" w:type="pct"/>
            <w:tcBorders>
              <w:tl2br w:val="nil"/>
              <w:tr2bl w:val="nil"/>
            </w:tcBorders>
            <w:noWrap w:val="0"/>
            <w:vAlign w:val="center"/>
          </w:tcPr>
          <w:p w14:paraId="5CF3D004">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5F1DECB9">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OPTIMASS 1400 C -S15</w:t>
            </w:r>
          </w:p>
        </w:tc>
      </w:tr>
      <w:tr w14:paraId="4F34C2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0F4AD29C">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0675A9BF">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745180FF">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气动薄膜调节阀</w:t>
            </w:r>
          </w:p>
        </w:tc>
        <w:tc>
          <w:tcPr>
            <w:tcW w:w="387" w:type="pct"/>
            <w:tcBorders>
              <w:tl2br w:val="nil"/>
              <w:tr2bl w:val="nil"/>
            </w:tcBorders>
            <w:noWrap w:val="0"/>
            <w:vAlign w:val="center"/>
          </w:tcPr>
          <w:p w14:paraId="6A144C8A">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p>
        </w:tc>
        <w:tc>
          <w:tcPr>
            <w:tcW w:w="441" w:type="pct"/>
            <w:tcBorders>
              <w:tl2br w:val="nil"/>
              <w:tr2bl w:val="nil"/>
            </w:tcBorders>
            <w:noWrap w:val="0"/>
            <w:vAlign w:val="center"/>
          </w:tcPr>
          <w:p w14:paraId="708DCDCF">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3EABD86E">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DN125</w:t>
            </w:r>
          </w:p>
        </w:tc>
      </w:tr>
      <w:tr w14:paraId="11D05A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023EF983">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756BAA5C">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6D33466B">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气动薄膜调节阀</w:t>
            </w:r>
          </w:p>
        </w:tc>
        <w:tc>
          <w:tcPr>
            <w:tcW w:w="387" w:type="pct"/>
            <w:tcBorders>
              <w:tl2br w:val="nil"/>
              <w:tr2bl w:val="nil"/>
            </w:tcBorders>
            <w:noWrap w:val="0"/>
            <w:vAlign w:val="center"/>
          </w:tcPr>
          <w:p w14:paraId="62E5BD6A">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p>
        </w:tc>
        <w:tc>
          <w:tcPr>
            <w:tcW w:w="441" w:type="pct"/>
            <w:tcBorders>
              <w:tl2br w:val="nil"/>
              <w:tr2bl w:val="nil"/>
            </w:tcBorders>
            <w:noWrap w:val="0"/>
            <w:vAlign w:val="center"/>
          </w:tcPr>
          <w:p w14:paraId="5CBFA089">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2</w:t>
            </w:r>
          </w:p>
        </w:tc>
        <w:tc>
          <w:tcPr>
            <w:tcW w:w="1914" w:type="pct"/>
            <w:tcBorders>
              <w:tl2br w:val="nil"/>
              <w:tr2bl w:val="nil"/>
            </w:tcBorders>
            <w:noWrap w:val="0"/>
            <w:vAlign w:val="center"/>
          </w:tcPr>
          <w:p w14:paraId="463303AB">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DN65, 24VDC</w:t>
            </w:r>
          </w:p>
        </w:tc>
      </w:tr>
      <w:tr w14:paraId="387210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6CCB42CA">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46A1884D">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7674B0B0">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电磁流量计</w:t>
            </w:r>
          </w:p>
        </w:tc>
        <w:tc>
          <w:tcPr>
            <w:tcW w:w="387" w:type="pct"/>
            <w:tcBorders>
              <w:tl2br w:val="nil"/>
              <w:tr2bl w:val="nil"/>
            </w:tcBorders>
            <w:noWrap w:val="0"/>
            <w:vAlign w:val="center"/>
          </w:tcPr>
          <w:p w14:paraId="65D7F4E4">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p>
        </w:tc>
        <w:tc>
          <w:tcPr>
            <w:tcW w:w="441" w:type="pct"/>
            <w:tcBorders>
              <w:tl2br w:val="nil"/>
              <w:tr2bl w:val="nil"/>
            </w:tcBorders>
            <w:noWrap w:val="0"/>
            <w:vAlign w:val="center"/>
          </w:tcPr>
          <w:p w14:paraId="3E23653E">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2</w:t>
            </w:r>
          </w:p>
        </w:tc>
        <w:tc>
          <w:tcPr>
            <w:tcW w:w="1914" w:type="pct"/>
            <w:tcBorders>
              <w:tl2br w:val="nil"/>
              <w:tr2bl w:val="nil"/>
            </w:tcBorders>
            <w:noWrap w:val="0"/>
            <w:vAlign w:val="center"/>
          </w:tcPr>
          <w:p w14:paraId="7B740C76">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0-50m</w:t>
            </w:r>
            <w:r>
              <w:rPr>
                <w:rFonts w:hint="eastAsia" w:ascii="Times New Roman" w:hAnsi="Times New Roman" w:eastAsia="宋体" w:cs="宋体"/>
                <w:snapToGrid w:val="0"/>
                <w:color w:val="auto"/>
                <w:spacing w:val="0"/>
                <w:sz w:val="21"/>
                <w:szCs w:val="21"/>
                <w:vertAlign w:val="superscript"/>
                <w:lang w:val="en-US" w:eastAsia="zh-CN"/>
              </w:rPr>
              <w:t>3</w:t>
            </w:r>
            <w:r>
              <w:rPr>
                <w:rFonts w:hint="eastAsia" w:ascii="Times New Roman" w:hAnsi="Times New Roman" w:eastAsia="宋体" w:cs="宋体"/>
                <w:snapToGrid w:val="0"/>
                <w:color w:val="auto"/>
                <w:spacing w:val="0"/>
                <w:sz w:val="21"/>
                <w:szCs w:val="21"/>
                <w:lang w:val="en-US" w:eastAsia="zh-CN"/>
              </w:rPr>
              <w:t>/h, DN65</w:t>
            </w:r>
          </w:p>
        </w:tc>
      </w:tr>
      <w:tr w14:paraId="1D3D78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3843AFFE">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72840E10">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30B90AD4">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eastAsia="zh-CN"/>
              </w:rPr>
            </w:pPr>
            <w:r>
              <w:rPr>
                <w:rFonts w:hint="eastAsia" w:ascii="Times New Roman" w:hAnsi="Times New Roman" w:eastAsia="宋体" w:cs="宋体"/>
                <w:snapToGrid w:val="0"/>
                <w:color w:val="auto"/>
                <w:spacing w:val="0"/>
                <w:sz w:val="21"/>
                <w:szCs w:val="21"/>
                <w:lang w:eastAsia="zh-CN"/>
              </w:rPr>
              <w:t>气动球阀</w:t>
            </w:r>
          </w:p>
        </w:tc>
        <w:tc>
          <w:tcPr>
            <w:tcW w:w="387" w:type="pct"/>
            <w:tcBorders>
              <w:tl2br w:val="nil"/>
              <w:tr2bl w:val="nil"/>
            </w:tcBorders>
            <w:noWrap w:val="0"/>
            <w:vAlign w:val="center"/>
          </w:tcPr>
          <w:p w14:paraId="152C9B85">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7B398523">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6</w:t>
            </w:r>
          </w:p>
        </w:tc>
        <w:tc>
          <w:tcPr>
            <w:tcW w:w="1914" w:type="pct"/>
            <w:tcBorders>
              <w:tl2br w:val="nil"/>
              <w:tr2bl w:val="nil"/>
            </w:tcBorders>
            <w:noWrap w:val="0"/>
            <w:vAlign w:val="center"/>
          </w:tcPr>
          <w:p w14:paraId="22D4B9AD">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DN25, 24VDC</w:t>
            </w:r>
          </w:p>
        </w:tc>
      </w:tr>
      <w:tr w14:paraId="7A95EB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6CB92CB4">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5E0A3C1D">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4DF9A5D2">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液位变送器</w:t>
            </w:r>
          </w:p>
        </w:tc>
        <w:tc>
          <w:tcPr>
            <w:tcW w:w="387" w:type="pct"/>
            <w:tcBorders>
              <w:tl2br w:val="nil"/>
              <w:tr2bl w:val="nil"/>
            </w:tcBorders>
            <w:noWrap w:val="0"/>
            <w:vAlign w:val="center"/>
          </w:tcPr>
          <w:p w14:paraId="31273461">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2592CA4E">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4</w:t>
            </w:r>
          </w:p>
        </w:tc>
        <w:tc>
          <w:tcPr>
            <w:tcW w:w="1914" w:type="pct"/>
            <w:tcBorders>
              <w:tl2br w:val="nil"/>
              <w:tr2bl w:val="nil"/>
            </w:tcBorders>
            <w:noWrap w:val="0"/>
            <w:vAlign w:val="center"/>
          </w:tcPr>
          <w:p w14:paraId="769A629B">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0~37kpa</w:t>
            </w:r>
          </w:p>
        </w:tc>
      </w:tr>
      <w:tr w14:paraId="0CA479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0558BBAF">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172D3A67">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604D45C4">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蒸汽压力传感器</w:t>
            </w:r>
          </w:p>
        </w:tc>
        <w:tc>
          <w:tcPr>
            <w:tcW w:w="387" w:type="pct"/>
            <w:tcBorders>
              <w:tl2br w:val="nil"/>
              <w:tr2bl w:val="nil"/>
            </w:tcBorders>
            <w:noWrap w:val="0"/>
            <w:vAlign w:val="center"/>
          </w:tcPr>
          <w:p w14:paraId="0BF802E7">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p>
        </w:tc>
        <w:tc>
          <w:tcPr>
            <w:tcW w:w="441" w:type="pct"/>
            <w:tcBorders>
              <w:tl2br w:val="nil"/>
              <w:tr2bl w:val="nil"/>
            </w:tcBorders>
            <w:noWrap w:val="0"/>
            <w:vAlign w:val="center"/>
          </w:tcPr>
          <w:p w14:paraId="63C3B2DD">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w:t>
            </w:r>
          </w:p>
        </w:tc>
        <w:tc>
          <w:tcPr>
            <w:tcW w:w="1914" w:type="pct"/>
            <w:tcBorders>
              <w:tl2br w:val="nil"/>
              <w:tr2bl w:val="nil"/>
            </w:tcBorders>
            <w:noWrap w:val="0"/>
            <w:vAlign w:val="center"/>
          </w:tcPr>
          <w:p w14:paraId="0819D5E5">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0~1.6MPa</w:t>
            </w:r>
          </w:p>
        </w:tc>
      </w:tr>
      <w:tr w14:paraId="0C3896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7" w:hRule="atLeast"/>
          <w:jc w:val="center"/>
        </w:trPr>
        <w:tc>
          <w:tcPr>
            <w:tcW w:w="392" w:type="pct"/>
            <w:tcBorders>
              <w:tl2br w:val="nil"/>
              <w:tr2bl w:val="nil"/>
            </w:tcBorders>
            <w:noWrap w:val="0"/>
            <w:vAlign w:val="center"/>
          </w:tcPr>
          <w:p w14:paraId="349FCC8C">
            <w:pPr>
              <w:pStyle w:val="31"/>
              <w:numPr>
                <w:ilvl w:val="0"/>
                <w:numId w:val="1"/>
              </w:numPr>
              <w:adjustRightInd w:val="0"/>
              <w:snapToGrid w:val="0"/>
              <w:spacing w:line="240" w:lineRule="auto"/>
              <w:ind w:left="0" w:leftChars="0" w:firstLine="0" w:firstLineChars="0"/>
              <w:jc w:val="center"/>
              <w:rPr>
                <w:rFonts w:ascii="Times New Roman" w:hAnsi="Times New Roman" w:eastAsia="宋体" w:cs="宋体"/>
                <w:snapToGrid w:val="0"/>
                <w:color w:val="auto"/>
                <w:spacing w:val="0"/>
                <w:sz w:val="21"/>
                <w:szCs w:val="21"/>
              </w:rPr>
            </w:pPr>
          </w:p>
        </w:tc>
        <w:tc>
          <w:tcPr>
            <w:tcW w:w="666" w:type="pct"/>
            <w:vMerge w:val="continue"/>
            <w:tcBorders>
              <w:tl2br w:val="nil"/>
              <w:tr2bl w:val="nil"/>
            </w:tcBorders>
            <w:noWrap w:val="0"/>
            <w:vAlign w:val="center"/>
          </w:tcPr>
          <w:p w14:paraId="63B5804F">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p>
        </w:tc>
        <w:tc>
          <w:tcPr>
            <w:tcW w:w="1197" w:type="pct"/>
            <w:tcBorders>
              <w:tl2br w:val="nil"/>
              <w:tr2bl w:val="nil"/>
            </w:tcBorders>
            <w:noWrap w:val="0"/>
            <w:vAlign w:val="center"/>
          </w:tcPr>
          <w:p w14:paraId="74EF4FF5">
            <w:pPr>
              <w:pStyle w:val="31"/>
              <w:adjustRightInd w:val="0"/>
              <w:snapToGrid w:val="0"/>
              <w:spacing w:line="240" w:lineRule="auto"/>
              <w:ind w:firstLine="0" w:firstLineChars="0"/>
              <w:jc w:val="center"/>
              <w:rPr>
                <w:rFonts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电磁流量计</w:t>
            </w:r>
          </w:p>
        </w:tc>
        <w:tc>
          <w:tcPr>
            <w:tcW w:w="387" w:type="pct"/>
            <w:tcBorders>
              <w:tl2br w:val="nil"/>
              <w:tr2bl w:val="nil"/>
            </w:tcBorders>
            <w:noWrap w:val="0"/>
            <w:vAlign w:val="center"/>
          </w:tcPr>
          <w:p w14:paraId="6C9D5E4B">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p>
        </w:tc>
        <w:tc>
          <w:tcPr>
            <w:tcW w:w="441" w:type="pct"/>
            <w:tcBorders>
              <w:tl2br w:val="nil"/>
              <w:tr2bl w:val="nil"/>
            </w:tcBorders>
            <w:noWrap w:val="0"/>
            <w:vAlign w:val="center"/>
          </w:tcPr>
          <w:p w14:paraId="7145257B">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2</w:t>
            </w:r>
          </w:p>
        </w:tc>
        <w:tc>
          <w:tcPr>
            <w:tcW w:w="1914" w:type="pct"/>
            <w:tcBorders>
              <w:tl2br w:val="nil"/>
              <w:tr2bl w:val="nil"/>
            </w:tcBorders>
            <w:noWrap w:val="0"/>
            <w:vAlign w:val="center"/>
          </w:tcPr>
          <w:p w14:paraId="23507405">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rPr>
            </w:pPr>
            <w:r>
              <w:rPr>
                <w:rFonts w:hint="eastAsia" w:ascii="Times New Roman" w:hAnsi="Times New Roman" w:eastAsia="宋体" w:cs="宋体"/>
                <w:snapToGrid w:val="0"/>
                <w:color w:val="auto"/>
                <w:spacing w:val="0"/>
                <w:sz w:val="21"/>
                <w:szCs w:val="21"/>
              </w:rPr>
              <w:t>0-30m</w:t>
            </w:r>
            <w:r>
              <w:rPr>
                <w:rFonts w:hint="eastAsia" w:ascii="Times New Roman" w:hAnsi="Times New Roman" w:eastAsia="宋体" w:cs="宋体"/>
                <w:snapToGrid w:val="0"/>
                <w:color w:val="auto"/>
                <w:spacing w:val="0"/>
                <w:sz w:val="21"/>
                <w:szCs w:val="21"/>
                <w:vertAlign w:val="superscript"/>
              </w:rPr>
              <w:t>3</w:t>
            </w:r>
            <w:r>
              <w:rPr>
                <w:rFonts w:hint="eastAsia" w:ascii="Times New Roman" w:hAnsi="Times New Roman" w:eastAsia="宋体" w:cs="宋体"/>
                <w:snapToGrid w:val="0"/>
                <w:color w:val="auto"/>
                <w:spacing w:val="0"/>
                <w:sz w:val="21"/>
                <w:szCs w:val="21"/>
              </w:rPr>
              <w:t>/h, DN50</w:t>
            </w:r>
          </w:p>
        </w:tc>
      </w:tr>
      <w:tr w14:paraId="1C9F50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392" w:type="pct"/>
            <w:tcBorders>
              <w:tl2br w:val="nil"/>
              <w:tr2bl w:val="nil"/>
            </w:tcBorders>
            <w:noWrap w:val="0"/>
            <w:vAlign w:val="center"/>
          </w:tcPr>
          <w:p w14:paraId="7CD2DEA1">
            <w:pPr>
              <w:pStyle w:val="31"/>
              <w:numPr>
                <w:ilvl w:val="0"/>
                <w:numId w:val="1"/>
              </w:numPr>
              <w:adjustRightInd w:val="0"/>
              <w:snapToGrid w:val="0"/>
              <w:spacing w:line="240" w:lineRule="auto"/>
              <w:ind w:left="0" w:leftChars="0" w:firstLine="0" w:firstLineChars="0"/>
              <w:jc w:val="center"/>
              <w:rPr>
                <w:rFonts w:hint="default" w:ascii="Times New Roman" w:hAnsi="Times New Roman" w:eastAsia="宋体" w:cs="宋体"/>
                <w:snapToGrid w:val="0"/>
                <w:color w:val="auto"/>
                <w:spacing w:val="0"/>
                <w:sz w:val="21"/>
                <w:szCs w:val="21"/>
                <w:lang w:val="en-US" w:eastAsia="zh-CN"/>
              </w:rPr>
            </w:pPr>
          </w:p>
        </w:tc>
        <w:tc>
          <w:tcPr>
            <w:tcW w:w="666" w:type="pct"/>
            <w:tcBorders>
              <w:tl2br w:val="nil"/>
              <w:tr2bl w:val="nil"/>
            </w:tcBorders>
            <w:noWrap w:val="0"/>
            <w:vAlign w:val="center"/>
          </w:tcPr>
          <w:p w14:paraId="720B4FB6">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废水处理</w:t>
            </w:r>
          </w:p>
        </w:tc>
        <w:tc>
          <w:tcPr>
            <w:tcW w:w="1197" w:type="pct"/>
            <w:tcBorders>
              <w:tl2br w:val="nil"/>
              <w:tr2bl w:val="nil"/>
            </w:tcBorders>
            <w:noWrap w:val="0"/>
            <w:vAlign w:val="center"/>
          </w:tcPr>
          <w:p w14:paraId="7D49DE22">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黑膜发酵系统</w:t>
            </w:r>
          </w:p>
        </w:tc>
        <w:tc>
          <w:tcPr>
            <w:tcW w:w="387" w:type="pct"/>
            <w:tcBorders>
              <w:tl2br w:val="nil"/>
              <w:tr2bl w:val="nil"/>
            </w:tcBorders>
            <w:noWrap w:val="0"/>
            <w:vAlign w:val="center"/>
          </w:tcPr>
          <w:p w14:paraId="03AC0FCD">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p>
        </w:tc>
        <w:tc>
          <w:tcPr>
            <w:tcW w:w="441" w:type="pct"/>
            <w:tcBorders>
              <w:tl2br w:val="nil"/>
              <w:tr2bl w:val="nil"/>
            </w:tcBorders>
            <w:noWrap w:val="0"/>
            <w:vAlign w:val="center"/>
          </w:tcPr>
          <w:p w14:paraId="5D2DD31C">
            <w:pPr>
              <w:pStyle w:val="31"/>
              <w:adjustRightInd w:val="0"/>
              <w:snapToGrid w:val="0"/>
              <w:spacing w:line="240" w:lineRule="auto"/>
              <w:ind w:firstLine="0" w:firstLineChars="0"/>
              <w:jc w:val="center"/>
              <w:rPr>
                <w:rFonts w:hint="default"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snapToGrid w:val="0"/>
                <w:color w:val="auto"/>
                <w:spacing w:val="0"/>
                <w:sz w:val="21"/>
                <w:szCs w:val="21"/>
                <w:lang w:val="en-US" w:eastAsia="zh-CN"/>
              </w:rPr>
              <w:t>1套</w:t>
            </w:r>
          </w:p>
        </w:tc>
        <w:tc>
          <w:tcPr>
            <w:tcW w:w="1914" w:type="pct"/>
            <w:tcBorders>
              <w:tl2br w:val="nil"/>
              <w:tr2bl w:val="nil"/>
            </w:tcBorders>
            <w:noWrap w:val="0"/>
            <w:vAlign w:val="center"/>
          </w:tcPr>
          <w:p w14:paraId="21A226D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highlight w:val="none"/>
                <w:lang w:val="en-US" w:eastAsia="zh-CN"/>
              </w:rPr>
            </w:pPr>
            <w:r>
              <w:rPr>
                <w:rFonts w:hint="eastAsia" w:ascii="Times New Roman" w:hAnsi="Times New Roman" w:eastAsia="宋体" w:cs="宋体"/>
                <w:color w:val="auto"/>
                <w:sz w:val="21"/>
                <w:highlight w:val="none"/>
                <w:lang w:val="en-US" w:eastAsia="zh-CN"/>
              </w:rPr>
              <w:t>黑膜氧化池有效容积：18000m</w:t>
            </w:r>
            <w:r>
              <w:rPr>
                <w:rFonts w:hint="eastAsia" w:ascii="Times New Roman" w:hAnsi="Times New Roman" w:eastAsia="宋体" w:cs="宋体"/>
                <w:color w:val="auto"/>
                <w:sz w:val="21"/>
                <w:highlight w:val="none"/>
                <w:vertAlign w:val="superscript"/>
                <w:lang w:val="en-US" w:eastAsia="zh-CN"/>
              </w:rPr>
              <w:t>3</w:t>
            </w:r>
          </w:p>
          <w:p w14:paraId="70424DC8">
            <w:pPr>
              <w:pStyle w:val="31"/>
              <w:adjustRightInd w:val="0"/>
              <w:snapToGrid w:val="0"/>
              <w:spacing w:line="240" w:lineRule="auto"/>
              <w:ind w:firstLine="0" w:firstLineChars="0"/>
              <w:jc w:val="center"/>
              <w:rPr>
                <w:rFonts w:hint="eastAsia" w:ascii="Times New Roman" w:hAnsi="Times New Roman" w:eastAsia="宋体" w:cs="宋体"/>
                <w:snapToGrid w:val="0"/>
                <w:color w:val="auto"/>
                <w:spacing w:val="0"/>
                <w:sz w:val="21"/>
                <w:szCs w:val="21"/>
                <w:lang w:val="en-US" w:eastAsia="zh-CN"/>
              </w:rPr>
            </w:pPr>
            <w:r>
              <w:rPr>
                <w:rFonts w:hint="eastAsia" w:ascii="Times New Roman" w:hAnsi="Times New Roman" w:eastAsia="宋体" w:cs="宋体"/>
                <w:color w:val="auto"/>
                <w:sz w:val="21"/>
                <w:highlight w:val="none"/>
                <w:lang w:val="en-US" w:eastAsia="zh-CN"/>
              </w:rPr>
              <w:t>发酵时间：30d</w:t>
            </w:r>
          </w:p>
        </w:tc>
      </w:tr>
    </w:tbl>
    <w:p w14:paraId="1E48FFEC">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4.3.3、清洗废水处理工艺流程</w:t>
      </w:r>
      <w:bookmarkEnd w:id="31"/>
    </w:p>
    <w:p w14:paraId="531F4BB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1、机械格栅</w:t>
      </w:r>
    </w:p>
    <w:p w14:paraId="6087207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清洗废水首先通过格栅筛除大块马铃薯皮。</w:t>
      </w:r>
    </w:p>
    <w:p w14:paraId="0A0EBFA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2、循环沉淀池</w:t>
      </w:r>
    </w:p>
    <w:p w14:paraId="5F2AFFD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格栅出水进入循环沉淀池，通过加药装置加入PAM、PAC进行絮凝沉降处理，沉降后上层清液作为回用水，用于马铃薯清洗使用，废水每年生产期结束后排放一次，排放至黑膜氧化池；下层淤泥还田利用。</w:t>
      </w:r>
    </w:p>
    <w:p w14:paraId="00DC1C86">
      <w:pPr>
        <w:bidi w:val="0"/>
        <w:rPr>
          <w:rFonts w:hint="default" w:ascii="Times New Roman" w:hAnsi="Times New Roman" w:eastAsia="宋体" w:cs="宋体"/>
          <w:b/>
          <w:bCs/>
          <w:color w:val="auto"/>
          <w:spacing w:val="-5"/>
          <w:sz w:val="24"/>
          <w:szCs w:val="24"/>
          <w:lang w:val="en-US" w:eastAsia="zh-CN"/>
        </w:rPr>
      </w:pPr>
      <w:r>
        <w:rPr>
          <w:rFonts w:hint="default" w:ascii="Times New Roman" w:hAnsi="Times New Roman" w:eastAsia="宋体" w:cs="宋体"/>
          <w:b/>
          <w:bCs/>
          <w:color w:val="auto"/>
          <w:spacing w:val="-5"/>
          <w:sz w:val="24"/>
          <w:szCs w:val="24"/>
          <w:lang w:val="en-US" w:eastAsia="zh-CN"/>
        </w:rPr>
        <w:object>
          <v:shape id="_x0000_i1026" o:spt="75" type="#_x0000_t75" style="height:387.7pt;width:409.6pt;" o:ole="t" filled="f" o:preferrelative="t" stroked="t" coordsize="21600,21600">
            <v:path/>
            <v:fill on="f" focussize="0,0"/>
            <v:stroke color="#000000" joinstyle="miter"/>
            <v:imagedata r:id="rId39" o:title=""/>
            <o:lock v:ext="edit" aspectratio="f"/>
            <w10:wrap type="none"/>
            <w10:anchorlock/>
          </v:shape>
          <o:OLEObject Type="Embed" ProgID="Visio.Drawing.11" ShapeID="_x0000_i1026" DrawAspect="Content" ObjectID="_1468075726" r:id="rId38">
            <o:LockedField>false</o:LockedField>
          </o:OLEObject>
        </w:object>
      </w:r>
    </w:p>
    <w:p w14:paraId="36FBDFCE">
      <w:pPr>
        <w:pStyle w:val="30"/>
        <w:spacing w:line="240" w:lineRule="auto"/>
        <w:ind w:firstLine="198" w:firstLineChars="82"/>
        <w:jc w:val="center"/>
        <w:rPr>
          <w:rFonts w:hint="eastAsia" w:ascii="Times New Roman" w:hAnsi="Times New Roman" w:eastAsia="宋体" w:cs="宋体"/>
          <w:b/>
          <w:bCs w:val="0"/>
          <w:color w:val="auto"/>
          <w:lang w:val="en-US" w:eastAsia="zh-CN"/>
        </w:rPr>
      </w:pPr>
      <w:r>
        <w:rPr>
          <w:rFonts w:hint="eastAsia" w:ascii="Times New Roman" w:hAnsi="Times New Roman" w:eastAsia="宋体" w:cs="宋体"/>
          <w:b/>
          <w:bCs w:val="0"/>
          <w:color w:val="auto"/>
          <w:lang w:val="en-US" w:eastAsia="zh-CN"/>
        </w:rPr>
        <w:t>图4-2   清洗废水处理工艺流程</w:t>
      </w:r>
    </w:p>
    <w:p w14:paraId="6C273EBB">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bookmarkStart w:id="32" w:name="_Toc28260"/>
      <w:r>
        <w:rPr>
          <w:rFonts w:hint="eastAsia" w:ascii="Times New Roman" w:hAnsi="Times New Roman" w:eastAsia="宋体" w:cs="宋体"/>
          <w:b/>
          <w:color w:val="auto"/>
          <w:sz w:val="24"/>
          <w:lang w:val="en-US" w:eastAsia="zh-CN"/>
        </w:rPr>
        <w:t>4.3.4、生产废水处理工艺</w:t>
      </w:r>
      <w:bookmarkEnd w:id="32"/>
    </w:p>
    <w:p w14:paraId="05615A90">
      <w:pPr>
        <w:pStyle w:val="7"/>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4.3.4.1、废水处理工艺比选：</w:t>
      </w:r>
    </w:p>
    <w:p w14:paraId="5866F93A">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color w:val="auto"/>
          <w:lang w:val="en-US" w:eastAsia="zh-CN"/>
        </w:rPr>
      </w:pPr>
      <w:r>
        <w:rPr>
          <w:rFonts w:hint="eastAsia"/>
          <w:color w:val="auto"/>
          <w:lang w:val="en-US" w:eastAsia="zh-CN"/>
        </w:rPr>
        <w:t>本项目生产废水处理工艺比选主要从技术性、经济性、环境效益性等方面进行分析。本项目生产废水处理工艺比选见表4-5。</w:t>
      </w:r>
    </w:p>
    <w:p w14:paraId="3E4E28D3">
      <w:pPr>
        <w:pStyle w:val="2"/>
        <w:keepNext w:val="0"/>
        <w:keepLines w:val="0"/>
        <w:pageBreakBefore w:val="0"/>
        <w:kinsoku w:val="0"/>
        <w:wordWrap/>
        <w:overflowPunct/>
        <w:topLinePunct w:val="0"/>
        <w:autoSpaceDE w:val="0"/>
        <w:autoSpaceDN w:val="0"/>
        <w:bidi w:val="0"/>
        <w:adjustRightInd w:val="0"/>
        <w:snapToGrid w:val="0"/>
        <w:spacing w:line="360" w:lineRule="auto"/>
        <w:ind w:firstLine="482" w:firstLineChars="200"/>
        <w:jc w:val="center"/>
        <w:textAlignment w:val="baseline"/>
        <w:rPr>
          <w:rFonts w:hint="eastAsia" w:ascii="Times New Roman" w:hAnsi="Times New Roman" w:cs="宋体"/>
          <w:b/>
          <w:bCs/>
          <w:snapToGrid w:val="0"/>
          <w:color w:val="auto"/>
          <w:kern w:val="0"/>
          <w:sz w:val="24"/>
          <w:szCs w:val="24"/>
          <w:lang w:val="en-US" w:eastAsia="zh-CN" w:bidi="ar"/>
        </w:rPr>
      </w:pPr>
      <w:r>
        <w:rPr>
          <w:rFonts w:hint="eastAsia" w:ascii="Times New Roman" w:hAnsi="Times New Roman" w:cs="宋体"/>
          <w:b/>
          <w:bCs/>
          <w:snapToGrid w:val="0"/>
          <w:color w:val="auto"/>
          <w:kern w:val="0"/>
          <w:sz w:val="24"/>
          <w:szCs w:val="24"/>
          <w:lang w:val="en-US" w:eastAsia="zh-CN" w:bidi="ar"/>
        </w:rPr>
        <w:t>表4-5   生产废水处理工艺比选表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2809"/>
        <w:gridCol w:w="2384"/>
        <w:gridCol w:w="1743"/>
      </w:tblGrid>
      <w:tr w14:paraId="42FF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Align w:val="center"/>
          </w:tcPr>
          <w:p w14:paraId="45D1C34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因素</w:t>
            </w:r>
          </w:p>
        </w:tc>
        <w:tc>
          <w:tcPr>
            <w:tcW w:w="1648" w:type="pct"/>
            <w:vAlign w:val="center"/>
          </w:tcPr>
          <w:p w14:paraId="419526B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方案A：黑膜氧化池发酵资源化利用模式</w:t>
            </w:r>
          </w:p>
        </w:tc>
        <w:tc>
          <w:tcPr>
            <w:tcW w:w="1399" w:type="pct"/>
            <w:vAlign w:val="center"/>
          </w:tcPr>
          <w:p w14:paraId="46D3F2C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方案B：提取蛋白+还田利用模式</w:t>
            </w:r>
          </w:p>
        </w:tc>
        <w:tc>
          <w:tcPr>
            <w:tcW w:w="1023" w:type="pct"/>
            <w:vAlign w:val="center"/>
          </w:tcPr>
          <w:p w14:paraId="3BBEE2D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比选意见</w:t>
            </w:r>
          </w:p>
        </w:tc>
      </w:tr>
      <w:tr w14:paraId="06DD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Align w:val="center"/>
          </w:tcPr>
          <w:p w14:paraId="2B8D1CB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工艺流程</w:t>
            </w:r>
          </w:p>
        </w:tc>
        <w:tc>
          <w:tcPr>
            <w:tcW w:w="1648" w:type="pct"/>
            <w:vAlign w:val="center"/>
          </w:tcPr>
          <w:p w14:paraId="72F23CD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废水→黑膜氧化池（发酵30天以上）→还田资源化利用</w:t>
            </w:r>
          </w:p>
        </w:tc>
        <w:tc>
          <w:tcPr>
            <w:tcW w:w="1399" w:type="pct"/>
            <w:vAlign w:val="center"/>
          </w:tcPr>
          <w:p w14:paraId="26A8540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提取蛋白→沉淀→消毒预处理→还田利用</w:t>
            </w:r>
          </w:p>
        </w:tc>
        <w:tc>
          <w:tcPr>
            <w:tcW w:w="1023" w:type="pct"/>
            <w:vAlign w:val="center"/>
          </w:tcPr>
          <w:p w14:paraId="2D00C35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方案A工艺较简单</w:t>
            </w:r>
          </w:p>
        </w:tc>
      </w:tr>
      <w:tr w14:paraId="2BD3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Align w:val="center"/>
          </w:tcPr>
          <w:p w14:paraId="0F7B2B1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投资成本</w:t>
            </w:r>
          </w:p>
        </w:tc>
        <w:tc>
          <w:tcPr>
            <w:tcW w:w="1648" w:type="pct"/>
            <w:vAlign w:val="center"/>
          </w:tcPr>
          <w:p w14:paraId="295287B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低（仅需黑膜池）</w:t>
            </w:r>
          </w:p>
        </w:tc>
        <w:tc>
          <w:tcPr>
            <w:tcW w:w="1399" w:type="pct"/>
            <w:vAlign w:val="center"/>
          </w:tcPr>
          <w:p w14:paraId="3A560FA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中（+蛋白提取设备）</w:t>
            </w:r>
          </w:p>
        </w:tc>
        <w:tc>
          <w:tcPr>
            <w:tcW w:w="1023" w:type="pct"/>
            <w:vAlign w:val="center"/>
          </w:tcPr>
          <w:p w14:paraId="1E6DE7C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方案A投资成本较低</w:t>
            </w:r>
          </w:p>
        </w:tc>
      </w:tr>
      <w:tr w14:paraId="23C9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Align w:val="center"/>
          </w:tcPr>
          <w:p w14:paraId="016F6A5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废水处理效率</w:t>
            </w:r>
          </w:p>
        </w:tc>
        <w:tc>
          <w:tcPr>
            <w:tcW w:w="1648" w:type="pct"/>
            <w:vAlign w:val="center"/>
          </w:tcPr>
          <w:p w14:paraId="3EE8313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发酵周期30~45天</w:t>
            </w:r>
          </w:p>
        </w:tc>
        <w:tc>
          <w:tcPr>
            <w:tcW w:w="1399" w:type="pct"/>
            <w:vAlign w:val="center"/>
          </w:tcPr>
          <w:p w14:paraId="0EF68F6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预处理后COD降低30-40%，发酵周期缩短至20-30天</w:t>
            </w:r>
          </w:p>
        </w:tc>
        <w:tc>
          <w:tcPr>
            <w:tcW w:w="1023" w:type="pct"/>
            <w:vAlign w:val="center"/>
          </w:tcPr>
          <w:p w14:paraId="4ECF662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方案B处理效率较高</w:t>
            </w:r>
          </w:p>
        </w:tc>
      </w:tr>
      <w:tr w14:paraId="50C5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Align w:val="center"/>
          </w:tcPr>
          <w:p w14:paraId="51BACFA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运行能耗</w:t>
            </w:r>
          </w:p>
        </w:tc>
        <w:tc>
          <w:tcPr>
            <w:tcW w:w="1648" w:type="pct"/>
            <w:vAlign w:val="center"/>
          </w:tcPr>
          <w:p w14:paraId="3C20FAB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低（仅发酵管理）</w:t>
            </w:r>
          </w:p>
        </w:tc>
        <w:tc>
          <w:tcPr>
            <w:tcW w:w="1399" w:type="pct"/>
            <w:vAlign w:val="center"/>
          </w:tcPr>
          <w:p w14:paraId="43957BF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中（蛋白分离耗电+维护）</w:t>
            </w:r>
          </w:p>
        </w:tc>
        <w:tc>
          <w:tcPr>
            <w:tcW w:w="1023" w:type="pct"/>
            <w:vAlign w:val="center"/>
          </w:tcPr>
          <w:p w14:paraId="79EE66E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方案A后期运行成本较低</w:t>
            </w:r>
          </w:p>
        </w:tc>
      </w:tr>
      <w:tr w14:paraId="66C6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Align w:val="center"/>
          </w:tcPr>
          <w:p w14:paraId="1288DBB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长期稳定性</w:t>
            </w:r>
          </w:p>
        </w:tc>
        <w:tc>
          <w:tcPr>
            <w:tcW w:w="1648" w:type="pct"/>
            <w:vAlign w:val="center"/>
          </w:tcPr>
          <w:p w14:paraId="4F29614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高（适应水质波动）</w:t>
            </w:r>
          </w:p>
        </w:tc>
        <w:tc>
          <w:tcPr>
            <w:tcW w:w="1399" w:type="pct"/>
            <w:vAlign w:val="center"/>
          </w:tcPr>
          <w:p w14:paraId="58D0D1C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中（蛋白提取需调控、提取设备易堵塞、效率不稳定）</w:t>
            </w:r>
          </w:p>
        </w:tc>
        <w:tc>
          <w:tcPr>
            <w:tcW w:w="1023" w:type="pct"/>
            <w:vAlign w:val="center"/>
          </w:tcPr>
          <w:p w14:paraId="61876EB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方案A较稳定</w:t>
            </w:r>
          </w:p>
        </w:tc>
      </w:tr>
      <w:tr w14:paraId="09B0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Align w:val="center"/>
          </w:tcPr>
          <w:p w14:paraId="17B999D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资源化效果</w:t>
            </w:r>
          </w:p>
        </w:tc>
        <w:tc>
          <w:tcPr>
            <w:tcW w:w="1648" w:type="pct"/>
            <w:vAlign w:val="center"/>
          </w:tcPr>
          <w:p w14:paraId="142ABFD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养分回收率大于95%，还田肥效稳定，但无额外收益</w:t>
            </w:r>
          </w:p>
        </w:tc>
        <w:tc>
          <w:tcPr>
            <w:tcW w:w="1399" w:type="pct"/>
            <w:vAlign w:val="center"/>
          </w:tcPr>
          <w:p w14:paraId="72F75B8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蛋白回收率≤15%+残余养分80%，发酵液肥效相当，但总量减少，蛋白粉收益（约800元/吨，但产量低）</w:t>
            </w:r>
          </w:p>
        </w:tc>
        <w:tc>
          <w:tcPr>
            <w:tcW w:w="1023" w:type="pct"/>
            <w:vAlign w:val="center"/>
          </w:tcPr>
          <w:p w14:paraId="702C547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方案B有额外收益</w:t>
            </w:r>
          </w:p>
        </w:tc>
      </w:tr>
      <w:tr w14:paraId="7C05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vAlign w:val="center"/>
          </w:tcPr>
          <w:p w14:paraId="0C5B381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厂区用地</w:t>
            </w:r>
          </w:p>
        </w:tc>
        <w:tc>
          <w:tcPr>
            <w:tcW w:w="1648" w:type="pct"/>
            <w:vAlign w:val="center"/>
          </w:tcPr>
          <w:p w14:paraId="17C09F7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需大型氧化池</w:t>
            </w:r>
          </w:p>
        </w:tc>
        <w:tc>
          <w:tcPr>
            <w:tcW w:w="1399" w:type="pct"/>
            <w:vAlign w:val="center"/>
          </w:tcPr>
          <w:p w14:paraId="7BE5900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氧化池面积减少30%，但需设蛋白车间</w:t>
            </w:r>
          </w:p>
        </w:tc>
        <w:tc>
          <w:tcPr>
            <w:tcW w:w="1023" w:type="pct"/>
            <w:vAlign w:val="center"/>
          </w:tcPr>
          <w:p w14:paraId="089B57E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两方案相当</w:t>
            </w:r>
          </w:p>
        </w:tc>
      </w:tr>
    </w:tbl>
    <w:p w14:paraId="7291CDD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由上表可知，方案</w:t>
      </w:r>
      <w:r>
        <w:rPr>
          <w:rFonts w:hint="eastAsia" w:ascii="Times New Roman" w:hAnsi="Times New Roman" w:eastAsia="宋体" w:cs="宋体"/>
          <w:color w:val="auto"/>
          <w:sz w:val="24"/>
          <w:lang w:val="en-US" w:eastAsia="zh-CN"/>
        </w:rPr>
        <w:t>A相较于方案B具有工艺流程简单、投资及后期运营成本较低、长期稳定性较高的优势，而方案B具有处理效率高、企业可获得额外收益的优势。通过综合分析，在满足农田消纳能力的前提下，方案A是现阶段更高效、经济且环境风险可控的选择。蛋白提取技术可作为企业远期升级方向，但当前经济性与稳定性不足。</w:t>
      </w:r>
    </w:p>
    <w:p w14:paraId="70C7E2FC">
      <w:pPr>
        <w:pStyle w:val="7"/>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default"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4.3.4.2、黑膜氧化池废水处理工艺流程</w:t>
      </w:r>
    </w:p>
    <w:p w14:paraId="571FF7F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本方案采用黑膜氧化池集发酵、贮气于一体，是在开挖好的土方基础上，采用优质HDPE材料，由底膜和顶膜密封形成的全封闭厌氧反应器。在发酵池内，污水中的有机物在微生物作用下降解转化生成沼气，系统配置沼气净化和利用设施。发酵池容积大、深度较深，污水进入池内后，每天进水量相对较少，因此对污水的冲击负荷强，发酵池主体工程位于地面以下。</w:t>
      </w:r>
    </w:p>
    <w:p w14:paraId="1636DB8D">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顶部、底部用黑膜密封，和外界环境气温不流通，形成独特的小气候，废水在池内的滞留期长，厌氧发酵充分，可收集的沼气量多。参照《沼肥施用技术规范》NY/T2065-2011中沼气池发酵工艺条件要求，常温条件下沼气发酵时间在30天以上。发酵后的沼液沼渣用作农肥使用，厌氧发酵产生的沼气经沼气净化系统净化后通过导气管输送至火炬直接燃烧处理。</w:t>
      </w:r>
    </w:p>
    <w:p w14:paraId="43AF483E">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厂区废水经厂区废液池调节后，经管道进入氧化池进行发酵处理。氧化池为全封闭结构，避免废气外溢。氧化池内液体经发酵后通过沼液池还田。氧化池内产生的气体经净化后燃烧。采用该技术处理的液体，具有发酵容积大、运行费用低等优势。</w:t>
      </w:r>
    </w:p>
    <w:p w14:paraId="3B7FACB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b w:val="0"/>
          <w:bCs w:val="0"/>
          <w:color w:val="auto"/>
          <w:spacing w:val="-6"/>
          <w:sz w:val="24"/>
          <w:szCs w:val="24"/>
          <w:lang w:val="en-US" w:eastAsia="zh-CN"/>
        </w:rPr>
      </w:pPr>
      <w:r>
        <w:rPr>
          <w:rFonts w:hint="eastAsia" w:ascii="Times New Roman" w:hAnsi="Times New Roman" w:eastAsia="宋体" w:cs="宋体"/>
          <w:snapToGrid w:val="0"/>
          <w:color w:val="auto"/>
          <w:kern w:val="0"/>
          <w:sz w:val="24"/>
          <w:szCs w:val="24"/>
          <w:lang w:val="en-US" w:eastAsia="zh-CN" w:bidi="ar"/>
        </w:rPr>
        <w:t>氧化池采用HDPE膜铺设做防渗处理，底膜为1.5mm，顶膜为1.5mm。在底膜下面做排气管以及顶膜和底膜之间铺设沼气收集管道。</w:t>
      </w:r>
    </w:p>
    <w:p w14:paraId="4BCC8D9F">
      <w:pPr>
        <w:keepNext w:val="0"/>
        <w:keepLines w:val="0"/>
        <w:pageBreakBefore w:val="0"/>
        <w:widowControl/>
        <w:suppressLineNumbers w:val="0"/>
        <w:kinsoku w:val="0"/>
        <w:wordWrap/>
        <w:overflowPunct/>
        <w:topLinePunct w:val="0"/>
        <w:autoSpaceDE w:val="0"/>
        <w:autoSpaceDN w:val="0"/>
        <w:bidi w:val="0"/>
        <w:adjustRightInd/>
        <w:snapToGrid w:val="0"/>
        <w:spacing w:line="360" w:lineRule="auto"/>
        <w:ind w:left="0" w:leftChars="0" w:right="0" w:firstLine="0" w:firstLineChars="0"/>
        <w:jc w:val="left"/>
        <w:textAlignment w:val="baseline"/>
        <w:rPr>
          <w:rFonts w:hint="eastAsia" w:ascii="Times New Roman" w:hAnsi="Times New Roman" w:eastAsia="宋体" w:cs="宋体"/>
          <w:b w:val="0"/>
          <w:bCs w:val="0"/>
          <w:color w:val="auto"/>
          <w:spacing w:val="-5"/>
          <w:sz w:val="24"/>
          <w:szCs w:val="24"/>
          <w:lang w:val="en-US" w:eastAsia="zh-CN"/>
        </w:rPr>
      </w:pPr>
      <w:r>
        <w:rPr>
          <w:rFonts w:hint="eastAsia" w:ascii="Times New Roman" w:hAnsi="Times New Roman" w:eastAsia="宋体" w:cs="宋体"/>
          <w:b w:val="0"/>
          <w:bCs w:val="0"/>
          <w:color w:val="auto"/>
          <w:spacing w:val="-5"/>
          <w:sz w:val="24"/>
          <w:szCs w:val="24"/>
          <w:lang w:val="en-US" w:eastAsia="zh-CN"/>
        </w:rPr>
        <w:drawing>
          <wp:inline distT="0" distB="0" distL="114300" distR="114300">
            <wp:extent cx="5269230" cy="1978025"/>
            <wp:effectExtent l="9525" t="9525" r="17145" b="1270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pic:cNvPicPr>
                  </pic:nvPicPr>
                  <pic:blipFill>
                    <a:blip r:embed="rId40"/>
                    <a:stretch>
                      <a:fillRect/>
                    </a:stretch>
                  </pic:blipFill>
                  <pic:spPr>
                    <a:xfrm>
                      <a:off x="0" y="0"/>
                      <a:ext cx="5269230" cy="1978025"/>
                    </a:xfrm>
                    <a:prstGeom prst="rect">
                      <a:avLst/>
                    </a:prstGeom>
                    <a:ln>
                      <a:solidFill>
                        <a:schemeClr val="tx1"/>
                      </a:solidFill>
                    </a:ln>
                  </pic:spPr>
                </pic:pic>
              </a:graphicData>
            </a:graphic>
          </wp:inline>
        </w:drawing>
      </w:r>
    </w:p>
    <w:p w14:paraId="3307D85A">
      <w:pPr>
        <w:pStyle w:val="30"/>
        <w:spacing w:line="240" w:lineRule="auto"/>
        <w:ind w:firstLine="198" w:firstLineChars="82"/>
        <w:jc w:val="center"/>
        <w:rPr>
          <w:rFonts w:hint="default" w:ascii="Times New Roman" w:hAnsi="Times New Roman" w:eastAsia="宋体" w:cs="宋体"/>
          <w:b/>
          <w:bCs w:val="0"/>
          <w:color w:val="auto"/>
          <w:lang w:val="en-US" w:eastAsia="zh-CN"/>
        </w:rPr>
      </w:pPr>
      <w:r>
        <w:rPr>
          <w:rFonts w:hint="eastAsia" w:ascii="Times New Roman" w:hAnsi="Times New Roman" w:eastAsia="宋体" w:cs="宋体"/>
          <w:b/>
          <w:bCs w:val="0"/>
          <w:color w:val="auto"/>
          <w:lang w:val="en-US" w:eastAsia="zh-CN"/>
        </w:rPr>
        <w:t>图4-3   黑膜氧化池剖面示意图</w:t>
      </w:r>
    </w:p>
    <w:p w14:paraId="145D4FD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（1）废液调节池</w:t>
      </w:r>
    </w:p>
    <w:p w14:paraId="60EC9DB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生产废水由生产车间排入废液调节池内，通过一定时间的停留，对废水的水质水量及PH进行均衡调节，并消除废水中的泡沫，保证后续处理单元的稳定运行。调节池调节沉淀后上层清液进入黑膜氧化池，下层淤泥定期清掏拉运至氧化池发酵后作为沼渣还田利用。</w:t>
      </w:r>
    </w:p>
    <w:p w14:paraId="6355DE9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（2）黑膜氧化池</w:t>
      </w:r>
    </w:p>
    <w:p w14:paraId="45BC556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vertAlign w:val="baseline"/>
          <w:lang w:val="en-US" w:eastAsia="zh-CN" w:bidi="ar"/>
        </w:rPr>
      </w:pPr>
      <w:r>
        <w:rPr>
          <w:rFonts w:hint="eastAsia" w:ascii="Times New Roman" w:hAnsi="Times New Roman" w:eastAsia="宋体" w:cs="宋体"/>
          <w:snapToGrid w:val="0"/>
          <w:color w:val="auto"/>
          <w:kern w:val="0"/>
          <w:sz w:val="24"/>
          <w:szCs w:val="24"/>
          <w:lang w:val="en-US" w:eastAsia="zh-CN" w:bidi="ar"/>
        </w:rPr>
        <w:t>本项目设置有效容积18000m</w:t>
      </w:r>
      <w:r>
        <w:rPr>
          <w:rFonts w:hint="eastAsia" w:ascii="Times New Roman" w:hAnsi="Times New Roman" w:eastAsia="宋体" w:cs="宋体"/>
          <w:snapToGrid w:val="0"/>
          <w:color w:val="auto"/>
          <w:kern w:val="0"/>
          <w:sz w:val="24"/>
          <w:szCs w:val="24"/>
          <w:vertAlign w:val="superscript"/>
          <w:lang w:val="en-US" w:eastAsia="zh-CN" w:bidi="ar"/>
        </w:rPr>
        <w:t>3</w:t>
      </w:r>
      <w:r>
        <w:rPr>
          <w:rFonts w:hint="eastAsia" w:ascii="Times New Roman" w:hAnsi="Times New Roman" w:eastAsia="宋体" w:cs="宋体"/>
          <w:snapToGrid w:val="0"/>
          <w:color w:val="auto"/>
          <w:kern w:val="0"/>
          <w:sz w:val="24"/>
          <w:szCs w:val="24"/>
          <w:vertAlign w:val="baseline"/>
          <w:lang w:val="en-US" w:eastAsia="zh-CN" w:bidi="ar"/>
        </w:rPr>
        <w:t>的黑膜氧化池一座，池内等分为6个小池体，每个小池体容积约3000m</w:t>
      </w:r>
      <w:r>
        <w:rPr>
          <w:rFonts w:hint="eastAsia" w:ascii="Times New Roman" w:hAnsi="Times New Roman" w:eastAsia="宋体" w:cs="宋体"/>
          <w:snapToGrid w:val="0"/>
          <w:color w:val="auto"/>
          <w:kern w:val="0"/>
          <w:sz w:val="24"/>
          <w:szCs w:val="24"/>
          <w:vertAlign w:val="superscript"/>
          <w:lang w:val="en-US" w:eastAsia="zh-CN" w:bidi="ar"/>
        </w:rPr>
        <w:t>3</w:t>
      </w:r>
      <w:r>
        <w:rPr>
          <w:rFonts w:hint="eastAsia" w:ascii="Times New Roman" w:hAnsi="Times New Roman" w:eastAsia="宋体" w:cs="宋体"/>
          <w:snapToGrid w:val="0"/>
          <w:color w:val="auto"/>
          <w:kern w:val="0"/>
          <w:sz w:val="24"/>
          <w:szCs w:val="24"/>
          <w:vertAlign w:val="baseline"/>
          <w:lang w:val="en-US" w:eastAsia="zh-CN" w:bidi="ar"/>
        </w:rPr>
        <w:t>，生产废水首先进入1号小池体，待6天后1号小池体满后，封闭1号小池体开始黑膜厌氧发酵，新产生的废水进入2号小池体，依次循环，待6号小池体满后，1号小池体中的废水已发酵30天，监测符合相应还田标准后，可将1号小池体发酵形成的沼液通过管道输送至本项目还田土地进行还田灌溉。黑膜氧化池废水处理流程见图4-4。</w:t>
      </w:r>
    </w:p>
    <w:p w14:paraId="26D776F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厌氧生物处理法按照厌氧程度分为酸化水解法和深度厌氧法，针对本项目采用深度厌氧法—黑膜氧化池。黑膜氧化池内厌氧微生物将有机物分解为甲烷，分解有机物和去除有机物的程度和效果上均优于酸化水解法。在废水的厌氧生物处理过程中，废水中的有机物经大量微生物的共同作用，被最终转化为甲烷、二氧化碳、水、硫化氢和氨。在此过程中，不同的微生物的代谢过程相互影响、制约，形成复杂的生态系统。有机物在废水中以悬浮物或胶体的形式存在，它们的厌氧降解过程可分为四个阶段：</w:t>
      </w:r>
    </w:p>
    <w:p w14:paraId="325061A7">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①水解阶段，微生物利用酶将大分子切割成小分子；</w:t>
      </w:r>
    </w:p>
    <w:p w14:paraId="445C59B8">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②发酵（或酸化）阶段，小分子有机物被发酵菌利用，在细胞内转化为简单的化合物，这一阶段的主要产物有挥发酸、醇类、乳酸、二氧化碳、氢气、氨和硫化氢等；</w:t>
      </w:r>
    </w:p>
    <w:p w14:paraId="5F97214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③产乙酸阶段，此阶段中上一阶段的产物被进一步转化为乙酸等物质；</w:t>
      </w:r>
    </w:p>
    <w:p w14:paraId="111484F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④产甲烷阶段，在此阶段产甲烷菌把乙酸、氢气、CO2等转化为甲烷。</w:t>
      </w:r>
    </w:p>
    <w:p w14:paraId="7403F87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上述四个阶段的进行，大分子有机物被转化为无机物，水质变好，同时微生物得到了生长。</w:t>
      </w:r>
    </w:p>
    <w:p w14:paraId="5D52BD6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object>
          <v:shape id="_x0000_i1027" o:spt="75" type="#_x0000_t75" style="height:249pt;width:414.9pt;" o:ole="t" filled="f" o:preferrelative="t" stroked="t" coordsize="21600,21600">
            <v:path/>
            <v:fill on="f" focussize="0,0"/>
            <v:stroke color="#000000"/>
            <v:imagedata r:id="rId42" o:title=""/>
            <o:lock v:ext="edit" aspectratio="f"/>
            <w10:wrap type="none"/>
            <w10:anchorlock/>
          </v:shape>
          <o:OLEObject Type="Embed" ProgID="Visio.Drawing.11" ShapeID="_x0000_i1027" DrawAspect="Content" ObjectID="_1468075727" r:id="rId41">
            <o:LockedField>false</o:LockedField>
          </o:OLEObject>
        </w:object>
      </w:r>
      <w:r>
        <w:rPr>
          <w:rFonts w:hint="eastAsia" w:ascii="Times New Roman" w:hAnsi="Times New Roman" w:eastAsia="宋体" w:cs="宋体"/>
          <w:b/>
          <w:bCs w:val="0"/>
          <w:color w:val="auto"/>
          <w:sz w:val="24"/>
          <w:szCs w:val="24"/>
          <w:lang w:val="en-US" w:eastAsia="zh-CN"/>
        </w:rPr>
        <w:t>图4-4   黑膜氧化池废水处理流程图</w:t>
      </w:r>
    </w:p>
    <w:p w14:paraId="7C54D0D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（3）废气处理系统</w:t>
      </w:r>
    </w:p>
    <w:p w14:paraId="3D79ABF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黑膜发酵池体用黑膜密闭，由抽气装置将池内气体（以沼气为主）引出进入沼气处理系统，经脱水、脱硫处理后通过火炬燃烧处理，极少量气体无组织排放，因此暂不考虑废气处理。</w:t>
      </w:r>
    </w:p>
    <w:p w14:paraId="76EFE87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（4）沼气处理系统</w:t>
      </w:r>
    </w:p>
    <w:p w14:paraId="45E20C8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黑膜氧化池产生的沼气经脱水、脱硫处理后通过沼气火炬燃烧处理。</w:t>
      </w:r>
    </w:p>
    <w:p w14:paraId="51A57E2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（5）计量设备</w:t>
      </w:r>
    </w:p>
    <w:p w14:paraId="100FB22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流量计对于加工废水还田非常重要，它是实时、准确、完整记录每块土地施用量的主要方式。流量计选用电磁流量计。相比工程上常用的转子流量计等。电磁流量计更不易被废水中有机质等腐蚀、堵塞，使用寿命更长，计量更准确。</w:t>
      </w:r>
    </w:p>
    <w:p w14:paraId="7858781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电磁流量计电极的选择至关重要。马铃薯淀粉加工废水pH较低，具有</w:t>
      </w:r>
      <w:r>
        <w:rPr>
          <w:rFonts w:hint="eastAsia" w:ascii="Times New Roman" w:hAnsi="Times New Roman" w:eastAsia="宋体" w:cs="宋体"/>
          <w:snapToGrid w:val="0"/>
          <w:color w:val="auto"/>
          <w:kern w:val="0"/>
          <w:sz w:val="24"/>
          <w:szCs w:val="24"/>
          <w:lang w:val="en-US" w:eastAsia="zh-CN" w:bidi="ar"/>
        </w:rPr>
        <w:t>弱</w:t>
      </w:r>
      <w:r>
        <w:rPr>
          <w:rFonts w:hint="default" w:ascii="Times New Roman" w:hAnsi="Times New Roman" w:eastAsia="宋体" w:cs="宋体"/>
          <w:snapToGrid w:val="0"/>
          <w:color w:val="auto"/>
          <w:kern w:val="0"/>
          <w:sz w:val="24"/>
          <w:szCs w:val="24"/>
          <w:lang w:val="en-US" w:eastAsia="zh-CN" w:bidi="ar"/>
        </w:rPr>
        <w:t>腐蚀性，因此电机材质选择含钼不锈钢即可，衬里选择氯丁橡胶即可。流量计使用流速最好在0.3-15m/s范围内，此时流量计口径可选择与用户管道口径一致。</w:t>
      </w:r>
    </w:p>
    <w:p w14:paraId="7FB3371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2100" w:leftChars="0" w:right="0" w:hanging="2100" w:hangingChars="1000"/>
        <w:jc w:val="left"/>
        <w:textAlignment w:val="baseline"/>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object>
          <v:shape id="_x0000_i1028" o:spt="75" type="#_x0000_t75" style="height:357.15pt;width:396.75pt;" o:ole="t" filled="f" o:preferrelative="t" stroked="t" coordsize="21600,21600">
            <v:path/>
            <v:fill on="f" focussize="0,0"/>
            <v:stroke color="#000000" joinstyle="miter"/>
            <v:imagedata r:id="rId44" o:title=""/>
            <o:lock v:ext="edit" aspectratio="f"/>
            <w10:wrap type="none"/>
            <w10:anchorlock/>
          </v:shape>
          <o:OLEObject Type="Embed" ProgID="Visio.Drawing.11" ShapeID="_x0000_i1028" DrawAspect="Content" ObjectID="_1468075728" r:id="rId43">
            <o:LockedField>false</o:LockedField>
          </o:OLEObject>
        </w:object>
      </w:r>
    </w:p>
    <w:p w14:paraId="7839DFE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2409" w:leftChars="0" w:right="0" w:hanging="2409" w:hangingChars="1000"/>
        <w:jc w:val="center"/>
        <w:textAlignment w:val="baseline"/>
        <w:rPr>
          <w:rFonts w:hint="eastAsia" w:ascii="Times New Roman" w:hAnsi="Times New Roman" w:eastAsia="宋体" w:cs="宋体"/>
          <w:b/>
          <w:bCs w:val="0"/>
          <w:color w:val="auto"/>
          <w:sz w:val="24"/>
          <w:szCs w:val="24"/>
          <w:lang w:val="en-US" w:eastAsia="zh-CN"/>
        </w:rPr>
      </w:pPr>
      <w:r>
        <w:rPr>
          <w:rFonts w:hint="eastAsia" w:ascii="Times New Roman" w:hAnsi="Times New Roman" w:eastAsia="宋体" w:cs="宋体"/>
          <w:b/>
          <w:bCs w:val="0"/>
          <w:color w:val="auto"/>
          <w:sz w:val="24"/>
          <w:szCs w:val="24"/>
          <w:lang w:val="en-US" w:eastAsia="zh-CN"/>
        </w:rPr>
        <w:t>图4-5   生产废水处理工艺流程图</w:t>
      </w:r>
    </w:p>
    <w:p w14:paraId="7FD6D681">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bCs w:val="0"/>
          <w:color w:val="auto"/>
          <w:lang w:val="en-US" w:eastAsia="zh-CN"/>
        </w:rPr>
      </w:pPr>
      <w:r>
        <w:rPr>
          <w:rFonts w:hint="eastAsia" w:ascii="Times New Roman" w:hAnsi="Times New Roman" w:eastAsia="宋体" w:cs="宋体"/>
          <w:b/>
          <w:color w:val="auto"/>
          <w:sz w:val="24"/>
          <w:lang w:val="en-US" w:eastAsia="zh-CN"/>
        </w:rPr>
        <w:t>4.3.5、废水处理系统主要配套设备</w:t>
      </w:r>
    </w:p>
    <w:p w14:paraId="1C78EE46">
      <w:pPr>
        <w:pStyle w:val="30"/>
        <w:spacing w:line="240" w:lineRule="auto"/>
        <w:ind w:firstLine="198" w:firstLineChars="82"/>
        <w:jc w:val="center"/>
        <w:rPr>
          <w:rFonts w:hint="eastAsia" w:ascii="Times New Roman" w:hAnsi="Times New Roman" w:eastAsia="宋体" w:cs="宋体"/>
          <w:b/>
          <w:bCs w:val="0"/>
          <w:color w:val="auto"/>
          <w:lang w:val="en-US" w:eastAsia="zh-CN"/>
        </w:rPr>
      </w:pPr>
      <w:r>
        <w:rPr>
          <w:rFonts w:hint="eastAsia" w:ascii="Times New Roman" w:hAnsi="Times New Roman" w:eastAsia="宋体" w:cs="宋体"/>
          <w:b/>
          <w:bCs w:val="0"/>
          <w:color w:val="auto"/>
          <w:lang w:val="en-US" w:eastAsia="zh-CN"/>
        </w:rPr>
        <w:t>表4-6   废水处理系统主要构筑物及设备一览表</w:t>
      </w:r>
    </w:p>
    <w:tbl>
      <w:tblPr>
        <w:tblStyle w:val="26"/>
        <w:tblW w:w="857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1"/>
        <w:gridCol w:w="1738"/>
        <w:gridCol w:w="3464"/>
        <w:gridCol w:w="1417"/>
        <w:gridCol w:w="1300"/>
      </w:tblGrid>
      <w:tr w14:paraId="399F73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jc w:val="center"/>
        </w:trPr>
        <w:tc>
          <w:tcPr>
            <w:tcW w:w="651" w:type="dxa"/>
            <w:tcBorders>
              <w:tl2br w:val="nil"/>
              <w:tr2bl w:val="nil"/>
            </w:tcBorders>
            <w:vAlign w:val="center"/>
          </w:tcPr>
          <w:p w14:paraId="7E1D255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序号</w:t>
            </w:r>
          </w:p>
        </w:tc>
        <w:tc>
          <w:tcPr>
            <w:tcW w:w="1738" w:type="dxa"/>
            <w:tcBorders>
              <w:tl2br w:val="nil"/>
              <w:tr2bl w:val="nil"/>
            </w:tcBorders>
            <w:vAlign w:val="center"/>
          </w:tcPr>
          <w:p w14:paraId="1D5AFB9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名称</w:t>
            </w:r>
          </w:p>
        </w:tc>
        <w:tc>
          <w:tcPr>
            <w:tcW w:w="3464" w:type="dxa"/>
            <w:tcBorders>
              <w:tl2br w:val="nil"/>
              <w:tr2bl w:val="nil"/>
            </w:tcBorders>
            <w:vAlign w:val="center"/>
          </w:tcPr>
          <w:p w14:paraId="40277E5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型号（规格）</w:t>
            </w:r>
          </w:p>
        </w:tc>
        <w:tc>
          <w:tcPr>
            <w:tcW w:w="1417" w:type="dxa"/>
            <w:tcBorders>
              <w:tl2br w:val="nil"/>
              <w:tr2bl w:val="nil"/>
            </w:tcBorders>
            <w:vAlign w:val="center"/>
          </w:tcPr>
          <w:p w14:paraId="64094EF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数量</w:t>
            </w:r>
          </w:p>
        </w:tc>
        <w:tc>
          <w:tcPr>
            <w:tcW w:w="1300" w:type="dxa"/>
            <w:tcBorders>
              <w:tl2br w:val="nil"/>
              <w:tr2bl w:val="nil"/>
            </w:tcBorders>
            <w:vAlign w:val="center"/>
          </w:tcPr>
          <w:p w14:paraId="18D37BF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备注</w:t>
            </w:r>
          </w:p>
        </w:tc>
      </w:tr>
      <w:tr w14:paraId="699268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651" w:type="dxa"/>
            <w:tcBorders>
              <w:tl2br w:val="nil"/>
              <w:tr2bl w:val="nil"/>
            </w:tcBorders>
            <w:vAlign w:val="center"/>
          </w:tcPr>
          <w:p w14:paraId="6E35CF8E">
            <w:pPr>
              <w:keepNext w:val="0"/>
              <w:keepLines w:val="0"/>
              <w:pageBreakBefore w:val="0"/>
              <w:widowControl/>
              <w:numPr>
                <w:ilvl w:val="0"/>
                <w:numId w:val="0"/>
              </w:numPr>
              <w:kinsoku w:val="0"/>
              <w:wordWrap/>
              <w:overflowPunct/>
              <w:topLinePunct w:val="0"/>
              <w:autoSpaceDE w:val="0"/>
              <w:autoSpaceDN w:val="0"/>
              <w:bidi w:val="0"/>
              <w:adjustRightInd w:val="0"/>
              <w:snapToGrid w:val="0"/>
              <w:ind w:left="0" w:leftChars="0" w:firstLine="0" w:firstLineChars="0"/>
              <w:jc w:val="center"/>
              <w:textAlignment w:val="baseline"/>
              <w:rPr>
                <w:rFonts w:hint="default" w:ascii="Times New Roman" w:hAnsi="Times New Roman" w:eastAsia="宋体" w:cs="宋体"/>
                <w:color w:val="auto"/>
                <w:sz w:val="21"/>
                <w:lang w:val="en-US" w:eastAsia="zh-CN"/>
              </w:rPr>
            </w:pPr>
            <w:r>
              <w:rPr>
                <w:rFonts w:hint="default" w:ascii="Times New Roman" w:hAnsi="Times New Roman" w:eastAsia="宋体" w:cs="宋体"/>
                <w:snapToGrid w:val="0"/>
                <w:color w:val="auto"/>
                <w:kern w:val="0"/>
                <w:sz w:val="21"/>
                <w:szCs w:val="21"/>
                <w:lang w:val="en-US" w:eastAsia="zh-CN" w:bidi="ar-SA"/>
              </w:rPr>
              <w:t>1</w:t>
            </w:r>
          </w:p>
        </w:tc>
        <w:tc>
          <w:tcPr>
            <w:tcW w:w="1738" w:type="dxa"/>
            <w:tcBorders>
              <w:tl2br w:val="nil"/>
              <w:tr2bl w:val="nil"/>
            </w:tcBorders>
            <w:vAlign w:val="center"/>
          </w:tcPr>
          <w:p w14:paraId="10F44EA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一级水线</w:t>
            </w:r>
          </w:p>
        </w:tc>
        <w:tc>
          <w:tcPr>
            <w:tcW w:w="3464" w:type="dxa"/>
            <w:tcBorders>
              <w:tl2br w:val="nil"/>
              <w:tr2bl w:val="nil"/>
            </w:tcBorders>
            <w:vAlign w:val="center"/>
          </w:tcPr>
          <w:p w14:paraId="2753022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HDPE材质</w:t>
            </w:r>
          </w:p>
        </w:tc>
        <w:tc>
          <w:tcPr>
            <w:tcW w:w="1417" w:type="dxa"/>
            <w:tcBorders>
              <w:tl2br w:val="nil"/>
              <w:tr2bl w:val="nil"/>
            </w:tcBorders>
            <w:vAlign w:val="center"/>
          </w:tcPr>
          <w:p w14:paraId="36A613C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2000m</w:t>
            </w:r>
          </w:p>
        </w:tc>
        <w:tc>
          <w:tcPr>
            <w:tcW w:w="1300" w:type="dxa"/>
            <w:tcBorders>
              <w:tl2br w:val="nil"/>
              <w:tr2bl w:val="nil"/>
            </w:tcBorders>
            <w:vAlign w:val="center"/>
          </w:tcPr>
          <w:p w14:paraId="7775C31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新增</w:t>
            </w:r>
          </w:p>
        </w:tc>
      </w:tr>
      <w:tr w14:paraId="5BDAEF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651" w:type="dxa"/>
            <w:tcBorders>
              <w:tl2br w:val="nil"/>
              <w:tr2bl w:val="nil"/>
            </w:tcBorders>
            <w:vAlign w:val="center"/>
          </w:tcPr>
          <w:p w14:paraId="3C771F72">
            <w:pPr>
              <w:keepNext w:val="0"/>
              <w:keepLines w:val="0"/>
              <w:pageBreakBefore w:val="0"/>
              <w:widowControl/>
              <w:numPr>
                <w:ilvl w:val="0"/>
                <w:numId w:val="0"/>
              </w:numPr>
              <w:kinsoku w:val="0"/>
              <w:wordWrap/>
              <w:overflowPunct/>
              <w:topLinePunct w:val="0"/>
              <w:autoSpaceDE w:val="0"/>
              <w:autoSpaceDN w:val="0"/>
              <w:bidi w:val="0"/>
              <w:adjustRightInd w:val="0"/>
              <w:snapToGrid w:val="0"/>
              <w:ind w:left="0" w:leftChars="0" w:firstLine="0" w:firstLineChars="0"/>
              <w:jc w:val="center"/>
              <w:textAlignment w:val="baseline"/>
              <w:rPr>
                <w:rFonts w:hint="default" w:ascii="Times New Roman" w:hAnsi="Times New Roman" w:eastAsia="宋体" w:cs="宋体"/>
                <w:color w:val="auto"/>
                <w:sz w:val="21"/>
                <w:lang w:val="en-US" w:eastAsia="zh-CN"/>
              </w:rPr>
            </w:pPr>
            <w:r>
              <w:rPr>
                <w:rFonts w:hint="default" w:ascii="Times New Roman" w:hAnsi="Times New Roman" w:eastAsia="宋体" w:cs="宋体"/>
                <w:snapToGrid w:val="0"/>
                <w:color w:val="auto"/>
                <w:kern w:val="0"/>
                <w:sz w:val="21"/>
                <w:szCs w:val="21"/>
                <w:lang w:val="en-US" w:eastAsia="zh-CN" w:bidi="ar-SA"/>
              </w:rPr>
              <w:t>2</w:t>
            </w:r>
          </w:p>
        </w:tc>
        <w:tc>
          <w:tcPr>
            <w:tcW w:w="1738" w:type="dxa"/>
            <w:tcBorders>
              <w:tl2br w:val="nil"/>
              <w:tr2bl w:val="nil"/>
            </w:tcBorders>
            <w:vAlign w:val="center"/>
          </w:tcPr>
          <w:p w14:paraId="7BF66C8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二级水线</w:t>
            </w:r>
          </w:p>
        </w:tc>
        <w:tc>
          <w:tcPr>
            <w:tcW w:w="3464" w:type="dxa"/>
            <w:tcBorders>
              <w:tl2br w:val="nil"/>
              <w:tr2bl w:val="nil"/>
            </w:tcBorders>
            <w:vAlign w:val="center"/>
          </w:tcPr>
          <w:p w14:paraId="119927B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HDPE材质</w:t>
            </w:r>
          </w:p>
        </w:tc>
        <w:tc>
          <w:tcPr>
            <w:tcW w:w="1417" w:type="dxa"/>
            <w:tcBorders>
              <w:tl2br w:val="nil"/>
              <w:tr2bl w:val="nil"/>
            </w:tcBorders>
            <w:vAlign w:val="center"/>
          </w:tcPr>
          <w:p w14:paraId="5A2634C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1500m</w:t>
            </w:r>
          </w:p>
        </w:tc>
        <w:tc>
          <w:tcPr>
            <w:tcW w:w="1300" w:type="dxa"/>
            <w:tcBorders>
              <w:tl2br w:val="nil"/>
              <w:tr2bl w:val="nil"/>
            </w:tcBorders>
            <w:vAlign w:val="center"/>
          </w:tcPr>
          <w:p w14:paraId="74BA817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新增</w:t>
            </w:r>
          </w:p>
        </w:tc>
      </w:tr>
      <w:tr w14:paraId="0A93F6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651" w:type="dxa"/>
            <w:tcBorders>
              <w:tl2br w:val="nil"/>
              <w:tr2bl w:val="nil"/>
            </w:tcBorders>
            <w:vAlign w:val="center"/>
          </w:tcPr>
          <w:p w14:paraId="7D7997B4">
            <w:pPr>
              <w:keepNext w:val="0"/>
              <w:keepLines w:val="0"/>
              <w:pageBreakBefore w:val="0"/>
              <w:widowControl/>
              <w:numPr>
                <w:ilvl w:val="0"/>
                <w:numId w:val="0"/>
              </w:numPr>
              <w:kinsoku w:val="0"/>
              <w:wordWrap/>
              <w:overflowPunct/>
              <w:topLinePunct w:val="0"/>
              <w:autoSpaceDE w:val="0"/>
              <w:autoSpaceDN w:val="0"/>
              <w:bidi w:val="0"/>
              <w:adjustRightInd w:val="0"/>
              <w:snapToGrid w:val="0"/>
              <w:ind w:left="0" w:leftChars="0" w:firstLine="0" w:firstLineChars="0"/>
              <w:jc w:val="center"/>
              <w:textAlignment w:val="baseline"/>
              <w:rPr>
                <w:rFonts w:hint="default" w:ascii="Times New Roman" w:hAnsi="Times New Roman" w:eastAsia="宋体" w:cs="宋体"/>
                <w:color w:val="auto"/>
                <w:sz w:val="21"/>
                <w:lang w:val="en-US" w:eastAsia="zh-CN"/>
              </w:rPr>
            </w:pPr>
            <w:r>
              <w:rPr>
                <w:rFonts w:hint="default" w:ascii="Times New Roman" w:hAnsi="Times New Roman" w:eastAsia="宋体" w:cs="宋体"/>
                <w:snapToGrid w:val="0"/>
                <w:color w:val="auto"/>
                <w:kern w:val="0"/>
                <w:sz w:val="21"/>
                <w:szCs w:val="21"/>
                <w:lang w:val="en-US" w:eastAsia="zh-CN" w:bidi="ar-SA"/>
              </w:rPr>
              <w:t>3</w:t>
            </w:r>
          </w:p>
        </w:tc>
        <w:tc>
          <w:tcPr>
            <w:tcW w:w="1738" w:type="dxa"/>
            <w:tcBorders>
              <w:tl2br w:val="nil"/>
              <w:tr2bl w:val="nil"/>
            </w:tcBorders>
            <w:vAlign w:val="center"/>
          </w:tcPr>
          <w:p w14:paraId="15F37B5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微灌系统</w:t>
            </w:r>
          </w:p>
        </w:tc>
        <w:tc>
          <w:tcPr>
            <w:tcW w:w="3464" w:type="dxa"/>
            <w:tcBorders>
              <w:tl2br w:val="nil"/>
              <w:tr2bl w:val="nil"/>
            </w:tcBorders>
            <w:vAlign w:val="center"/>
          </w:tcPr>
          <w:p w14:paraId="3278767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w:t>
            </w:r>
          </w:p>
        </w:tc>
        <w:tc>
          <w:tcPr>
            <w:tcW w:w="1417" w:type="dxa"/>
            <w:tcBorders>
              <w:tl2br w:val="nil"/>
              <w:tr2bl w:val="nil"/>
            </w:tcBorders>
            <w:vAlign w:val="center"/>
          </w:tcPr>
          <w:p w14:paraId="6C14095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1套</w:t>
            </w:r>
          </w:p>
        </w:tc>
        <w:tc>
          <w:tcPr>
            <w:tcW w:w="1300" w:type="dxa"/>
            <w:tcBorders>
              <w:tl2br w:val="nil"/>
              <w:tr2bl w:val="nil"/>
            </w:tcBorders>
            <w:vAlign w:val="center"/>
          </w:tcPr>
          <w:p w14:paraId="5535CAF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新增</w:t>
            </w:r>
          </w:p>
        </w:tc>
      </w:tr>
      <w:tr w14:paraId="3F8487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jc w:val="center"/>
        </w:trPr>
        <w:tc>
          <w:tcPr>
            <w:tcW w:w="651" w:type="dxa"/>
            <w:tcBorders>
              <w:tl2br w:val="nil"/>
              <w:tr2bl w:val="nil"/>
            </w:tcBorders>
            <w:vAlign w:val="center"/>
          </w:tcPr>
          <w:p w14:paraId="3B60691C">
            <w:pPr>
              <w:keepNext w:val="0"/>
              <w:keepLines w:val="0"/>
              <w:pageBreakBefore w:val="0"/>
              <w:widowControl/>
              <w:numPr>
                <w:ilvl w:val="0"/>
                <w:numId w:val="0"/>
              </w:numPr>
              <w:kinsoku w:val="0"/>
              <w:wordWrap/>
              <w:overflowPunct/>
              <w:topLinePunct w:val="0"/>
              <w:autoSpaceDE w:val="0"/>
              <w:autoSpaceDN w:val="0"/>
              <w:bidi w:val="0"/>
              <w:adjustRightInd w:val="0"/>
              <w:snapToGrid w:val="0"/>
              <w:ind w:left="0" w:leftChars="0" w:firstLine="0" w:firstLineChars="0"/>
              <w:jc w:val="center"/>
              <w:textAlignment w:val="baseline"/>
              <w:rPr>
                <w:rFonts w:hint="default" w:ascii="Times New Roman" w:hAnsi="Times New Roman" w:eastAsia="宋体" w:cs="宋体"/>
                <w:color w:val="auto"/>
                <w:sz w:val="21"/>
                <w:lang w:val="en-US" w:eastAsia="zh-CN"/>
              </w:rPr>
            </w:pPr>
            <w:r>
              <w:rPr>
                <w:rFonts w:hint="default" w:ascii="Times New Roman" w:hAnsi="Times New Roman" w:eastAsia="宋体" w:cs="宋体"/>
                <w:snapToGrid w:val="0"/>
                <w:color w:val="auto"/>
                <w:kern w:val="0"/>
                <w:sz w:val="21"/>
                <w:szCs w:val="21"/>
                <w:lang w:val="en-US" w:eastAsia="zh-CN" w:bidi="ar-SA"/>
              </w:rPr>
              <w:t>4</w:t>
            </w:r>
          </w:p>
        </w:tc>
        <w:tc>
          <w:tcPr>
            <w:tcW w:w="1738" w:type="dxa"/>
            <w:tcBorders>
              <w:tl2br w:val="nil"/>
              <w:tr2bl w:val="nil"/>
            </w:tcBorders>
            <w:vAlign w:val="center"/>
          </w:tcPr>
          <w:p w14:paraId="240B71EB">
            <w:pPr>
              <w:pStyle w:val="31"/>
              <w:adjustRightInd w:val="0"/>
              <w:snapToGrid w:val="0"/>
              <w:spacing w:line="240" w:lineRule="auto"/>
              <w:ind w:firstLine="0" w:firstLineChars="0"/>
              <w:jc w:val="center"/>
              <w:rPr>
                <w:rFonts w:hint="eastAsia" w:ascii="Times New Roman" w:hAnsi="Times New Roman" w:eastAsia="宋体" w:cs="宋体"/>
                <w:color w:val="auto"/>
                <w:sz w:val="21"/>
                <w:lang w:val="en-US" w:eastAsia="zh-CN"/>
              </w:rPr>
            </w:pPr>
            <w:r>
              <w:rPr>
                <w:rFonts w:hint="eastAsia" w:ascii="Times New Roman" w:hAnsi="Times New Roman" w:eastAsia="宋体" w:cs="宋体"/>
                <w:snapToGrid w:val="0"/>
                <w:color w:val="auto"/>
                <w:spacing w:val="0"/>
                <w:sz w:val="21"/>
                <w:szCs w:val="21"/>
              </w:rPr>
              <w:t>电磁流量计</w:t>
            </w:r>
          </w:p>
        </w:tc>
        <w:tc>
          <w:tcPr>
            <w:tcW w:w="3464" w:type="dxa"/>
            <w:tcBorders>
              <w:tl2br w:val="nil"/>
              <w:tr2bl w:val="nil"/>
            </w:tcBorders>
            <w:vAlign w:val="center"/>
          </w:tcPr>
          <w:p w14:paraId="71F31F77">
            <w:pPr>
              <w:pStyle w:val="31"/>
              <w:adjustRightInd w:val="0"/>
              <w:snapToGrid w:val="0"/>
              <w:spacing w:line="240" w:lineRule="auto"/>
              <w:ind w:firstLine="0" w:firstLineChars="0"/>
              <w:jc w:val="center"/>
              <w:rPr>
                <w:rFonts w:hint="eastAsia" w:ascii="Times New Roman" w:hAnsi="Times New Roman" w:eastAsia="宋体" w:cs="宋体"/>
                <w:color w:val="auto"/>
                <w:sz w:val="21"/>
                <w:lang w:val="en-US" w:eastAsia="zh-CN"/>
              </w:rPr>
            </w:pPr>
            <w:r>
              <w:rPr>
                <w:rFonts w:hint="eastAsia" w:ascii="Times New Roman" w:hAnsi="Times New Roman" w:eastAsia="宋体" w:cs="宋体"/>
                <w:snapToGrid w:val="0"/>
                <w:color w:val="auto"/>
                <w:spacing w:val="0"/>
                <w:sz w:val="21"/>
                <w:szCs w:val="21"/>
                <w:lang w:val="en-US" w:eastAsia="zh-CN"/>
              </w:rPr>
              <w:t>0-50m</w:t>
            </w:r>
            <w:r>
              <w:rPr>
                <w:rFonts w:hint="eastAsia" w:ascii="Times New Roman" w:hAnsi="Times New Roman" w:eastAsia="宋体" w:cs="宋体"/>
                <w:snapToGrid w:val="0"/>
                <w:color w:val="auto"/>
                <w:spacing w:val="0"/>
                <w:sz w:val="21"/>
                <w:szCs w:val="21"/>
                <w:vertAlign w:val="superscript"/>
                <w:lang w:val="en-US" w:eastAsia="zh-CN"/>
              </w:rPr>
              <w:t>3</w:t>
            </w:r>
            <w:r>
              <w:rPr>
                <w:rFonts w:hint="eastAsia" w:ascii="Times New Roman" w:hAnsi="Times New Roman" w:eastAsia="宋体" w:cs="宋体"/>
                <w:snapToGrid w:val="0"/>
                <w:color w:val="auto"/>
                <w:spacing w:val="0"/>
                <w:sz w:val="21"/>
                <w:szCs w:val="21"/>
                <w:lang w:val="en-US" w:eastAsia="zh-CN"/>
              </w:rPr>
              <w:t>/h, DN65</w:t>
            </w:r>
          </w:p>
        </w:tc>
        <w:tc>
          <w:tcPr>
            <w:tcW w:w="1417" w:type="dxa"/>
            <w:tcBorders>
              <w:tl2br w:val="nil"/>
              <w:tr2bl w:val="nil"/>
            </w:tcBorders>
            <w:vAlign w:val="center"/>
          </w:tcPr>
          <w:p w14:paraId="0A709A6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2台</w:t>
            </w:r>
          </w:p>
        </w:tc>
        <w:tc>
          <w:tcPr>
            <w:tcW w:w="1300" w:type="dxa"/>
            <w:tcBorders>
              <w:tl2br w:val="nil"/>
              <w:tr2bl w:val="nil"/>
            </w:tcBorders>
            <w:vAlign w:val="center"/>
          </w:tcPr>
          <w:p w14:paraId="09C444A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新增</w:t>
            </w:r>
          </w:p>
        </w:tc>
      </w:tr>
      <w:tr w14:paraId="4917BC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jc w:val="center"/>
        </w:trPr>
        <w:tc>
          <w:tcPr>
            <w:tcW w:w="651" w:type="dxa"/>
            <w:tcBorders>
              <w:tl2br w:val="nil"/>
              <w:tr2bl w:val="nil"/>
            </w:tcBorders>
            <w:vAlign w:val="center"/>
          </w:tcPr>
          <w:p w14:paraId="0F53112B">
            <w:pPr>
              <w:keepNext w:val="0"/>
              <w:keepLines w:val="0"/>
              <w:pageBreakBefore w:val="0"/>
              <w:widowControl/>
              <w:numPr>
                <w:ilvl w:val="0"/>
                <w:numId w:val="0"/>
              </w:numPr>
              <w:kinsoku w:val="0"/>
              <w:wordWrap/>
              <w:overflowPunct/>
              <w:topLinePunct w:val="0"/>
              <w:autoSpaceDE w:val="0"/>
              <w:autoSpaceDN w:val="0"/>
              <w:bidi w:val="0"/>
              <w:adjustRightInd w:val="0"/>
              <w:snapToGrid w:val="0"/>
              <w:ind w:left="0" w:leftChars="0" w:firstLine="0" w:firstLineChars="0"/>
              <w:jc w:val="center"/>
              <w:textAlignment w:val="baseline"/>
              <w:rPr>
                <w:rFonts w:hint="default" w:ascii="Times New Roman" w:hAnsi="Times New Roman" w:eastAsia="宋体" w:cs="宋体"/>
                <w:color w:val="auto"/>
                <w:sz w:val="21"/>
                <w:lang w:val="en-US" w:eastAsia="zh-CN"/>
              </w:rPr>
            </w:pPr>
            <w:r>
              <w:rPr>
                <w:rFonts w:hint="default" w:ascii="Times New Roman" w:hAnsi="Times New Roman" w:eastAsia="宋体" w:cs="宋体"/>
                <w:snapToGrid w:val="0"/>
                <w:color w:val="auto"/>
                <w:kern w:val="0"/>
                <w:sz w:val="21"/>
                <w:szCs w:val="21"/>
                <w:lang w:val="en-US" w:eastAsia="zh-CN" w:bidi="ar-SA"/>
              </w:rPr>
              <w:t>5</w:t>
            </w:r>
          </w:p>
        </w:tc>
        <w:tc>
          <w:tcPr>
            <w:tcW w:w="1738" w:type="dxa"/>
            <w:tcBorders>
              <w:tl2br w:val="nil"/>
              <w:tr2bl w:val="nil"/>
            </w:tcBorders>
            <w:vAlign w:val="center"/>
          </w:tcPr>
          <w:p w14:paraId="16093B2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机械格栅</w:t>
            </w:r>
          </w:p>
        </w:tc>
        <w:tc>
          <w:tcPr>
            <w:tcW w:w="3464" w:type="dxa"/>
            <w:tcBorders>
              <w:tl2br w:val="nil"/>
              <w:tr2bl w:val="nil"/>
            </w:tcBorders>
            <w:vAlign w:val="center"/>
          </w:tcPr>
          <w:p w14:paraId="39900F9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3mm、0.75kW</w:t>
            </w:r>
          </w:p>
        </w:tc>
        <w:tc>
          <w:tcPr>
            <w:tcW w:w="1417" w:type="dxa"/>
            <w:tcBorders>
              <w:tl2br w:val="nil"/>
              <w:tr2bl w:val="nil"/>
            </w:tcBorders>
            <w:vAlign w:val="center"/>
          </w:tcPr>
          <w:p w14:paraId="478708E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1台</w:t>
            </w:r>
          </w:p>
        </w:tc>
        <w:tc>
          <w:tcPr>
            <w:tcW w:w="1300" w:type="dxa"/>
            <w:tcBorders>
              <w:tl2br w:val="nil"/>
              <w:tr2bl w:val="nil"/>
            </w:tcBorders>
            <w:vAlign w:val="center"/>
          </w:tcPr>
          <w:p w14:paraId="1FEAD11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新增</w:t>
            </w:r>
          </w:p>
        </w:tc>
      </w:tr>
      <w:tr w14:paraId="4ECE8E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jc w:val="center"/>
        </w:trPr>
        <w:tc>
          <w:tcPr>
            <w:tcW w:w="651" w:type="dxa"/>
            <w:tcBorders>
              <w:tl2br w:val="nil"/>
              <w:tr2bl w:val="nil"/>
            </w:tcBorders>
            <w:vAlign w:val="center"/>
          </w:tcPr>
          <w:p w14:paraId="0B642DF1">
            <w:pPr>
              <w:keepNext w:val="0"/>
              <w:keepLines w:val="0"/>
              <w:pageBreakBefore w:val="0"/>
              <w:widowControl/>
              <w:numPr>
                <w:ilvl w:val="0"/>
                <w:numId w:val="0"/>
              </w:numPr>
              <w:kinsoku w:val="0"/>
              <w:wordWrap/>
              <w:overflowPunct/>
              <w:topLinePunct w:val="0"/>
              <w:autoSpaceDE w:val="0"/>
              <w:autoSpaceDN w:val="0"/>
              <w:bidi w:val="0"/>
              <w:adjustRightInd w:val="0"/>
              <w:snapToGrid w:val="0"/>
              <w:ind w:left="0" w:leftChars="0" w:firstLine="0" w:firstLineChars="0"/>
              <w:jc w:val="center"/>
              <w:textAlignment w:val="baseline"/>
              <w:rPr>
                <w:rFonts w:hint="default" w:ascii="Times New Roman" w:hAnsi="Times New Roman" w:eastAsia="宋体" w:cs="宋体"/>
                <w:color w:val="auto"/>
                <w:sz w:val="21"/>
                <w:lang w:val="en-US" w:eastAsia="zh-CN"/>
              </w:rPr>
            </w:pPr>
            <w:r>
              <w:rPr>
                <w:rFonts w:hint="default" w:ascii="Times New Roman" w:hAnsi="Times New Roman" w:eastAsia="宋体" w:cs="宋体"/>
                <w:snapToGrid w:val="0"/>
                <w:color w:val="auto"/>
                <w:kern w:val="0"/>
                <w:sz w:val="21"/>
                <w:szCs w:val="21"/>
                <w:lang w:val="en-US" w:eastAsia="zh-CN" w:bidi="ar-SA"/>
              </w:rPr>
              <w:t>6</w:t>
            </w:r>
          </w:p>
        </w:tc>
        <w:tc>
          <w:tcPr>
            <w:tcW w:w="1738" w:type="dxa"/>
            <w:tcBorders>
              <w:tl2br w:val="nil"/>
              <w:tr2bl w:val="nil"/>
            </w:tcBorders>
            <w:vAlign w:val="center"/>
          </w:tcPr>
          <w:p w14:paraId="445DA26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循环沉淀池</w:t>
            </w:r>
          </w:p>
        </w:tc>
        <w:tc>
          <w:tcPr>
            <w:tcW w:w="3464" w:type="dxa"/>
            <w:tcBorders>
              <w:tl2br w:val="nil"/>
              <w:tr2bl w:val="nil"/>
            </w:tcBorders>
            <w:vAlign w:val="center"/>
          </w:tcPr>
          <w:p w14:paraId="2524923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有效容积：300m</w:t>
            </w:r>
            <w:r>
              <w:rPr>
                <w:rFonts w:hint="eastAsia" w:ascii="Times New Roman" w:hAnsi="Times New Roman" w:eastAsia="宋体" w:cs="宋体"/>
                <w:color w:val="auto"/>
                <w:sz w:val="21"/>
                <w:vertAlign w:val="superscript"/>
                <w:lang w:val="en-US" w:eastAsia="zh-CN"/>
              </w:rPr>
              <w:t>3</w:t>
            </w:r>
            <w:r>
              <w:rPr>
                <w:rFonts w:hint="eastAsia" w:ascii="Times New Roman" w:hAnsi="Times New Roman" w:eastAsia="宋体" w:cs="宋体"/>
                <w:color w:val="auto"/>
                <w:sz w:val="21"/>
                <w:lang w:val="en-US" w:eastAsia="zh-CN"/>
              </w:rPr>
              <w:t>，尺寸：10×6×5</w:t>
            </w:r>
          </w:p>
        </w:tc>
        <w:tc>
          <w:tcPr>
            <w:tcW w:w="1417" w:type="dxa"/>
            <w:tcBorders>
              <w:tl2br w:val="nil"/>
              <w:tr2bl w:val="nil"/>
            </w:tcBorders>
            <w:vAlign w:val="center"/>
          </w:tcPr>
          <w:p w14:paraId="399F44F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1座</w:t>
            </w:r>
          </w:p>
        </w:tc>
        <w:tc>
          <w:tcPr>
            <w:tcW w:w="1300" w:type="dxa"/>
            <w:tcBorders>
              <w:tl2br w:val="nil"/>
              <w:tr2bl w:val="nil"/>
            </w:tcBorders>
            <w:vAlign w:val="center"/>
          </w:tcPr>
          <w:p w14:paraId="0F10AB9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新增</w:t>
            </w:r>
          </w:p>
        </w:tc>
      </w:tr>
      <w:tr w14:paraId="5DD6A0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jc w:val="center"/>
        </w:trPr>
        <w:tc>
          <w:tcPr>
            <w:tcW w:w="651" w:type="dxa"/>
            <w:tcBorders>
              <w:tl2br w:val="nil"/>
              <w:tr2bl w:val="nil"/>
            </w:tcBorders>
            <w:vAlign w:val="center"/>
          </w:tcPr>
          <w:p w14:paraId="1CB8CA6E">
            <w:pPr>
              <w:keepNext w:val="0"/>
              <w:keepLines w:val="0"/>
              <w:pageBreakBefore w:val="0"/>
              <w:widowControl/>
              <w:numPr>
                <w:ilvl w:val="0"/>
                <w:numId w:val="0"/>
              </w:numPr>
              <w:kinsoku w:val="0"/>
              <w:wordWrap/>
              <w:overflowPunct/>
              <w:topLinePunct w:val="0"/>
              <w:autoSpaceDE w:val="0"/>
              <w:autoSpaceDN w:val="0"/>
              <w:bidi w:val="0"/>
              <w:adjustRightInd w:val="0"/>
              <w:snapToGrid w:val="0"/>
              <w:ind w:left="0" w:leftChars="0" w:firstLine="0" w:firstLineChars="0"/>
              <w:jc w:val="center"/>
              <w:textAlignment w:val="baseline"/>
              <w:rPr>
                <w:rFonts w:hint="default" w:ascii="Times New Roman" w:hAnsi="Times New Roman" w:eastAsia="宋体" w:cs="宋体"/>
                <w:color w:val="auto"/>
                <w:sz w:val="21"/>
                <w:lang w:val="en-US" w:eastAsia="zh-CN"/>
              </w:rPr>
            </w:pPr>
            <w:r>
              <w:rPr>
                <w:rFonts w:hint="default" w:ascii="Times New Roman" w:hAnsi="Times New Roman" w:eastAsia="宋体" w:cs="宋体"/>
                <w:snapToGrid w:val="0"/>
                <w:color w:val="auto"/>
                <w:kern w:val="0"/>
                <w:sz w:val="21"/>
                <w:szCs w:val="21"/>
                <w:lang w:val="en-US" w:eastAsia="zh-CN" w:bidi="ar-SA"/>
              </w:rPr>
              <w:t>7</w:t>
            </w:r>
          </w:p>
        </w:tc>
        <w:tc>
          <w:tcPr>
            <w:tcW w:w="1738" w:type="dxa"/>
            <w:tcBorders>
              <w:tl2br w:val="nil"/>
              <w:tr2bl w:val="nil"/>
            </w:tcBorders>
            <w:shd w:val="clear" w:color="auto" w:fill="auto"/>
            <w:vAlign w:val="center"/>
          </w:tcPr>
          <w:p w14:paraId="77D55AD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回用水泵</w:t>
            </w:r>
          </w:p>
        </w:tc>
        <w:tc>
          <w:tcPr>
            <w:tcW w:w="3464" w:type="dxa"/>
            <w:tcBorders>
              <w:tl2br w:val="nil"/>
              <w:tr2bl w:val="nil"/>
            </w:tcBorders>
            <w:shd w:val="clear" w:color="auto" w:fill="auto"/>
            <w:vAlign w:val="center"/>
          </w:tcPr>
          <w:p w14:paraId="6112241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流量：30m</w:t>
            </w:r>
            <w:r>
              <w:rPr>
                <w:rFonts w:hint="eastAsia" w:ascii="Times New Roman" w:hAnsi="Times New Roman" w:eastAsia="宋体" w:cs="宋体"/>
                <w:color w:val="auto"/>
                <w:sz w:val="21"/>
                <w:vertAlign w:val="superscript"/>
                <w:lang w:val="en-US" w:eastAsia="zh-CN"/>
              </w:rPr>
              <w:t>3</w:t>
            </w:r>
            <w:r>
              <w:rPr>
                <w:rFonts w:hint="eastAsia" w:ascii="Times New Roman" w:hAnsi="Times New Roman" w:eastAsia="宋体" w:cs="宋体"/>
                <w:color w:val="auto"/>
                <w:sz w:val="21"/>
                <w:lang w:val="en-US" w:eastAsia="zh-CN"/>
              </w:rPr>
              <w:t>/h</w:t>
            </w:r>
          </w:p>
        </w:tc>
        <w:tc>
          <w:tcPr>
            <w:tcW w:w="1417" w:type="dxa"/>
            <w:tcBorders>
              <w:tl2br w:val="nil"/>
              <w:tr2bl w:val="nil"/>
            </w:tcBorders>
            <w:shd w:val="clear" w:color="auto" w:fill="auto"/>
            <w:vAlign w:val="center"/>
          </w:tcPr>
          <w:p w14:paraId="632D683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2台</w:t>
            </w:r>
          </w:p>
        </w:tc>
        <w:tc>
          <w:tcPr>
            <w:tcW w:w="1300" w:type="dxa"/>
            <w:tcBorders>
              <w:tl2br w:val="nil"/>
              <w:tr2bl w:val="nil"/>
            </w:tcBorders>
            <w:shd w:val="clear" w:color="auto" w:fill="auto"/>
            <w:vAlign w:val="center"/>
          </w:tcPr>
          <w:p w14:paraId="3334FFF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新增</w:t>
            </w:r>
          </w:p>
        </w:tc>
      </w:tr>
      <w:tr w14:paraId="0CBCB5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jc w:val="center"/>
        </w:trPr>
        <w:tc>
          <w:tcPr>
            <w:tcW w:w="651" w:type="dxa"/>
            <w:tcBorders>
              <w:bottom w:val="single" w:color="auto" w:sz="4" w:space="0"/>
              <w:tl2br w:val="nil"/>
              <w:tr2bl w:val="nil"/>
            </w:tcBorders>
            <w:vAlign w:val="center"/>
          </w:tcPr>
          <w:p w14:paraId="281D7048">
            <w:pPr>
              <w:keepNext w:val="0"/>
              <w:keepLines w:val="0"/>
              <w:pageBreakBefore w:val="0"/>
              <w:widowControl/>
              <w:numPr>
                <w:ilvl w:val="0"/>
                <w:numId w:val="0"/>
              </w:numPr>
              <w:kinsoku w:val="0"/>
              <w:wordWrap/>
              <w:overflowPunct/>
              <w:topLinePunct w:val="0"/>
              <w:autoSpaceDE w:val="0"/>
              <w:autoSpaceDN w:val="0"/>
              <w:bidi w:val="0"/>
              <w:adjustRightInd w:val="0"/>
              <w:snapToGrid w:val="0"/>
              <w:ind w:left="0" w:leftChars="0" w:firstLine="0" w:firstLineChars="0"/>
              <w:jc w:val="center"/>
              <w:textAlignment w:val="baseline"/>
              <w:rPr>
                <w:rFonts w:hint="default" w:ascii="Times New Roman" w:hAnsi="Times New Roman" w:eastAsia="宋体" w:cs="宋体"/>
                <w:color w:val="auto"/>
                <w:sz w:val="21"/>
                <w:lang w:val="en-US" w:eastAsia="zh-CN"/>
              </w:rPr>
            </w:pPr>
            <w:r>
              <w:rPr>
                <w:rFonts w:hint="default" w:ascii="Times New Roman" w:hAnsi="Times New Roman" w:eastAsia="宋体" w:cs="宋体"/>
                <w:snapToGrid w:val="0"/>
                <w:color w:val="auto"/>
                <w:kern w:val="0"/>
                <w:sz w:val="21"/>
                <w:szCs w:val="21"/>
                <w:lang w:val="en-US" w:eastAsia="zh-CN" w:bidi="ar-SA"/>
              </w:rPr>
              <w:t>8</w:t>
            </w:r>
          </w:p>
        </w:tc>
        <w:tc>
          <w:tcPr>
            <w:tcW w:w="1738" w:type="dxa"/>
            <w:tcBorders>
              <w:bottom w:val="single" w:color="auto" w:sz="4" w:space="0"/>
              <w:tl2br w:val="nil"/>
              <w:tr2bl w:val="nil"/>
            </w:tcBorders>
            <w:shd w:val="clear" w:color="auto" w:fill="auto"/>
            <w:vAlign w:val="center"/>
          </w:tcPr>
          <w:p w14:paraId="6C4CEB4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调节池</w:t>
            </w:r>
          </w:p>
        </w:tc>
        <w:tc>
          <w:tcPr>
            <w:tcW w:w="3464" w:type="dxa"/>
            <w:tcBorders>
              <w:tl2br w:val="nil"/>
              <w:tr2bl w:val="nil"/>
            </w:tcBorders>
            <w:shd w:val="clear" w:color="auto" w:fill="auto"/>
            <w:vAlign w:val="center"/>
          </w:tcPr>
          <w:p w14:paraId="3C90E4F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有效容积：600m</w:t>
            </w:r>
            <w:r>
              <w:rPr>
                <w:rFonts w:hint="eastAsia" w:ascii="Times New Roman" w:hAnsi="Times New Roman" w:eastAsia="宋体" w:cs="宋体"/>
                <w:color w:val="auto"/>
                <w:sz w:val="21"/>
                <w:vertAlign w:val="superscript"/>
                <w:lang w:val="en-US" w:eastAsia="zh-CN"/>
              </w:rPr>
              <w:t>3</w:t>
            </w:r>
            <w:r>
              <w:rPr>
                <w:rFonts w:hint="eastAsia" w:ascii="Times New Roman" w:hAnsi="Times New Roman" w:eastAsia="宋体" w:cs="宋体"/>
                <w:color w:val="auto"/>
                <w:sz w:val="21"/>
                <w:lang w:val="en-US" w:eastAsia="zh-CN"/>
              </w:rPr>
              <w:t>，尺寸：20×6×5</w:t>
            </w:r>
          </w:p>
        </w:tc>
        <w:tc>
          <w:tcPr>
            <w:tcW w:w="1417" w:type="dxa"/>
            <w:tcBorders>
              <w:tl2br w:val="nil"/>
              <w:tr2bl w:val="nil"/>
            </w:tcBorders>
            <w:shd w:val="clear" w:color="auto" w:fill="auto"/>
            <w:vAlign w:val="center"/>
          </w:tcPr>
          <w:p w14:paraId="2B355D8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3座</w:t>
            </w:r>
          </w:p>
        </w:tc>
        <w:tc>
          <w:tcPr>
            <w:tcW w:w="1300" w:type="dxa"/>
            <w:tcBorders>
              <w:tl2br w:val="nil"/>
              <w:tr2bl w:val="nil"/>
            </w:tcBorders>
            <w:shd w:val="clear" w:color="auto" w:fill="auto"/>
            <w:vAlign w:val="center"/>
          </w:tcPr>
          <w:p w14:paraId="0E67BDF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新增</w:t>
            </w:r>
          </w:p>
        </w:tc>
      </w:tr>
      <w:tr w14:paraId="02F576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jc w:val="center"/>
        </w:trPr>
        <w:tc>
          <w:tcPr>
            <w:tcW w:w="651" w:type="dxa"/>
            <w:tcBorders>
              <w:tl2br w:val="nil"/>
              <w:tr2bl w:val="nil"/>
            </w:tcBorders>
            <w:vAlign w:val="center"/>
          </w:tcPr>
          <w:p w14:paraId="460E8395">
            <w:pPr>
              <w:keepNext w:val="0"/>
              <w:keepLines w:val="0"/>
              <w:pageBreakBefore w:val="0"/>
              <w:widowControl/>
              <w:numPr>
                <w:ilvl w:val="0"/>
                <w:numId w:val="0"/>
              </w:numPr>
              <w:kinsoku w:val="0"/>
              <w:wordWrap/>
              <w:overflowPunct/>
              <w:topLinePunct w:val="0"/>
              <w:autoSpaceDE w:val="0"/>
              <w:autoSpaceDN w:val="0"/>
              <w:bidi w:val="0"/>
              <w:adjustRightInd w:val="0"/>
              <w:snapToGrid w:val="0"/>
              <w:ind w:left="0" w:leftChars="0" w:firstLine="0" w:firstLine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9</w:t>
            </w:r>
          </w:p>
        </w:tc>
        <w:tc>
          <w:tcPr>
            <w:tcW w:w="1738" w:type="dxa"/>
            <w:tcBorders>
              <w:tl2br w:val="nil"/>
              <w:tr2bl w:val="nil"/>
            </w:tcBorders>
            <w:shd w:val="clear" w:color="auto" w:fill="auto"/>
            <w:vAlign w:val="center"/>
          </w:tcPr>
          <w:p w14:paraId="2460AF1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排泥泵</w:t>
            </w:r>
          </w:p>
        </w:tc>
        <w:tc>
          <w:tcPr>
            <w:tcW w:w="3464" w:type="dxa"/>
            <w:tcBorders>
              <w:tl2br w:val="nil"/>
              <w:tr2bl w:val="nil"/>
            </w:tcBorders>
            <w:shd w:val="clear" w:color="auto" w:fill="auto"/>
            <w:vAlign w:val="center"/>
          </w:tcPr>
          <w:p w14:paraId="73C78DA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流量：45m</w:t>
            </w:r>
            <w:r>
              <w:rPr>
                <w:rFonts w:hint="eastAsia" w:ascii="Times New Roman" w:hAnsi="Times New Roman" w:eastAsia="宋体" w:cs="宋体"/>
                <w:color w:val="auto"/>
                <w:sz w:val="21"/>
                <w:vertAlign w:val="superscript"/>
                <w:lang w:val="en-US" w:eastAsia="zh-CN"/>
              </w:rPr>
              <w:t>3</w:t>
            </w:r>
            <w:r>
              <w:rPr>
                <w:rFonts w:hint="eastAsia" w:ascii="Times New Roman" w:hAnsi="Times New Roman" w:eastAsia="宋体" w:cs="宋体"/>
                <w:color w:val="auto"/>
                <w:sz w:val="21"/>
                <w:lang w:val="en-US" w:eastAsia="zh-CN"/>
              </w:rPr>
              <w:t>/h</w:t>
            </w:r>
          </w:p>
        </w:tc>
        <w:tc>
          <w:tcPr>
            <w:tcW w:w="1417" w:type="dxa"/>
            <w:tcBorders>
              <w:tl2br w:val="nil"/>
              <w:tr2bl w:val="nil"/>
            </w:tcBorders>
            <w:shd w:val="clear" w:color="auto" w:fill="auto"/>
            <w:vAlign w:val="center"/>
          </w:tcPr>
          <w:p w14:paraId="3649BCD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1台</w:t>
            </w:r>
          </w:p>
        </w:tc>
        <w:tc>
          <w:tcPr>
            <w:tcW w:w="1300" w:type="dxa"/>
            <w:tcBorders>
              <w:tl2br w:val="nil"/>
              <w:tr2bl w:val="nil"/>
            </w:tcBorders>
            <w:shd w:val="clear" w:color="auto" w:fill="auto"/>
            <w:vAlign w:val="center"/>
          </w:tcPr>
          <w:p w14:paraId="4401917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新增</w:t>
            </w:r>
          </w:p>
        </w:tc>
      </w:tr>
      <w:tr w14:paraId="702B81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jc w:val="center"/>
        </w:trPr>
        <w:tc>
          <w:tcPr>
            <w:tcW w:w="651" w:type="dxa"/>
            <w:vMerge w:val="restart"/>
            <w:tcBorders>
              <w:tl2br w:val="nil"/>
              <w:tr2bl w:val="nil"/>
            </w:tcBorders>
            <w:vAlign w:val="center"/>
          </w:tcPr>
          <w:p w14:paraId="0C8F4156">
            <w:pPr>
              <w:keepNext w:val="0"/>
              <w:keepLines w:val="0"/>
              <w:pageBreakBefore w:val="0"/>
              <w:widowControl/>
              <w:kinsoku w:val="0"/>
              <w:wordWrap/>
              <w:overflowPunct/>
              <w:topLinePunct w:val="0"/>
              <w:autoSpaceDE w:val="0"/>
              <w:autoSpaceDN w:val="0"/>
              <w:bidi w:val="0"/>
              <w:adjustRightInd w:val="0"/>
              <w:snapToGrid w:val="0"/>
              <w:ind w:firstLine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10</w:t>
            </w:r>
          </w:p>
        </w:tc>
        <w:tc>
          <w:tcPr>
            <w:tcW w:w="1738" w:type="dxa"/>
            <w:tcBorders>
              <w:tl2br w:val="nil"/>
              <w:tr2bl w:val="nil"/>
            </w:tcBorders>
            <w:shd w:val="clear" w:color="auto" w:fill="auto"/>
            <w:vAlign w:val="center"/>
          </w:tcPr>
          <w:p w14:paraId="79BF1B3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黑膜氧化池</w:t>
            </w:r>
          </w:p>
        </w:tc>
        <w:tc>
          <w:tcPr>
            <w:tcW w:w="3464" w:type="dxa"/>
            <w:tcBorders>
              <w:tl2br w:val="nil"/>
              <w:tr2bl w:val="nil"/>
            </w:tcBorders>
            <w:shd w:val="clear" w:color="auto" w:fill="auto"/>
            <w:vAlign w:val="center"/>
          </w:tcPr>
          <w:p w14:paraId="0078523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highlight w:val="none"/>
                <w:lang w:val="en-US" w:eastAsia="zh-CN"/>
              </w:rPr>
            </w:pPr>
            <w:r>
              <w:rPr>
                <w:rFonts w:hint="eastAsia" w:ascii="Times New Roman" w:hAnsi="Times New Roman" w:eastAsia="宋体" w:cs="宋体"/>
                <w:color w:val="auto"/>
                <w:sz w:val="21"/>
                <w:highlight w:val="none"/>
                <w:lang w:val="en-US" w:eastAsia="zh-CN"/>
              </w:rPr>
              <w:t>有效容积：18000m</w:t>
            </w:r>
            <w:r>
              <w:rPr>
                <w:rFonts w:hint="eastAsia" w:ascii="Times New Roman" w:hAnsi="Times New Roman" w:eastAsia="宋体" w:cs="宋体"/>
                <w:color w:val="auto"/>
                <w:sz w:val="21"/>
                <w:highlight w:val="none"/>
                <w:vertAlign w:val="superscript"/>
                <w:lang w:val="en-US" w:eastAsia="zh-CN"/>
              </w:rPr>
              <w:t>3</w:t>
            </w:r>
          </w:p>
          <w:p w14:paraId="64AF8E2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highlight w:val="none"/>
                <w:lang w:val="en-US" w:eastAsia="zh-CN" w:bidi="ar-SA"/>
              </w:rPr>
            </w:pPr>
            <w:r>
              <w:rPr>
                <w:rFonts w:hint="eastAsia" w:ascii="Times New Roman" w:hAnsi="Times New Roman" w:eastAsia="宋体" w:cs="宋体"/>
                <w:color w:val="auto"/>
                <w:sz w:val="21"/>
                <w:highlight w:val="none"/>
                <w:lang w:val="en-US" w:eastAsia="zh-CN"/>
              </w:rPr>
              <w:t>尺寸：77×30×7.8，发酵时间：30d</w:t>
            </w:r>
          </w:p>
        </w:tc>
        <w:tc>
          <w:tcPr>
            <w:tcW w:w="1417" w:type="dxa"/>
            <w:tcBorders>
              <w:tl2br w:val="nil"/>
              <w:tr2bl w:val="nil"/>
            </w:tcBorders>
            <w:shd w:val="clear" w:color="auto" w:fill="auto"/>
            <w:vAlign w:val="center"/>
          </w:tcPr>
          <w:p w14:paraId="6B4537F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1座</w:t>
            </w:r>
          </w:p>
        </w:tc>
        <w:tc>
          <w:tcPr>
            <w:tcW w:w="1300" w:type="dxa"/>
            <w:tcBorders>
              <w:tl2br w:val="nil"/>
              <w:tr2bl w:val="nil"/>
            </w:tcBorders>
            <w:shd w:val="clear" w:color="auto" w:fill="auto"/>
            <w:vAlign w:val="center"/>
          </w:tcPr>
          <w:p w14:paraId="4D2010D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新增</w:t>
            </w:r>
          </w:p>
        </w:tc>
      </w:tr>
      <w:tr w14:paraId="669092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jc w:val="center"/>
        </w:trPr>
        <w:tc>
          <w:tcPr>
            <w:tcW w:w="651" w:type="dxa"/>
            <w:vMerge w:val="continue"/>
            <w:tcBorders>
              <w:tl2br w:val="nil"/>
              <w:tr2bl w:val="nil"/>
            </w:tcBorders>
            <w:vAlign w:val="center"/>
          </w:tcPr>
          <w:p w14:paraId="349943FA">
            <w:pPr>
              <w:keepNext w:val="0"/>
              <w:keepLines w:val="0"/>
              <w:pageBreakBefore w:val="0"/>
              <w:widowControl/>
              <w:kinsoku w:val="0"/>
              <w:wordWrap/>
              <w:overflowPunct/>
              <w:topLinePunct w:val="0"/>
              <w:autoSpaceDE w:val="0"/>
              <w:autoSpaceDN w:val="0"/>
              <w:bidi w:val="0"/>
              <w:adjustRightInd w:val="0"/>
              <w:snapToGrid w:val="0"/>
              <w:ind w:firstLineChars="0"/>
              <w:jc w:val="center"/>
              <w:textAlignment w:val="baseline"/>
              <w:rPr>
                <w:rFonts w:hint="default" w:ascii="Times New Roman" w:hAnsi="Times New Roman" w:eastAsia="宋体" w:cs="宋体"/>
                <w:color w:val="auto"/>
                <w:sz w:val="21"/>
                <w:lang w:val="en-US" w:eastAsia="zh-CN"/>
              </w:rPr>
            </w:pPr>
          </w:p>
        </w:tc>
        <w:tc>
          <w:tcPr>
            <w:tcW w:w="1738" w:type="dxa"/>
            <w:tcBorders>
              <w:tl2br w:val="nil"/>
              <w:tr2bl w:val="nil"/>
            </w:tcBorders>
            <w:shd w:val="clear" w:color="auto" w:fill="auto"/>
            <w:vAlign w:val="center"/>
          </w:tcPr>
          <w:p w14:paraId="777C6F5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color w:val="auto"/>
                <w:sz w:val="21"/>
              </w:rPr>
              <w:t>顶膜</w:t>
            </w:r>
          </w:p>
        </w:tc>
        <w:tc>
          <w:tcPr>
            <w:tcW w:w="3464" w:type="dxa"/>
            <w:tcBorders>
              <w:tl2br w:val="nil"/>
              <w:tr2bl w:val="nil"/>
            </w:tcBorders>
            <w:shd w:val="clear" w:color="auto" w:fill="auto"/>
            <w:vAlign w:val="center"/>
          </w:tcPr>
          <w:p w14:paraId="29D622E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color w:val="auto"/>
                <w:sz w:val="21"/>
              </w:rPr>
              <w:t>材质：HDPE结构</w:t>
            </w:r>
          </w:p>
        </w:tc>
        <w:tc>
          <w:tcPr>
            <w:tcW w:w="1417" w:type="dxa"/>
            <w:tcBorders>
              <w:tl2br w:val="nil"/>
              <w:tr2bl w:val="nil"/>
            </w:tcBorders>
            <w:shd w:val="clear" w:color="auto" w:fill="auto"/>
            <w:vAlign w:val="center"/>
          </w:tcPr>
          <w:p w14:paraId="63E96B4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3335</w:t>
            </w:r>
            <w:r>
              <w:rPr>
                <w:rFonts w:ascii="Times New Roman" w:hAnsi="Times New Roman" w:eastAsia="宋体" w:cs="宋体"/>
                <w:color w:val="auto"/>
                <w:sz w:val="21"/>
              </w:rPr>
              <w:t>m</w:t>
            </w:r>
            <w:r>
              <w:rPr>
                <w:rFonts w:ascii="Times New Roman" w:hAnsi="Times New Roman" w:eastAsia="宋体" w:cs="宋体"/>
                <w:color w:val="auto"/>
                <w:sz w:val="21"/>
                <w:vertAlign w:val="superscript"/>
              </w:rPr>
              <w:t>2</w:t>
            </w:r>
          </w:p>
        </w:tc>
        <w:tc>
          <w:tcPr>
            <w:tcW w:w="1300" w:type="dxa"/>
            <w:tcBorders>
              <w:tl2br w:val="nil"/>
              <w:tr2bl w:val="nil"/>
            </w:tcBorders>
            <w:shd w:val="clear" w:color="auto" w:fill="auto"/>
            <w:vAlign w:val="center"/>
          </w:tcPr>
          <w:p w14:paraId="019526F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color w:val="auto"/>
                <w:sz w:val="21"/>
              </w:rPr>
              <w:t>新增</w:t>
            </w:r>
          </w:p>
        </w:tc>
      </w:tr>
      <w:tr w14:paraId="4E8623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jc w:val="center"/>
        </w:trPr>
        <w:tc>
          <w:tcPr>
            <w:tcW w:w="651" w:type="dxa"/>
            <w:vMerge w:val="continue"/>
            <w:tcBorders>
              <w:tl2br w:val="nil"/>
              <w:tr2bl w:val="nil"/>
            </w:tcBorders>
            <w:vAlign w:val="center"/>
          </w:tcPr>
          <w:p w14:paraId="61DA7DC8">
            <w:pPr>
              <w:keepNext w:val="0"/>
              <w:keepLines w:val="0"/>
              <w:pageBreakBefore w:val="0"/>
              <w:widowControl/>
              <w:numPr>
                <w:ilvl w:val="0"/>
                <w:numId w:val="0"/>
              </w:numPr>
              <w:kinsoku w:val="0"/>
              <w:wordWrap/>
              <w:overflowPunct/>
              <w:topLinePunct w:val="0"/>
              <w:autoSpaceDE w:val="0"/>
              <w:autoSpaceDN w:val="0"/>
              <w:bidi w:val="0"/>
              <w:adjustRightInd w:val="0"/>
              <w:snapToGrid w:val="0"/>
              <w:ind w:left="0" w:leftChars="0" w:firstLine="0" w:firstLineChars="0"/>
              <w:jc w:val="center"/>
              <w:textAlignment w:val="baseline"/>
              <w:rPr>
                <w:rFonts w:hint="default" w:ascii="Times New Roman" w:hAnsi="Times New Roman" w:eastAsia="宋体" w:cs="宋体"/>
                <w:color w:val="auto"/>
                <w:sz w:val="21"/>
                <w:lang w:val="en-US" w:eastAsia="zh-CN"/>
              </w:rPr>
            </w:pPr>
          </w:p>
        </w:tc>
        <w:tc>
          <w:tcPr>
            <w:tcW w:w="1738" w:type="dxa"/>
            <w:tcBorders>
              <w:tl2br w:val="nil"/>
              <w:tr2bl w:val="nil"/>
            </w:tcBorders>
            <w:shd w:val="clear" w:color="auto" w:fill="auto"/>
            <w:vAlign w:val="center"/>
          </w:tcPr>
          <w:p w14:paraId="0296EC3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snapToGrid w:val="0"/>
                <w:color w:val="auto"/>
                <w:kern w:val="0"/>
                <w:sz w:val="21"/>
                <w:szCs w:val="21"/>
                <w:lang w:val="en-US" w:eastAsia="zh-CN" w:bidi="ar-SA"/>
              </w:rPr>
            </w:pPr>
            <w:r>
              <w:rPr>
                <w:rFonts w:ascii="Times New Roman" w:hAnsi="Times New Roman" w:eastAsia="宋体" w:cs="宋体"/>
                <w:color w:val="auto"/>
                <w:sz w:val="21"/>
              </w:rPr>
              <w:t>底膜</w:t>
            </w:r>
          </w:p>
        </w:tc>
        <w:tc>
          <w:tcPr>
            <w:tcW w:w="3464" w:type="dxa"/>
            <w:tcBorders>
              <w:tl2br w:val="nil"/>
              <w:tr2bl w:val="nil"/>
            </w:tcBorders>
            <w:shd w:val="clear" w:color="auto" w:fill="auto"/>
            <w:vAlign w:val="center"/>
          </w:tcPr>
          <w:p w14:paraId="059F3F0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color w:val="auto"/>
                <w:sz w:val="21"/>
              </w:rPr>
              <w:t>材质：HDPE结构</w:t>
            </w:r>
          </w:p>
        </w:tc>
        <w:tc>
          <w:tcPr>
            <w:tcW w:w="1417" w:type="dxa"/>
            <w:tcBorders>
              <w:tl2br w:val="nil"/>
              <w:tr2bl w:val="nil"/>
            </w:tcBorders>
            <w:shd w:val="clear" w:color="auto" w:fill="auto"/>
            <w:vAlign w:val="center"/>
          </w:tcPr>
          <w:p w14:paraId="5D21EBC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3335</w:t>
            </w:r>
            <w:r>
              <w:rPr>
                <w:rFonts w:ascii="Times New Roman" w:hAnsi="Times New Roman" w:eastAsia="宋体" w:cs="宋体"/>
                <w:color w:val="auto"/>
                <w:sz w:val="21"/>
              </w:rPr>
              <w:t>m</w:t>
            </w:r>
            <w:r>
              <w:rPr>
                <w:rFonts w:ascii="Times New Roman" w:hAnsi="Times New Roman" w:eastAsia="宋体" w:cs="宋体"/>
                <w:color w:val="auto"/>
                <w:sz w:val="21"/>
                <w:vertAlign w:val="superscript"/>
              </w:rPr>
              <w:t>2</w:t>
            </w:r>
          </w:p>
        </w:tc>
        <w:tc>
          <w:tcPr>
            <w:tcW w:w="1300" w:type="dxa"/>
            <w:tcBorders>
              <w:tl2br w:val="nil"/>
              <w:tr2bl w:val="nil"/>
            </w:tcBorders>
            <w:shd w:val="clear" w:color="auto" w:fill="auto"/>
            <w:vAlign w:val="center"/>
          </w:tcPr>
          <w:p w14:paraId="71A9BD1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color w:val="auto"/>
                <w:sz w:val="21"/>
              </w:rPr>
              <w:t>新增</w:t>
            </w:r>
          </w:p>
        </w:tc>
      </w:tr>
      <w:tr w14:paraId="60BC60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jc w:val="center"/>
        </w:trPr>
        <w:tc>
          <w:tcPr>
            <w:tcW w:w="651" w:type="dxa"/>
            <w:vMerge w:val="continue"/>
            <w:tcBorders>
              <w:tl2br w:val="nil"/>
              <w:tr2bl w:val="nil"/>
            </w:tcBorders>
            <w:shd w:val="clear" w:color="auto" w:fill="auto"/>
            <w:vAlign w:val="center"/>
          </w:tcPr>
          <w:p w14:paraId="27F11D03">
            <w:pPr>
              <w:keepNext w:val="0"/>
              <w:keepLines w:val="0"/>
              <w:pageBreakBefore w:val="0"/>
              <w:widowControl/>
              <w:kinsoku w:val="0"/>
              <w:wordWrap/>
              <w:overflowPunct/>
              <w:topLinePunct w:val="0"/>
              <w:autoSpaceDE w:val="0"/>
              <w:autoSpaceDN w:val="0"/>
              <w:bidi w:val="0"/>
              <w:adjustRightInd w:val="0"/>
              <w:snapToGrid w:val="0"/>
              <w:ind w:firstLineChars="0"/>
              <w:jc w:val="center"/>
              <w:textAlignment w:val="baseline"/>
              <w:rPr>
                <w:rFonts w:hint="default" w:ascii="Times New Roman" w:hAnsi="Times New Roman" w:eastAsia="宋体" w:cs="宋体"/>
                <w:color w:val="auto"/>
                <w:sz w:val="21"/>
                <w:lang w:val="en-US" w:eastAsia="zh-CN"/>
              </w:rPr>
            </w:pPr>
          </w:p>
        </w:tc>
        <w:tc>
          <w:tcPr>
            <w:tcW w:w="1738" w:type="dxa"/>
            <w:tcBorders>
              <w:tl2br w:val="nil"/>
              <w:tr2bl w:val="nil"/>
            </w:tcBorders>
            <w:shd w:val="clear" w:color="auto" w:fill="auto"/>
            <w:vAlign w:val="center"/>
          </w:tcPr>
          <w:p w14:paraId="0ABF275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color w:val="auto"/>
                <w:sz w:val="21"/>
              </w:rPr>
              <w:t>排泥泵</w:t>
            </w:r>
          </w:p>
        </w:tc>
        <w:tc>
          <w:tcPr>
            <w:tcW w:w="3464" w:type="dxa"/>
            <w:tcBorders>
              <w:tl2br w:val="nil"/>
              <w:tr2bl w:val="nil"/>
            </w:tcBorders>
            <w:shd w:val="clear" w:color="auto" w:fill="auto"/>
            <w:vAlign w:val="center"/>
          </w:tcPr>
          <w:p w14:paraId="1494A16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color w:val="auto"/>
                <w:sz w:val="21"/>
              </w:rPr>
              <w:t>流量：95m</w:t>
            </w:r>
            <w:r>
              <w:rPr>
                <w:rFonts w:ascii="Times New Roman" w:hAnsi="Times New Roman" w:eastAsia="宋体" w:cs="宋体"/>
                <w:color w:val="auto"/>
                <w:sz w:val="21"/>
                <w:vertAlign w:val="superscript"/>
              </w:rPr>
              <w:t>3</w:t>
            </w:r>
            <w:r>
              <w:rPr>
                <w:rFonts w:ascii="Times New Roman" w:hAnsi="Times New Roman" w:eastAsia="宋体" w:cs="宋体"/>
                <w:color w:val="auto"/>
                <w:sz w:val="21"/>
              </w:rPr>
              <w:t>/h</w:t>
            </w:r>
          </w:p>
        </w:tc>
        <w:tc>
          <w:tcPr>
            <w:tcW w:w="1417" w:type="dxa"/>
            <w:tcBorders>
              <w:tl2br w:val="nil"/>
              <w:tr2bl w:val="nil"/>
            </w:tcBorders>
            <w:shd w:val="clear" w:color="auto" w:fill="auto"/>
            <w:vAlign w:val="center"/>
          </w:tcPr>
          <w:p w14:paraId="7F5AEC7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2</w:t>
            </w:r>
            <w:r>
              <w:rPr>
                <w:rFonts w:ascii="Times New Roman" w:hAnsi="Times New Roman" w:eastAsia="宋体" w:cs="宋体"/>
                <w:color w:val="auto"/>
                <w:sz w:val="21"/>
              </w:rPr>
              <w:t>台</w:t>
            </w:r>
          </w:p>
        </w:tc>
        <w:tc>
          <w:tcPr>
            <w:tcW w:w="1300" w:type="dxa"/>
            <w:tcBorders>
              <w:tl2br w:val="nil"/>
              <w:tr2bl w:val="nil"/>
            </w:tcBorders>
            <w:shd w:val="clear" w:color="auto" w:fill="auto"/>
            <w:vAlign w:val="center"/>
          </w:tcPr>
          <w:p w14:paraId="5FFA871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color w:val="auto"/>
                <w:sz w:val="21"/>
              </w:rPr>
              <w:t>新增</w:t>
            </w:r>
          </w:p>
        </w:tc>
      </w:tr>
      <w:tr w14:paraId="03E945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jc w:val="center"/>
        </w:trPr>
        <w:tc>
          <w:tcPr>
            <w:tcW w:w="651" w:type="dxa"/>
            <w:vMerge w:val="continue"/>
            <w:tcBorders>
              <w:bottom w:val="single" w:color="auto" w:sz="4" w:space="0"/>
              <w:tl2br w:val="nil"/>
              <w:tr2bl w:val="nil"/>
            </w:tcBorders>
            <w:vAlign w:val="center"/>
          </w:tcPr>
          <w:p w14:paraId="144B4CDA">
            <w:pPr>
              <w:keepNext w:val="0"/>
              <w:keepLines w:val="0"/>
              <w:pageBreakBefore w:val="0"/>
              <w:widowControl/>
              <w:kinsoku w:val="0"/>
              <w:wordWrap/>
              <w:overflowPunct/>
              <w:topLinePunct w:val="0"/>
              <w:autoSpaceDE w:val="0"/>
              <w:autoSpaceDN w:val="0"/>
              <w:bidi w:val="0"/>
              <w:adjustRightInd w:val="0"/>
              <w:snapToGrid w:val="0"/>
              <w:ind w:firstLineChars="0"/>
              <w:jc w:val="center"/>
              <w:textAlignment w:val="baseline"/>
              <w:rPr>
                <w:rFonts w:hint="default" w:ascii="Times New Roman" w:hAnsi="Times New Roman" w:eastAsia="宋体" w:cs="宋体"/>
                <w:color w:val="auto"/>
                <w:sz w:val="21"/>
                <w:lang w:val="en-US" w:eastAsia="zh-CN"/>
              </w:rPr>
            </w:pPr>
          </w:p>
        </w:tc>
        <w:tc>
          <w:tcPr>
            <w:tcW w:w="1738" w:type="dxa"/>
            <w:tcBorders>
              <w:tl2br w:val="nil"/>
              <w:tr2bl w:val="nil"/>
            </w:tcBorders>
            <w:shd w:val="clear" w:color="auto" w:fill="auto"/>
            <w:vAlign w:val="center"/>
          </w:tcPr>
          <w:p w14:paraId="1B87DDB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color w:val="auto"/>
                <w:sz w:val="21"/>
              </w:rPr>
              <w:t>出水泵</w:t>
            </w:r>
          </w:p>
        </w:tc>
        <w:tc>
          <w:tcPr>
            <w:tcW w:w="3464" w:type="dxa"/>
            <w:tcBorders>
              <w:tl2br w:val="nil"/>
              <w:tr2bl w:val="nil"/>
            </w:tcBorders>
            <w:shd w:val="clear" w:color="auto" w:fill="auto"/>
            <w:vAlign w:val="center"/>
          </w:tcPr>
          <w:p w14:paraId="4F28355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color w:val="auto"/>
                <w:sz w:val="21"/>
              </w:rPr>
              <w:t>流量：140m</w:t>
            </w:r>
            <w:r>
              <w:rPr>
                <w:rFonts w:ascii="Times New Roman" w:hAnsi="Times New Roman" w:eastAsia="宋体" w:cs="宋体"/>
                <w:color w:val="auto"/>
                <w:sz w:val="21"/>
                <w:vertAlign w:val="superscript"/>
              </w:rPr>
              <w:t>3</w:t>
            </w:r>
            <w:r>
              <w:rPr>
                <w:rFonts w:ascii="Times New Roman" w:hAnsi="Times New Roman" w:eastAsia="宋体" w:cs="宋体"/>
                <w:color w:val="auto"/>
                <w:sz w:val="21"/>
              </w:rPr>
              <w:t>/h</w:t>
            </w:r>
          </w:p>
        </w:tc>
        <w:tc>
          <w:tcPr>
            <w:tcW w:w="1417" w:type="dxa"/>
            <w:tcBorders>
              <w:tl2br w:val="nil"/>
              <w:tr2bl w:val="nil"/>
            </w:tcBorders>
            <w:shd w:val="clear" w:color="auto" w:fill="auto"/>
            <w:vAlign w:val="center"/>
          </w:tcPr>
          <w:p w14:paraId="6FEEF6D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1</w:t>
            </w:r>
            <w:r>
              <w:rPr>
                <w:rFonts w:ascii="Times New Roman" w:hAnsi="Times New Roman" w:eastAsia="宋体" w:cs="宋体"/>
                <w:color w:val="auto"/>
                <w:sz w:val="21"/>
              </w:rPr>
              <w:t>台</w:t>
            </w:r>
          </w:p>
        </w:tc>
        <w:tc>
          <w:tcPr>
            <w:tcW w:w="1300" w:type="dxa"/>
            <w:tcBorders>
              <w:tl2br w:val="nil"/>
              <w:tr2bl w:val="nil"/>
            </w:tcBorders>
            <w:shd w:val="clear" w:color="auto" w:fill="auto"/>
            <w:vAlign w:val="center"/>
          </w:tcPr>
          <w:p w14:paraId="61B204D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color w:val="auto"/>
                <w:sz w:val="21"/>
              </w:rPr>
              <w:t>新增</w:t>
            </w:r>
          </w:p>
        </w:tc>
      </w:tr>
      <w:tr w14:paraId="48716C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jc w:val="center"/>
        </w:trPr>
        <w:tc>
          <w:tcPr>
            <w:tcW w:w="651" w:type="dxa"/>
            <w:tcBorders>
              <w:top w:val="single" w:color="auto" w:sz="4" w:space="0"/>
              <w:bottom w:val="single" w:color="auto" w:sz="4" w:space="0"/>
              <w:tl2br w:val="nil"/>
              <w:tr2bl w:val="nil"/>
            </w:tcBorders>
            <w:vAlign w:val="center"/>
          </w:tcPr>
          <w:p w14:paraId="11583954">
            <w:pPr>
              <w:keepNext w:val="0"/>
              <w:keepLines w:val="0"/>
              <w:pageBreakBefore w:val="0"/>
              <w:widowControl/>
              <w:kinsoku w:val="0"/>
              <w:wordWrap/>
              <w:overflowPunct/>
              <w:topLinePunct w:val="0"/>
              <w:autoSpaceDE w:val="0"/>
              <w:autoSpaceDN w:val="0"/>
              <w:bidi w:val="0"/>
              <w:adjustRightInd w:val="0"/>
              <w:snapToGrid w:val="0"/>
              <w:ind w:firstLine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11</w:t>
            </w:r>
          </w:p>
        </w:tc>
        <w:tc>
          <w:tcPr>
            <w:tcW w:w="1738" w:type="dxa"/>
            <w:tcBorders>
              <w:bottom w:val="single" w:color="auto" w:sz="4" w:space="0"/>
              <w:tl2br w:val="nil"/>
              <w:tr2bl w:val="nil"/>
            </w:tcBorders>
            <w:shd w:val="clear" w:color="auto" w:fill="auto"/>
            <w:vAlign w:val="center"/>
          </w:tcPr>
          <w:p w14:paraId="1396AD3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color w:val="auto"/>
                <w:sz w:val="21"/>
              </w:rPr>
              <w:t>沼气净化系统</w:t>
            </w:r>
          </w:p>
        </w:tc>
        <w:tc>
          <w:tcPr>
            <w:tcW w:w="3464" w:type="dxa"/>
            <w:tcBorders>
              <w:tl2br w:val="nil"/>
              <w:tr2bl w:val="nil"/>
            </w:tcBorders>
            <w:shd w:val="clear" w:color="auto" w:fill="auto"/>
            <w:vAlign w:val="center"/>
          </w:tcPr>
          <w:p w14:paraId="73511DB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eastAsia="宋体" w:cs="宋体"/>
                <w:color w:val="auto"/>
                <w:sz w:val="21"/>
                <w:lang w:val="en-US" w:eastAsia="zh-CN"/>
              </w:rPr>
              <w:t>干法</w:t>
            </w:r>
            <w:r>
              <w:rPr>
                <w:rFonts w:ascii="Times New Roman" w:hAnsi="Times New Roman" w:eastAsia="宋体" w:cs="宋体"/>
                <w:color w:val="auto"/>
                <w:sz w:val="21"/>
              </w:rPr>
              <w:t>脱硫系统</w:t>
            </w:r>
            <w:r>
              <w:rPr>
                <w:rFonts w:hint="eastAsia" w:ascii="Times New Roman" w:hAnsi="Times New Roman" w:eastAsia="宋体" w:cs="宋体"/>
                <w:color w:val="auto"/>
                <w:sz w:val="21"/>
                <w:lang w:eastAsia="zh-CN"/>
              </w:rPr>
              <w:t>、</w:t>
            </w:r>
            <w:r>
              <w:rPr>
                <w:rFonts w:hint="eastAsia" w:ascii="Times New Roman" w:hAnsi="Times New Roman" w:eastAsia="宋体" w:cs="宋体"/>
                <w:color w:val="auto"/>
                <w:sz w:val="21"/>
                <w:lang w:val="en-US" w:eastAsia="zh-CN"/>
              </w:rPr>
              <w:t>沼气火炬</w:t>
            </w:r>
            <w:r>
              <w:rPr>
                <w:rFonts w:ascii="Times New Roman" w:hAnsi="Times New Roman" w:eastAsia="宋体" w:cs="宋体"/>
                <w:color w:val="auto"/>
                <w:sz w:val="21"/>
              </w:rPr>
              <w:t>，处理能力：1000m</w:t>
            </w:r>
            <w:r>
              <w:rPr>
                <w:rFonts w:hint="eastAsia" w:ascii="Times New Roman" w:hAnsi="Times New Roman" w:eastAsia="宋体" w:cs="宋体"/>
                <w:color w:val="auto"/>
                <w:sz w:val="21"/>
                <w:vertAlign w:val="superscript"/>
                <w:lang w:val="en-US" w:eastAsia="zh-CN"/>
              </w:rPr>
              <w:t>3</w:t>
            </w:r>
            <w:r>
              <w:rPr>
                <w:rFonts w:ascii="Times New Roman" w:hAnsi="Times New Roman" w:eastAsia="宋体" w:cs="宋体"/>
                <w:color w:val="auto"/>
                <w:sz w:val="21"/>
                <w:vertAlign w:val="baseline"/>
              </w:rPr>
              <w:t>/</w:t>
            </w:r>
            <w:r>
              <w:rPr>
                <w:rFonts w:ascii="Times New Roman" w:hAnsi="Times New Roman" w:eastAsia="宋体" w:cs="宋体"/>
                <w:color w:val="auto"/>
                <w:sz w:val="21"/>
              </w:rPr>
              <w:t>h</w:t>
            </w:r>
          </w:p>
        </w:tc>
        <w:tc>
          <w:tcPr>
            <w:tcW w:w="1417" w:type="dxa"/>
            <w:tcBorders>
              <w:tl2br w:val="nil"/>
              <w:tr2bl w:val="nil"/>
            </w:tcBorders>
            <w:shd w:val="clear" w:color="auto" w:fill="auto"/>
            <w:vAlign w:val="center"/>
          </w:tcPr>
          <w:p w14:paraId="136B5FB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color w:val="auto"/>
                <w:sz w:val="21"/>
              </w:rPr>
              <w:t>1套</w:t>
            </w:r>
          </w:p>
        </w:tc>
        <w:tc>
          <w:tcPr>
            <w:tcW w:w="1300" w:type="dxa"/>
            <w:tcBorders>
              <w:tl2br w:val="nil"/>
              <w:tr2bl w:val="nil"/>
            </w:tcBorders>
            <w:shd w:val="clear" w:color="auto" w:fill="auto"/>
            <w:vAlign w:val="center"/>
          </w:tcPr>
          <w:p w14:paraId="096FCE6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snapToGrid w:val="0"/>
                <w:color w:val="auto"/>
                <w:kern w:val="0"/>
                <w:sz w:val="21"/>
                <w:szCs w:val="21"/>
                <w:lang w:val="en-US" w:eastAsia="zh-CN" w:bidi="ar-SA"/>
              </w:rPr>
            </w:pPr>
            <w:r>
              <w:rPr>
                <w:rFonts w:ascii="Times New Roman" w:hAnsi="Times New Roman" w:eastAsia="宋体" w:cs="宋体"/>
                <w:color w:val="auto"/>
                <w:sz w:val="21"/>
              </w:rPr>
              <w:t>新增</w:t>
            </w:r>
          </w:p>
        </w:tc>
      </w:tr>
    </w:tbl>
    <w:p w14:paraId="2BD6B983">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33" w:name="_Toc24750"/>
      <w:bookmarkStart w:id="34" w:name="_Toc28191"/>
      <w:r>
        <w:rPr>
          <w:rFonts w:hint="eastAsia" w:ascii="Times New Roman" w:hAnsi="Times New Roman" w:eastAsia="宋体" w:cs="宋体"/>
          <w:b/>
          <w:bCs/>
          <w:color w:val="auto"/>
          <w:sz w:val="28"/>
          <w:szCs w:val="28"/>
          <w:lang w:val="en-US" w:eastAsia="zh-CN"/>
        </w:rPr>
        <w:t>4.4、给排水</w:t>
      </w:r>
      <w:bookmarkEnd w:id="33"/>
    </w:p>
    <w:p w14:paraId="23DCF5F3">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4.4.1、给水</w:t>
      </w:r>
    </w:p>
    <w:p w14:paraId="77479E9D">
      <w:pPr>
        <w:spacing w:line="360" w:lineRule="auto"/>
        <w:ind w:firstLine="480" w:firstLineChars="200"/>
        <w:rPr>
          <w:rFonts w:hint="eastAsia" w:ascii="Times New Roman" w:hAnsi="Times New Roman" w:eastAsia="宋体" w:cs="宋体"/>
          <w:color w:val="auto"/>
          <w:sz w:val="24"/>
        </w:rPr>
      </w:pPr>
      <w:r>
        <w:rPr>
          <w:rFonts w:hint="eastAsia" w:ascii="Times New Roman" w:hAnsi="Times New Roman" w:eastAsia="宋体" w:cs="宋体"/>
          <w:color w:val="auto"/>
          <w:sz w:val="24"/>
        </w:rPr>
        <w:t>项目用水主要为生活用水、生产用水、锅炉用水、软水制备用水。本</w:t>
      </w:r>
      <w:r>
        <w:rPr>
          <w:rFonts w:hint="eastAsia" w:ascii="Times New Roman" w:hAnsi="Times New Roman" w:eastAsia="宋体" w:cs="宋体"/>
          <w:color w:val="auto"/>
          <w:sz w:val="24"/>
          <w:lang w:val="en-US" w:eastAsia="zh-CN"/>
        </w:rPr>
        <w:t>方案</w:t>
      </w:r>
      <w:r>
        <w:rPr>
          <w:rFonts w:hint="eastAsia" w:ascii="Times New Roman" w:hAnsi="Times New Roman" w:eastAsia="宋体" w:cs="宋体"/>
          <w:color w:val="auto"/>
          <w:sz w:val="24"/>
        </w:rPr>
        <w:t>参照《甘肃省行业用水定额（</w:t>
      </w:r>
      <w:r>
        <w:rPr>
          <w:rFonts w:ascii="Times New Roman" w:hAnsi="Times New Roman" w:eastAsia="宋体" w:cs="宋体"/>
          <w:color w:val="auto"/>
          <w:sz w:val="24"/>
        </w:rPr>
        <w:t>20</w:t>
      </w:r>
      <w:r>
        <w:rPr>
          <w:rFonts w:hint="eastAsia" w:ascii="Times New Roman" w:hAnsi="Times New Roman" w:eastAsia="宋体" w:cs="宋体"/>
          <w:color w:val="auto"/>
          <w:sz w:val="24"/>
          <w:lang w:val="en-US" w:eastAsia="zh-CN"/>
        </w:rPr>
        <w:t>23</w:t>
      </w:r>
      <w:r>
        <w:rPr>
          <w:rFonts w:hint="eastAsia" w:ascii="Times New Roman" w:hAnsi="Times New Roman" w:eastAsia="宋体" w:cs="宋体"/>
          <w:color w:val="auto"/>
          <w:sz w:val="24"/>
        </w:rPr>
        <w:t>版）》核算项目用水量。</w:t>
      </w:r>
    </w:p>
    <w:p w14:paraId="79F6454D">
      <w:pPr>
        <w:spacing w:line="360" w:lineRule="auto"/>
        <w:ind w:firstLine="480" w:firstLineChars="200"/>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1</w:t>
      </w:r>
      <w:r>
        <w:rPr>
          <w:rFonts w:hint="eastAsia" w:ascii="Times New Roman" w:hAnsi="Times New Roman" w:eastAsia="宋体" w:cs="宋体"/>
          <w:color w:val="auto"/>
          <w:sz w:val="24"/>
          <w:lang w:eastAsia="zh-CN"/>
        </w:rPr>
        <w:t>）</w:t>
      </w:r>
      <w:r>
        <w:rPr>
          <w:rFonts w:ascii="Times New Roman" w:hAnsi="Times New Roman" w:eastAsia="宋体" w:cs="宋体"/>
          <w:color w:val="auto"/>
          <w:sz w:val="24"/>
        </w:rPr>
        <w:t>生活用水</w:t>
      </w:r>
    </w:p>
    <w:p w14:paraId="73331902">
      <w:pPr>
        <w:spacing w:line="360" w:lineRule="auto"/>
        <w:ind w:firstLine="480" w:firstLineChars="200"/>
        <w:rPr>
          <w:rFonts w:ascii="Times New Roman" w:hAnsi="Times New Roman" w:eastAsia="宋体" w:cs="宋体"/>
          <w:color w:val="auto"/>
          <w:sz w:val="24"/>
        </w:rPr>
      </w:pPr>
      <w:r>
        <w:rPr>
          <w:rFonts w:ascii="Times New Roman" w:hAnsi="Times New Roman" w:eastAsia="宋体" w:cs="宋体"/>
          <w:color w:val="auto"/>
          <w:sz w:val="24"/>
        </w:rPr>
        <w:t>项目职工人数为</w:t>
      </w:r>
      <w:r>
        <w:rPr>
          <w:rFonts w:hint="eastAsia" w:ascii="Times New Roman" w:hAnsi="Times New Roman" w:eastAsia="宋体" w:cs="宋体"/>
          <w:color w:val="auto"/>
          <w:sz w:val="24"/>
        </w:rPr>
        <w:t>20人，用水量按90L/人</w:t>
      </w:r>
      <w:r>
        <w:rPr>
          <w:rFonts w:ascii="Times New Roman" w:hAnsi="Times New Roman" w:eastAsia="宋体" w:cs="宋体"/>
          <w:color w:val="auto"/>
          <w:sz w:val="24"/>
        </w:rPr>
        <w:t>·</w:t>
      </w:r>
      <w:r>
        <w:rPr>
          <w:rFonts w:hint="eastAsia" w:ascii="Times New Roman" w:hAnsi="Times New Roman" w:eastAsia="宋体" w:cs="宋体"/>
          <w:color w:val="auto"/>
          <w:sz w:val="24"/>
        </w:rPr>
        <w:t>d计，则职工生活用水量约为1.8m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w:t>
      </w:r>
      <w:r>
        <w:rPr>
          <w:rFonts w:hint="eastAsia" w:ascii="Times New Roman" w:hAnsi="Times New Roman" w:eastAsia="宋体" w:cs="宋体"/>
          <w:color w:val="auto"/>
          <w:sz w:val="24"/>
          <w:lang w:val="en-US" w:eastAsia="zh-CN"/>
        </w:rPr>
        <w:t>324</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/a）；项目生活用水</w:t>
      </w:r>
      <w:r>
        <w:rPr>
          <w:rFonts w:hint="eastAsia" w:ascii="Times New Roman" w:hAnsi="Times New Roman" w:eastAsia="宋体" w:cs="宋体"/>
          <w:color w:val="auto"/>
          <w:sz w:val="24"/>
          <w:lang w:val="en-US" w:eastAsia="zh-CN"/>
        </w:rPr>
        <w:t>来自园区供水管网</w:t>
      </w:r>
      <w:r>
        <w:rPr>
          <w:rFonts w:hint="eastAsia" w:ascii="Times New Roman" w:hAnsi="Times New Roman" w:eastAsia="宋体" w:cs="宋体"/>
          <w:color w:val="auto"/>
          <w:sz w:val="24"/>
        </w:rPr>
        <w:t>。</w:t>
      </w:r>
    </w:p>
    <w:p w14:paraId="79AD91E8">
      <w:pPr>
        <w:spacing w:line="360" w:lineRule="auto"/>
        <w:ind w:firstLine="480" w:firstLineChars="200"/>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2</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生产用水</w:t>
      </w:r>
    </w:p>
    <w:p w14:paraId="0003BB62">
      <w:pPr>
        <w:spacing w:line="360" w:lineRule="auto"/>
        <w:ind w:firstLine="480" w:firstLineChars="200"/>
        <w:rPr>
          <w:rFonts w:hint="eastAsia" w:ascii="Times New Roman" w:hAnsi="Times New Roman" w:eastAsia="宋体" w:cs="宋体"/>
          <w:color w:val="auto"/>
          <w:sz w:val="24"/>
        </w:rPr>
      </w:pPr>
      <w:r>
        <w:rPr>
          <w:rFonts w:hint="eastAsia" w:ascii="Times New Roman" w:hAnsi="Times New Roman" w:eastAsia="宋体" w:cs="宋体"/>
          <w:color w:val="auto"/>
          <w:sz w:val="24"/>
        </w:rPr>
        <w:t>项目生产用水主要包括清洗用水和工艺用水。</w:t>
      </w:r>
    </w:p>
    <w:p w14:paraId="483586D3">
      <w:pPr>
        <w:spacing w:line="360" w:lineRule="auto"/>
        <w:ind w:firstLine="480" w:firstLineChars="200"/>
        <w:rPr>
          <w:rFonts w:hint="eastAsia" w:ascii="Times New Roman" w:hAnsi="Times New Roman" w:eastAsia="宋体" w:cs="宋体"/>
          <w:color w:val="auto"/>
          <w:sz w:val="24"/>
        </w:rPr>
      </w:pP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w:instrText>
      </w:r>
      <w:r>
        <w:rPr>
          <w:rFonts w:hint="eastAsia" w:ascii="Times New Roman" w:hAnsi="Times New Roman" w:eastAsia="宋体" w:cs="宋体"/>
          <w:color w:val="auto"/>
          <w:sz w:val="24"/>
        </w:rPr>
        <w:instrText xml:space="preserve">= 1 \* GB3</w:instrText>
      </w:r>
      <w:r>
        <w:rPr>
          <w:rFonts w:ascii="Times New Roman" w:hAnsi="Times New Roman" w:eastAsia="宋体" w:cs="宋体"/>
          <w:color w:val="auto"/>
          <w:sz w:val="24"/>
        </w:rPr>
        <w:instrText xml:space="preserve"> </w:instrText>
      </w:r>
      <w:r>
        <w:rPr>
          <w:rFonts w:ascii="Times New Roman" w:hAnsi="Times New Roman" w:eastAsia="宋体" w:cs="宋体"/>
          <w:color w:val="auto"/>
          <w:sz w:val="24"/>
        </w:rPr>
        <w:fldChar w:fldCharType="separate"/>
      </w:r>
      <w:r>
        <w:rPr>
          <w:rFonts w:hint="eastAsia" w:ascii="Times New Roman" w:hAnsi="Times New Roman" w:eastAsia="宋体" w:cs="宋体"/>
          <w:color w:val="auto"/>
          <w:sz w:val="24"/>
        </w:rPr>
        <w:t>①</w:t>
      </w:r>
      <w:r>
        <w:rPr>
          <w:rFonts w:ascii="Times New Roman" w:hAnsi="Times New Roman" w:eastAsia="宋体" w:cs="宋体"/>
          <w:color w:val="auto"/>
          <w:sz w:val="24"/>
        </w:rPr>
        <w:fldChar w:fldCharType="end"/>
      </w:r>
      <w:r>
        <w:rPr>
          <w:rFonts w:ascii="Times New Roman" w:hAnsi="Times New Roman" w:eastAsia="宋体" w:cs="宋体"/>
          <w:color w:val="auto"/>
          <w:sz w:val="24"/>
        </w:rPr>
        <w:t>清洗用水</w:t>
      </w:r>
    </w:p>
    <w:p w14:paraId="680A2535">
      <w:pPr>
        <w:spacing w:line="360" w:lineRule="auto"/>
        <w:ind w:firstLine="480" w:firstLineChars="200"/>
        <w:rPr>
          <w:rFonts w:hint="eastAsia" w:ascii="Times New Roman" w:hAnsi="Times New Roman" w:eastAsia="宋体" w:cs="宋体"/>
          <w:color w:val="auto"/>
          <w:sz w:val="24"/>
        </w:rPr>
      </w:pPr>
      <w:r>
        <w:rPr>
          <w:rFonts w:hint="eastAsia" w:ascii="Times New Roman" w:hAnsi="Times New Roman" w:eastAsia="宋体" w:cs="宋体"/>
          <w:color w:val="auto"/>
          <w:sz w:val="24"/>
        </w:rPr>
        <w:t>项目马铃薯清洗采用流动冲洗，水源</w:t>
      </w:r>
      <w:r>
        <w:rPr>
          <w:rFonts w:hint="eastAsia" w:ascii="Times New Roman" w:hAnsi="Times New Roman" w:eastAsia="宋体" w:cs="宋体"/>
          <w:color w:val="auto"/>
          <w:sz w:val="24"/>
          <w:lang w:val="en-US" w:eastAsia="zh-CN"/>
        </w:rPr>
        <w:t>来自纯水制备浓水及锅炉定期排水的回用水</w:t>
      </w:r>
      <w:r>
        <w:rPr>
          <w:rFonts w:hint="eastAsia" w:ascii="Times New Roman" w:hAnsi="Times New Roman" w:eastAsia="宋体" w:cs="宋体"/>
          <w:color w:val="auto"/>
          <w:sz w:val="24"/>
        </w:rPr>
        <w:t>。依据建设单位提供资料，马铃薯清洗用水量约为原料量的</w:t>
      </w:r>
      <w:r>
        <w:rPr>
          <w:rFonts w:hint="eastAsia" w:ascii="Times New Roman" w:hAnsi="Times New Roman" w:eastAsia="宋体" w:cs="宋体"/>
          <w:color w:val="auto"/>
          <w:sz w:val="24"/>
          <w:lang w:val="en-US" w:eastAsia="zh-CN"/>
        </w:rPr>
        <w:t>2.5</w:t>
      </w:r>
      <w:r>
        <w:rPr>
          <w:rFonts w:hint="eastAsia" w:ascii="Times New Roman" w:hAnsi="Times New Roman" w:eastAsia="宋体" w:cs="宋体"/>
          <w:color w:val="auto"/>
          <w:sz w:val="24"/>
        </w:rPr>
        <w:t>倍，项目每日清洗马铃薯约</w:t>
      </w:r>
      <w:r>
        <w:rPr>
          <w:rFonts w:hint="eastAsia" w:ascii="Times New Roman" w:hAnsi="Times New Roman" w:eastAsia="宋体" w:cs="宋体"/>
          <w:color w:val="auto"/>
          <w:sz w:val="24"/>
          <w:lang w:val="en-US" w:eastAsia="zh-CN"/>
        </w:rPr>
        <w:t>278</w:t>
      </w:r>
      <w:r>
        <w:rPr>
          <w:rFonts w:hint="eastAsia" w:ascii="Times New Roman" w:hAnsi="Times New Roman" w:eastAsia="宋体" w:cs="宋体"/>
          <w:color w:val="auto"/>
          <w:sz w:val="24"/>
        </w:rPr>
        <w:t>t/d，清洗用水量约</w:t>
      </w:r>
      <w:r>
        <w:rPr>
          <w:rFonts w:hint="eastAsia" w:ascii="Times New Roman" w:hAnsi="Times New Roman" w:eastAsia="宋体" w:cs="宋体"/>
          <w:color w:val="auto"/>
          <w:sz w:val="24"/>
          <w:lang w:val="en-US" w:eastAsia="zh-CN"/>
        </w:rPr>
        <w:t>695</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/d，清洗废水经循环水池沉淀处理后循环使用，清洗过程损耗水量约为</w:t>
      </w:r>
      <w:r>
        <w:rPr>
          <w:rFonts w:hint="eastAsia" w:ascii="Times New Roman" w:hAnsi="Times New Roman" w:eastAsia="宋体" w:cs="宋体"/>
          <w:color w:val="auto"/>
          <w:sz w:val="24"/>
          <w:lang w:val="en-US" w:eastAsia="zh-CN"/>
        </w:rPr>
        <w:t>139</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/d，则每天需补充水量为</w:t>
      </w:r>
      <w:r>
        <w:rPr>
          <w:rFonts w:hint="eastAsia" w:ascii="Times New Roman" w:hAnsi="Times New Roman" w:eastAsia="宋体" w:cs="宋体"/>
          <w:color w:val="auto"/>
          <w:sz w:val="24"/>
          <w:lang w:val="en-US" w:eastAsia="zh-CN"/>
        </w:rPr>
        <w:t>139</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w:t>
      </w:r>
    </w:p>
    <w:p w14:paraId="0FB04A2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rPr>
      </w:pP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w:instrText>
      </w:r>
      <w:r>
        <w:rPr>
          <w:rFonts w:hint="eastAsia" w:ascii="Times New Roman" w:hAnsi="Times New Roman" w:eastAsia="宋体" w:cs="宋体"/>
          <w:color w:val="auto"/>
          <w:sz w:val="24"/>
        </w:rPr>
        <w:instrText xml:space="preserve">= 2 \* GB3</w:instrText>
      </w:r>
      <w:r>
        <w:rPr>
          <w:rFonts w:ascii="Times New Roman" w:hAnsi="Times New Roman" w:eastAsia="宋体" w:cs="宋体"/>
          <w:color w:val="auto"/>
          <w:sz w:val="24"/>
        </w:rPr>
        <w:instrText xml:space="preserve"> </w:instrText>
      </w:r>
      <w:r>
        <w:rPr>
          <w:rFonts w:ascii="Times New Roman" w:hAnsi="Times New Roman" w:eastAsia="宋体" w:cs="宋体"/>
          <w:color w:val="auto"/>
          <w:sz w:val="24"/>
        </w:rPr>
        <w:fldChar w:fldCharType="separate"/>
      </w:r>
      <w:r>
        <w:rPr>
          <w:rFonts w:hint="eastAsia" w:ascii="Times New Roman" w:hAnsi="Times New Roman" w:eastAsia="宋体" w:cs="宋体"/>
          <w:color w:val="auto"/>
          <w:sz w:val="24"/>
        </w:rPr>
        <w:t>②</w:t>
      </w:r>
      <w:r>
        <w:rPr>
          <w:rFonts w:ascii="Times New Roman" w:hAnsi="Times New Roman" w:eastAsia="宋体" w:cs="宋体"/>
          <w:color w:val="auto"/>
          <w:sz w:val="24"/>
        </w:rPr>
        <w:fldChar w:fldCharType="end"/>
      </w:r>
      <w:r>
        <w:rPr>
          <w:rFonts w:ascii="Times New Roman" w:hAnsi="Times New Roman" w:eastAsia="宋体" w:cs="宋体"/>
          <w:color w:val="auto"/>
          <w:sz w:val="24"/>
        </w:rPr>
        <w:t>淀粉生产用水</w:t>
      </w:r>
    </w:p>
    <w:p w14:paraId="69EB683F">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eastAsia="zh-CN"/>
        </w:rPr>
      </w:pPr>
      <w:r>
        <w:rPr>
          <w:rFonts w:hint="eastAsia" w:ascii="Times New Roman" w:hAnsi="Times New Roman" w:eastAsia="宋体" w:cs="宋体"/>
          <w:color w:val="auto"/>
          <w:sz w:val="24"/>
        </w:rPr>
        <w:t>淀粉生产过程中除砂、离心提取、浓缩精制工序使用</w:t>
      </w:r>
      <w:r>
        <w:rPr>
          <w:rFonts w:hint="eastAsia" w:ascii="Times New Roman" w:hAnsi="Times New Roman" w:eastAsia="宋体" w:cs="宋体"/>
          <w:color w:val="auto"/>
          <w:sz w:val="24"/>
          <w:lang w:val="en-US" w:eastAsia="zh-CN"/>
        </w:rPr>
        <w:t>工艺</w:t>
      </w:r>
      <w:r>
        <w:rPr>
          <w:rFonts w:hint="eastAsia" w:ascii="Times New Roman" w:hAnsi="Times New Roman" w:eastAsia="宋体" w:cs="宋体"/>
          <w:color w:val="auto"/>
          <w:sz w:val="24"/>
        </w:rPr>
        <w:t>水，参照《甘肃省行业用水定额（</w:t>
      </w:r>
      <w:r>
        <w:rPr>
          <w:rFonts w:ascii="Times New Roman" w:hAnsi="Times New Roman" w:eastAsia="宋体" w:cs="宋体"/>
          <w:color w:val="auto"/>
          <w:sz w:val="24"/>
        </w:rPr>
        <w:t>20</w:t>
      </w:r>
      <w:r>
        <w:rPr>
          <w:rFonts w:hint="eastAsia" w:ascii="Times New Roman" w:hAnsi="Times New Roman" w:eastAsia="宋体" w:cs="宋体"/>
          <w:color w:val="auto"/>
          <w:sz w:val="24"/>
          <w:lang w:val="en-US" w:eastAsia="zh-CN"/>
        </w:rPr>
        <w:t>23</w:t>
      </w:r>
      <w:r>
        <w:rPr>
          <w:rFonts w:hint="eastAsia" w:ascii="Times New Roman" w:hAnsi="Times New Roman" w:eastAsia="宋体" w:cs="宋体"/>
          <w:color w:val="auto"/>
          <w:sz w:val="24"/>
        </w:rPr>
        <w:t>版）》数据，除砂、离心提取、浓缩精制工序用水量</w:t>
      </w:r>
      <w:r>
        <w:rPr>
          <w:rFonts w:hint="eastAsia" w:ascii="Times New Roman" w:hAnsi="Times New Roman" w:eastAsia="宋体" w:cs="宋体"/>
          <w:color w:val="auto"/>
          <w:sz w:val="24"/>
          <w:lang w:val="en-US" w:eastAsia="zh-CN"/>
        </w:rPr>
        <w:t>取先进值7</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/t淀粉，</w:t>
      </w:r>
      <w:r>
        <w:rPr>
          <w:rFonts w:hint="eastAsia" w:ascii="Times New Roman" w:hAnsi="Times New Roman" w:eastAsia="宋体" w:cs="宋体"/>
          <w:color w:val="auto"/>
          <w:sz w:val="24"/>
          <w:lang w:val="en-US" w:eastAsia="zh-CN"/>
        </w:rPr>
        <w:t>本项目年产淀粉10000t/a（55.6t/d），</w:t>
      </w:r>
      <w:r>
        <w:rPr>
          <w:rFonts w:hint="eastAsia" w:ascii="Times New Roman" w:hAnsi="Times New Roman" w:eastAsia="宋体" w:cs="宋体"/>
          <w:color w:val="auto"/>
          <w:sz w:val="24"/>
        </w:rPr>
        <w:t>则</w:t>
      </w:r>
      <w:r>
        <w:rPr>
          <w:rFonts w:hint="eastAsia" w:ascii="Times New Roman" w:hAnsi="Times New Roman" w:eastAsia="宋体" w:cs="宋体"/>
          <w:color w:val="auto"/>
          <w:sz w:val="24"/>
          <w:lang w:val="en-US" w:eastAsia="zh-CN"/>
        </w:rPr>
        <w:t>生产</w:t>
      </w:r>
      <w:r>
        <w:rPr>
          <w:rFonts w:hint="eastAsia" w:ascii="Times New Roman" w:hAnsi="Times New Roman" w:eastAsia="宋体" w:cs="宋体"/>
          <w:color w:val="auto"/>
          <w:sz w:val="24"/>
        </w:rPr>
        <w:t>用</w:t>
      </w:r>
      <w:r>
        <w:rPr>
          <w:rFonts w:hint="eastAsia" w:ascii="Times New Roman" w:hAnsi="Times New Roman" w:eastAsia="宋体" w:cs="宋体"/>
          <w:color w:val="auto"/>
          <w:sz w:val="24"/>
          <w:lang w:val="en-US" w:eastAsia="zh-CN"/>
        </w:rPr>
        <w:t>水</w:t>
      </w:r>
      <w:r>
        <w:rPr>
          <w:rFonts w:hint="eastAsia" w:ascii="Times New Roman" w:hAnsi="Times New Roman" w:eastAsia="宋体" w:cs="宋体"/>
          <w:color w:val="auto"/>
          <w:sz w:val="24"/>
        </w:rPr>
        <w:t>量为</w:t>
      </w:r>
      <w:r>
        <w:rPr>
          <w:rFonts w:hint="eastAsia" w:ascii="Times New Roman" w:hAnsi="Times New Roman" w:eastAsia="宋体" w:cs="宋体"/>
          <w:color w:val="auto"/>
          <w:sz w:val="24"/>
          <w:lang w:val="en-US" w:eastAsia="zh-CN"/>
        </w:rPr>
        <w:t>389</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w:t>
      </w:r>
      <w:r>
        <w:rPr>
          <w:rFonts w:hint="eastAsia" w:ascii="Times New Roman" w:hAnsi="Times New Roman" w:eastAsia="宋体" w:cs="宋体"/>
          <w:color w:val="auto"/>
          <w:sz w:val="24"/>
          <w:lang w:eastAsia="zh-CN"/>
        </w:rPr>
        <w:t>。</w:t>
      </w:r>
    </w:p>
    <w:p w14:paraId="15C902A6">
      <w:pPr>
        <w:adjustRightInd w:val="0"/>
        <w:snapToGrid w:val="0"/>
        <w:spacing w:line="360" w:lineRule="auto"/>
        <w:ind w:firstLine="480" w:firstLineChars="200"/>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3</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锅炉补水</w:t>
      </w:r>
    </w:p>
    <w:p w14:paraId="2FA45E14">
      <w:pPr>
        <w:adjustRightInd w:val="0"/>
        <w:snapToGrid w:val="0"/>
        <w:spacing w:line="360" w:lineRule="auto"/>
        <w:ind w:firstLine="480" w:firstLineChars="200"/>
        <w:rPr>
          <w:rFonts w:hint="eastAsia" w:ascii="Times New Roman" w:hAnsi="Times New Roman" w:eastAsia="宋体" w:cs="宋体"/>
          <w:color w:val="auto"/>
          <w:sz w:val="24"/>
        </w:rPr>
      </w:pPr>
      <w:r>
        <w:rPr>
          <w:rFonts w:hint="eastAsia" w:ascii="Times New Roman" w:hAnsi="Times New Roman" w:eastAsia="宋体" w:cs="宋体"/>
          <w:color w:val="auto"/>
          <w:sz w:val="24"/>
        </w:rPr>
        <w:t>本项目设置1台</w:t>
      </w:r>
      <w:r>
        <w:rPr>
          <w:rFonts w:hint="eastAsia" w:ascii="Times New Roman" w:hAnsi="Times New Roman" w:eastAsia="宋体" w:cs="宋体"/>
          <w:color w:val="auto"/>
          <w:sz w:val="24"/>
          <w:lang w:val="en-US" w:eastAsia="zh-CN"/>
        </w:rPr>
        <w:t>15</w:t>
      </w:r>
      <w:r>
        <w:rPr>
          <w:rFonts w:hint="eastAsia" w:ascii="Times New Roman" w:hAnsi="Times New Roman" w:eastAsia="宋体" w:cs="宋体"/>
          <w:color w:val="auto"/>
          <w:sz w:val="24"/>
        </w:rPr>
        <w:t>t/h燃气锅炉，项目生产时间为10小时/d，蒸汽循环使用，</w:t>
      </w:r>
      <w:r>
        <w:rPr>
          <w:rFonts w:ascii="Times New Roman" w:hAnsi="Times New Roman" w:eastAsia="宋体" w:cs="宋体"/>
          <w:color w:val="auto"/>
          <w:sz w:val="24"/>
        </w:rPr>
        <w:t>主要为管网损耗补水和定期排水补水。本项目锅炉日循环水量约为</w:t>
      </w:r>
      <w:r>
        <w:rPr>
          <w:rFonts w:hint="eastAsia" w:ascii="Times New Roman" w:hAnsi="Times New Roman" w:eastAsia="宋体" w:cs="宋体"/>
          <w:color w:val="auto"/>
          <w:sz w:val="24"/>
          <w:lang w:val="en-US" w:eastAsia="zh-CN"/>
        </w:rPr>
        <w:t>20</w:t>
      </w:r>
      <w:r>
        <w:rPr>
          <w:rFonts w:hint="eastAsia" w:ascii="Times New Roman" w:hAnsi="Times New Roman" w:eastAsia="宋体" w:cs="宋体"/>
          <w:color w:val="auto"/>
          <w:sz w:val="24"/>
        </w:rPr>
        <w:t>0</w:t>
      </w:r>
      <w:r>
        <w:rPr>
          <w:rFonts w:ascii="Times New Roman" w:hAnsi="Times New Roman" w:eastAsia="宋体" w:cs="宋体"/>
          <w:color w:val="auto"/>
          <w:sz w:val="24"/>
        </w:rPr>
        <w:t>m</w:t>
      </w:r>
      <w:r>
        <w:rPr>
          <w:rFonts w:ascii="Times New Roman" w:hAnsi="Times New Roman" w:eastAsia="宋体" w:cs="宋体"/>
          <w:color w:val="auto"/>
          <w:sz w:val="24"/>
          <w:vertAlign w:val="superscript"/>
        </w:rPr>
        <w:t>3</w:t>
      </w:r>
      <w:r>
        <w:rPr>
          <w:rFonts w:ascii="Times New Roman" w:hAnsi="Times New Roman" w:eastAsia="宋体" w:cs="宋体"/>
          <w:color w:val="auto"/>
          <w:sz w:val="24"/>
        </w:rPr>
        <w:t>/d，管网损失量为循环水量的3%，运行期间管网损失补水量为</w:t>
      </w:r>
      <w:r>
        <w:rPr>
          <w:rFonts w:hint="eastAsia" w:ascii="Times New Roman" w:hAnsi="Times New Roman" w:eastAsia="宋体" w:cs="宋体"/>
          <w:color w:val="auto"/>
          <w:sz w:val="24"/>
          <w:lang w:val="en-US" w:eastAsia="zh-CN"/>
        </w:rPr>
        <w:t>6</w:t>
      </w:r>
      <w:r>
        <w:rPr>
          <w:rFonts w:ascii="Times New Roman" w:hAnsi="Times New Roman" w:eastAsia="宋体" w:cs="宋体"/>
          <w:color w:val="auto"/>
          <w:sz w:val="24"/>
        </w:rPr>
        <w:t>m</w:t>
      </w:r>
      <w:r>
        <w:rPr>
          <w:rFonts w:ascii="Times New Roman" w:hAnsi="Times New Roman" w:eastAsia="宋体" w:cs="宋体"/>
          <w:color w:val="auto"/>
          <w:sz w:val="24"/>
          <w:vertAlign w:val="superscript"/>
        </w:rPr>
        <w:t>3</w:t>
      </w:r>
      <w:r>
        <w:rPr>
          <w:rFonts w:ascii="Times New Roman" w:hAnsi="Times New Roman" w:eastAsia="宋体" w:cs="宋体"/>
          <w:color w:val="auto"/>
          <w:sz w:val="24"/>
        </w:rPr>
        <w:t>/d；锅炉定期排水占循环水量的2%，需补充软水量为</w:t>
      </w:r>
      <w:r>
        <w:rPr>
          <w:rFonts w:hint="eastAsia" w:ascii="Times New Roman" w:hAnsi="Times New Roman" w:eastAsia="宋体" w:cs="宋体"/>
          <w:color w:val="auto"/>
          <w:sz w:val="24"/>
          <w:lang w:val="en-US" w:eastAsia="zh-CN"/>
        </w:rPr>
        <w:t>4</w:t>
      </w:r>
      <w:r>
        <w:rPr>
          <w:rFonts w:ascii="Times New Roman" w:hAnsi="Times New Roman" w:eastAsia="宋体" w:cs="宋体"/>
          <w:color w:val="auto"/>
          <w:sz w:val="24"/>
        </w:rPr>
        <w:t>m</w:t>
      </w:r>
      <w:r>
        <w:rPr>
          <w:rFonts w:ascii="Times New Roman" w:hAnsi="Times New Roman" w:eastAsia="宋体" w:cs="宋体"/>
          <w:color w:val="auto"/>
          <w:sz w:val="24"/>
          <w:vertAlign w:val="superscript"/>
        </w:rPr>
        <w:t>3</w:t>
      </w:r>
      <w:r>
        <w:rPr>
          <w:rFonts w:ascii="Times New Roman" w:hAnsi="Times New Roman" w:eastAsia="宋体" w:cs="宋体"/>
          <w:color w:val="auto"/>
          <w:sz w:val="24"/>
        </w:rPr>
        <w:t>/d，即锅炉补水量为</w:t>
      </w:r>
      <w:r>
        <w:rPr>
          <w:rFonts w:hint="eastAsia" w:ascii="Times New Roman" w:hAnsi="Times New Roman" w:eastAsia="宋体" w:cs="宋体"/>
          <w:color w:val="auto"/>
          <w:sz w:val="24"/>
          <w:lang w:val="en-US" w:eastAsia="zh-CN"/>
        </w:rPr>
        <w:t>10</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w:t>
      </w:r>
    </w:p>
    <w:p w14:paraId="4AFB8303">
      <w:pPr>
        <w:adjustRightInd w:val="0"/>
        <w:snapToGrid w:val="0"/>
        <w:spacing w:line="360" w:lineRule="auto"/>
        <w:ind w:firstLine="480" w:firstLineChars="200"/>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4</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软</w:t>
      </w:r>
      <w:r>
        <w:rPr>
          <w:rFonts w:ascii="Times New Roman" w:hAnsi="Times New Roman" w:eastAsia="宋体" w:cs="宋体"/>
          <w:color w:val="auto"/>
          <w:sz w:val="24"/>
        </w:rPr>
        <w:t>水制备用水：项目</w:t>
      </w:r>
      <w:r>
        <w:rPr>
          <w:rFonts w:hint="eastAsia" w:ascii="Times New Roman" w:hAnsi="Times New Roman" w:eastAsia="宋体" w:cs="宋体"/>
          <w:color w:val="auto"/>
          <w:sz w:val="24"/>
          <w:lang w:val="en-US" w:eastAsia="zh-CN"/>
        </w:rPr>
        <w:t>淀粉生产用水与</w:t>
      </w:r>
      <w:r>
        <w:rPr>
          <w:rFonts w:ascii="Times New Roman" w:hAnsi="Times New Roman" w:eastAsia="宋体" w:cs="宋体"/>
          <w:color w:val="auto"/>
          <w:sz w:val="24"/>
        </w:rPr>
        <w:t>锅炉补水</w:t>
      </w:r>
      <w:r>
        <w:rPr>
          <w:rFonts w:hint="eastAsia" w:ascii="Times New Roman" w:hAnsi="Times New Roman" w:eastAsia="宋体" w:cs="宋体"/>
          <w:color w:val="auto"/>
          <w:sz w:val="24"/>
          <w:lang w:val="en-US" w:eastAsia="zh-CN"/>
        </w:rPr>
        <w:t>均</w:t>
      </w:r>
      <w:r>
        <w:rPr>
          <w:rFonts w:ascii="Times New Roman" w:hAnsi="Times New Roman" w:eastAsia="宋体" w:cs="宋体"/>
          <w:color w:val="auto"/>
          <w:sz w:val="24"/>
        </w:rPr>
        <w:t>需使用软化水，</w:t>
      </w:r>
      <w:r>
        <w:rPr>
          <w:rFonts w:hint="eastAsia" w:ascii="Times New Roman" w:hAnsi="Times New Roman" w:eastAsia="宋体" w:cs="宋体"/>
          <w:color w:val="auto"/>
          <w:sz w:val="24"/>
        </w:rPr>
        <w:t>纯水需求量为</w:t>
      </w:r>
      <w:r>
        <w:rPr>
          <w:rFonts w:hint="eastAsia" w:ascii="Times New Roman" w:hAnsi="Times New Roman" w:eastAsia="宋体" w:cs="宋体"/>
          <w:color w:val="auto"/>
          <w:sz w:val="24"/>
          <w:lang w:val="en-US" w:eastAsia="zh-CN"/>
        </w:rPr>
        <w:t>399</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/d，项目纯水制备采用双级反渗透纯水供应系统，出水率</w:t>
      </w:r>
      <w:r>
        <w:rPr>
          <w:rFonts w:hint="eastAsia" w:ascii="Times New Roman" w:hAnsi="Times New Roman" w:eastAsia="宋体" w:cs="宋体"/>
          <w:color w:val="auto"/>
          <w:sz w:val="24"/>
          <w:lang w:val="en-US" w:eastAsia="zh-CN"/>
        </w:rPr>
        <w:t>75</w:t>
      </w:r>
      <w:r>
        <w:rPr>
          <w:rFonts w:hint="eastAsia" w:ascii="Times New Roman" w:hAnsi="Times New Roman" w:eastAsia="宋体" w:cs="宋体"/>
          <w:color w:val="auto"/>
          <w:sz w:val="24"/>
        </w:rPr>
        <w:t>%，纯水制备需新鲜水量为</w:t>
      </w:r>
      <w:r>
        <w:rPr>
          <w:rFonts w:hint="eastAsia" w:ascii="Times New Roman" w:hAnsi="Times New Roman" w:eastAsia="宋体" w:cs="宋体"/>
          <w:color w:val="auto"/>
          <w:sz w:val="24"/>
          <w:lang w:val="en-US" w:eastAsia="zh-CN"/>
        </w:rPr>
        <w:t>532</w:t>
      </w:r>
      <w:r>
        <w:rPr>
          <w:rFonts w:ascii="Times New Roman" w:hAnsi="Times New Roman" w:eastAsia="宋体" w:cs="宋体"/>
          <w:color w:val="auto"/>
          <w:sz w:val="24"/>
        </w:rPr>
        <w:t>m³/</w:t>
      </w:r>
      <w:r>
        <w:rPr>
          <w:rFonts w:hint="eastAsia" w:ascii="Times New Roman" w:hAnsi="Times New Roman" w:eastAsia="宋体" w:cs="宋体"/>
          <w:color w:val="auto"/>
          <w:sz w:val="24"/>
        </w:rPr>
        <w:t>d。反渗透软水系统每4日冲洗1次，用水量约为2m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/d，则软水制备系统用水量为</w:t>
      </w:r>
      <w:r>
        <w:rPr>
          <w:rFonts w:hint="eastAsia" w:ascii="Times New Roman" w:hAnsi="Times New Roman" w:eastAsia="宋体" w:cs="宋体"/>
          <w:color w:val="auto"/>
          <w:sz w:val="24"/>
          <w:lang w:val="en-US" w:eastAsia="zh-CN"/>
        </w:rPr>
        <w:t>534</w:t>
      </w:r>
      <w:r>
        <w:rPr>
          <w:rFonts w:ascii="Times New Roman" w:hAnsi="Times New Roman" w:eastAsia="宋体" w:cs="宋体"/>
          <w:color w:val="auto"/>
          <w:sz w:val="24"/>
        </w:rPr>
        <w:t>m³/</w:t>
      </w:r>
      <w:r>
        <w:rPr>
          <w:rFonts w:hint="eastAsia" w:ascii="Times New Roman" w:hAnsi="Times New Roman" w:eastAsia="宋体" w:cs="宋体"/>
          <w:color w:val="auto"/>
          <w:sz w:val="24"/>
        </w:rPr>
        <w:t>d。</w:t>
      </w:r>
    </w:p>
    <w:p w14:paraId="65CABBEB">
      <w:pPr>
        <w:adjustRightInd w:val="0"/>
        <w:snapToGrid w:val="0"/>
        <w:spacing w:line="360" w:lineRule="auto"/>
        <w:ind w:firstLine="480" w:firstLineChars="200"/>
        <w:rPr>
          <w:rFonts w:hint="eastAsia" w:ascii="Times New Roman" w:hAnsi="Times New Roman" w:eastAsia="宋体" w:cs="宋体"/>
          <w:color w:val="auto"/>
          <w:sz w:val="24"/>
        </w:rPr>
      </w:pPr>
      <w:r>
        <w:rPr>
          <w:rFonts w:hint="eastAsia" w:ascii="Times New Roman" w:hAnsi="Times New Roman" w:eastAsia="宋体" w:cs="宋体"/>
          <w:color w:val="auto"/>
          <w:sz w:val="24"/>
        </w:rPr>
        <w:t>综上，项目每日</w:t>
      </w:r>
      <w:r>
        <w:rPr>
          <w:rFonts w:hint="eastAsia" w:ascii="Times New Roman" w:hAnsi="Times New Roman" w:eastAsia="宋体" w:cs="宋体"/>
          <w:color w:val="auto"/>
          <w:sz w:val="24"/>
          <w:lang w:val="en-US" w:eastAsia="zh-CN"/>
        </w:rPr>
        <w:t>新鲜水用</w:t>
      </w:r>
      <w:r>
        <w:rPr>
          <w:rFonts w:hint="eastAsia" w:ascii="Times New Roman" w:hAnsi="Times New Roman" w:eastAsia="宋体" w:cs="宋体"/>
          <w:color w:val="auto"/>
          <w:sz w:val="24"/>
        </w:rPr>
        <w:t>量为</w:t>
      </w:r>
      <w:r>
        <w:rPr>
          <w:rFonts w:hint="eastAsia" w:ascii="Times New Roman" w:hAnsi="Times New Roman" w:eastAsia="宋体" w:cs="宋体"/>
          <w:color w:val="auto"/>
          <w:sz w:val="24"/>
          <w:lang w:val="en-US" w:eastAsia="zh-CN"/>
        </w:rPr>
        <w:t>535.8</w:t>
      </w:r>
      <w:r>
        <w:rPr>
          <w:rFonts w:ascii="Times New Roman" w:hAnsi="Times New Roman" w:eastAsia="宋体" w:cs="宋体"/>
          <w:color w:val="auto"/>
          <w:sz w:val="24"/>
        </w:rPr>
        <w:t>m</w:t>
      </w:r>
      <w:r>
        <w:rPr>
          <w:rFonts w:hint="eastAsia" w:ascii="Times New Roman" w:hAnsi="Times New Roman" w:eastAsia="宋体" w:cs="宋体"/>
          <w:color w:val="auto"/>
          <w:sz w:val="24"/>
          <w:vertAlign w:val="superscript"/>
          <w:lang w:val="en-US" w:eastAsia="zh-CN"/>
        </w:rPr>
        <w:t>3</w:t>
      </w:r>
      <w:r>
        <w:rPr>
          <w:rFonts w:ascii="Times New Roman" w:hAnsi="Times New Roman" w:eastAsia="宋体" w:cs="宋体"/>
          <w:color w:val="auto"/>
          <w:sz w:val="24"/>
        </w:rPr>
        <w:t>/</w:t>
      </w:r>
      <w:r>
        <w:rPr>
          <w:rFonts w:hint="eastAsia" w:ascii="Times New Roman" w:hAnsi="Times New Roman" w:eastAsia="宋体" w:cs="宋体"/>
          <w:color w:val="auto"/>
          <w:sz w:val="24"/>
        </w:rPr>
        <w:t>d。</w:t>
      </w:r>
    </w:p>
    <w:p w14:paraId="10ED44C8">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4.4.2、排水</w:t>
      </w:r>
    </w:p>
    <w:p w14:paraId="6CA8E04A">
      <w:pPr>
        <w:spacing w:line="360" w:lineRule="auto"/>
        <w:ind w:firstLine="480" w:firstLineChars="200"/>
        <w:rPr>
          <w:rFonts w:ascii="Times New Roman" w:hAnsi="Times New Roman" w:eastAsia="宋体" w:cs="宋体"/>
          <w:bCs/>
          <w:color w:val="auto"/>
          <w:sz w:val="24"/>
        </w:rPr>
      </w:pPr>
      <w:r>
        <w:rPr>
          <w:rFonts w:hint="eastAsia" w:ascii="Times New Roman" w:hAnsi="Times New Roman" w:eastAsia="宋体" w:cs="宋体"/>
          <w:color w:val="auto"/>
          <w:sz w:val="24"/>
        </w:rPr>
        <w:t>本项目</w:t>
      </w:r>
      <w:r>
        <w:rPr>
          <w:rFonts w:ascii="Times New Roman" w:hAnsi="Times New Roman" w:eastAsia="宋体" w:cs="宋体"/>
          <w:color w:val="auto"/>
          <w:sz w:val="24"/>
        </w:rPr>
        <w:t>废水按性质可分为生活污水和</w:t>
      </w:r>
      <w:r>
        <w:rPr>
          <w:rFonts w:hint="eastAsia" w:ascii="Times New Roman" w:hAnsi="Times New Roman" w:eastAsia="宋体" w:cs="宋体"/>
          <w:color w:val="auto"/>
          <w:sz w:val="24"/>
        </w:rPr>
        <w:t>生产</w:t>
      </w:r>
      <w:r>
        <w:rPr>
          <w:rFonts w:ascii="Times New Roman" w:hAnsi="Times New Roman" w:eastAsia="宋体" w:cs="宋体"/>
          <w:color w:val="auto"/>
          <w:sz w:val="24"/>
        </w:rPr>
        <w:t>废水。</w:t>
      </w:r>
    </w:p>
    <w:p w14:paraId="40E56619">
      <w:pPr>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1</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生活污水</w:t>
      </w:r>
    </w:p>
    <w:p w14:paraId="6D5CC21B">
      <w:pPr>
        <w:spacing w:line="360" w:lineRule="auto"/>
        <w:ind w:firstLine="480" w:firstLineChars="200"/>
        <w:rPr>
          <w:rFonts w:hint="eastAsia" w:ascii="Times New Roman" w:hAnsi="Times New Roman" w:eastAsia="宋体" w:cs="宋体"/>
          <w:color w:val="auto"/>
          <w:sz w:val="24"/>
        </w:rPr>
      </w:pPr>
      <w:r>
        <w:rPr>
          <w:rFonts w:ascii="Times New Roman" w:hAnsi="Times New Roman" w:eastAsia="宋体" w:cs="宋体"/>
          <w:color w:val="auto"/>
          <w:sz w:val="24"/>
        </w:rPr>
        <w:t>生活污水</w:t>
      </w:r>
      <w:r>
        <w:rPr>
          <w:rFonts w:hint="eastAsia" w:ascii="Times New Roman" w:hAnsi="Times New Roman" w:eastAsia="宋体" w:cs="宋体"/>
          <w:color w:val="auto"/>
          <w:sz w:val="24"/>
        </w:rPr>
        <w:t>排污系数按80%计算，则产生量为1.44m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w:t>
      </w:r>
      <w:r>
        <w:rPr>
          <w:rFonts w:hint="eastAsia" w:ascii="Times New Roman" w:hAnsi="Times New Roman" w:eastAsia="宋体" w:cs="宋体"/>
          <w:color w:val="auto"/>
          <w:sz w:val="24"/>
          <w:lang w:val="en-US" w:eastAsia="zh-CN"/>
        </w:rPr>
        <w:t>259.2</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/a）；项目生活污水经化粪池</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5m</w:t>
      </w:r>
      <w:r>
        <w:rPr>
          <w:rFonts w:hint="eastAsia" w:ascii="Times New Roman" w:hAnsi="Times New Roman" w:eastAsia="宋体" w:cs="宋体"/>
          <w:color w:val="auto"/>
          <w:sz w:val="24"/>
          <w:vertAlign w:val="superscript"/>
          <w:lang w:val="en-US" w:eastAsia="zh-CN"/>
        </w:rPr>
        <w:t>3</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处理后</w:t>
      </w:r>
      <w:r>
        <w:rPr>
          <w:rFonts w:hint="default" w:ascii="Times New Roman" w:hAnsi="Times New Roman" w:eastAsia="宋体" w:cs="宋体"/>
          <w:snapToGrid/>
          <w:color w:val="auto"/>
          <w:kern w:val="0"/>
          <w:sz w:val="24"/>
          <w:szCs w:val="24"/>
          <w:lang w:val="en-US" w:eastAsia="zh-CN" w:bidi="ar-SA"/>
        </w:rPr>
        <w:t>进入黑膜发酵系统，经处理后</w:t>
      </w:r>
      <w:r>
        <w:rPr>
          <w:rFonts w:hint="eastAsia" w:ascii="Times New Roman" w:hAnsi="Times New Roman" w:eastAsia="宋体" w:cs="宋体"/>
          <w:snapToGrid/>
          <w:color w:val="auto"/>
          <w:kern w:val="0"/>
          <w:sz w:val="24"/>
          <w:szCs w:val="24"/>
          <w:lang w:val="en-US" w:eastAsia="zh-CN" w:bidi="ar-SA"/>
        </w:rPr>
        <w:t>沼液及沼渣进行</w:t>
      </w:r>
      <w:r>
        <w:rPr>
          <w:rFonts w:hint="default" w:ascii="Times New Roman" w:hAnsi="Times New Roman" w:eastAsia="宋体" w:cs="宋体"/>
          <w:snapToGrid/>
          <w:color w:val="auto"/>
          <w:kern w:val="0"/>
          <w:sz w:val="24"/>
          <w:szCs w:val="24"/>
          <w:lang w:val="en-US" w:eastAsia="zh-CN" w:bidi="ar-SA"/>
        </w:rPr>
        <w:t>资源化</w:t>
      </w:r>
      <w:r>
        <w:rPr>
          <w:rFonts w:hint="eastAsia" w:ascii="Times New Roman" w:hAnsi="Times New Roman" w:eastAsia="宋体" w:cs="宋体"/>
          <w:snapToGrid/>
          <w:color w:val="auto"/>
          <w:kern w:val="0"/>
          <w:sz w:val="24"/>
          <w:szCs w:val="24"/>
          <w:lang w:val="en-US" w:eastAsia="zh-CN" w:bidi="ar-SA"/>
        </w:rPr>
        <w:t>利用（</w:t>
      </w:r>
      <w:r>
        <w:rPr>
          <w:rFonts w:hint="default" w:ascii="Times New Roman" w:hAnsi="Times New Roman" w:eastAsia="宋体" w:cs="宋体"/>
          <w:snapToGrid/>
          <w:color w:val="auto"/>
          <w:kern w:val="0"/>
          <w:sz w:val="24"/>
          <w:szCs w:val="24"/>
          <w:lang w:val="en-US" w:eastAsia="zh-CN" w:bidi="ar-SA"/>
        </w:rPr>
        <w:t>还田</w:t>
      </w:r>
      <w:r>
        <w:rPr>
          <w:rFonts w:hint="eastAsia" w:ascii="Times New Roman" w:hAnsi="Times New Roman" w:eastAsia="宋体" w:cs="宋体"/>
          <w:snapToGrid/>
          <w:color w:val="auto"/>
          <w:kern w:val="0"/>
          <w:sz w:val="24"/>
          <w:szCs w:val="24"/>
          <w:lang w:val="en-US" w:eastAsia="zh-CN" w:bidi="ar-SA"/>
        </w:rPr>
        <w:t>）</w:t>
      </w:r>
      <w:r>
        <w:rPr>
          <w:rFonts w:hint="eastAsia" w:ascii="Times New Roman" w:hAnsi="Times New Roman" w:eastAsia="宋体" w:cs="宋体"/>
          <w:color w:val="auto"/>
          <w:sz w:val="24"/>
        </w:rPr>
        <w:t>。</w:t>
      </w:r>
    </w:p>
    <w:p w14:paraId="01FF6366">
      <w:pPr>
        <w:spacing w:line="360" w:lineRule="auto"/>
        <w:ind w:firstLine="480" w:firstLineChars="200"/>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2</w:t>
      </w:r>
      <w:r>
        <w:rPr>
          <w:rFonts w:hint="eastAsia" w:ascii="Times New Roman" w:hAnsi="Times New Roman" w:eastAsia="宋体" w:cs="宋体"/>
          <w:color w:val="auto"/>
          <w:sz w:val="24"/>
          <w:lang w:eastAsia="zh-CN"/>
        </w:rPr>
        <w:t>）</w:t>
      </w:r>
      <w:r>
        <w:rPr>
          <w:rFonts w:ascii="Times New Roman" w:hAnsi="Times New Roman" w:eastAsia="宋体" w:cs="宋体"/>
          <w:color w:val="auto"/>
          <w:sz w:val="24"/>
        </w:rPr>
        <w:t>生产废水</w:t>
      </w:r>
    </w:p>
    <w:p w14:paraId="708E72F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color w:val="auto"/>
          <w:sz w:val="24"/>
        </w:rPr>
      </w:pPr>
      <w:r>
        <w:rPr>
          <w:rFonts w:hint="eastAsia" w:ascii="Times New Roman" w:hAnsi="Times New Roman" w:eastAsia="宋体" w:cs="宋体"/>
          <w:snapToGrid w:val="0"/>
          <w:color w:val="auto"/>
          <w:kern w:val="0"/>
          <w:sz w:val="24"/>
          <w:szCs w:val="24"/>
          <w:lang w:val="en-US" w:eastAsia="zh-CN" w:bidi="ar"/>
        </w:rPr>
        <w:t>根据项目可研以及类比省内同行业数据核算得。每5t马铃薯可生产1t成品淀粉（含水率约18%）</w:t>
      </w:r>
      <w:r>
        <w:rPr>
          <w:rFonts w:hint="eastAsia" w:ascii="Times New Roman" w:hAnsi="Times New Roman" w:eastAsia="宋体" w:cs="宋体"/>
          <w:color w:val="auto"/>
          <w:sz w:val="24"/>
        </w:rPr>
        <w:t>，每5t马铃薯产生薯渣为2t（含水率约80%）。</w:t>
      </w:r>
    </w:p>
    <w:p w14:paraId="13441376">
      <w:pPr>
        <w:spacing w:line="360" w:lineRule="auto"/>
        <w:ind w:firstLine="480" w:firstLineChars="200"/>
        <w:rPr>
          <w:rFonts w:hint="eastAsia" w:ascii="Times New Roman" w:hAnsi="Times New Roman" w:eastAsia="宋体" w:cs="宋体"/>
          <w:color w:val="auto"/>
          <w:sz w:val="24"/>
        </w:rPr>
      </w:pP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w:instrText>
      </w:r>
      <w:r>
        <w:rPr>
          <w:rFonts w:hint="eastAsia" w:ascii="Times New Roman" w:hAnsi="Times New Roman" w:eastAsia="宋体" w:cs="宋体"/>
          <w:color w:val="auto"/>
          <w:sz w:val="24"/>
        </w:rPr>
        <w:instrText xml:space="preserve">= 1 \* GB3</w:instrText>
      </w:r>
      <w:r>
        <w:rPr>
          <w:rFonts w:ascii="Times New Roman" w:hAnsi="Times New Roman" w:eastAsia="宋体" w:cs="宋体"/>
          <w:color w:val="auto"/>
          <w:sz w:val="24"/>
        </w:rPr>
        <w:instrText xml:space="preserve"> </w:instrText>
      </w:r>
      <w:r>
        <w:rPr>
          <w:rFonts w:ascii="Times New Roman" w:hAnsi="Times New Roman" w:eastAsia="宋体" w:cs="宋体"/>
          <w:color w:val="auto"/>
          <w:sz w:val="24"/>
        </w:rPr>
        <w:fldChar w:fldCharType="separate"/>
      </w:r>
      <w:r>
        <w:rPr>
          <w:rFonts w:hint="eastAsia" w:ascii="Times New Roman" w:hAnsi="Times New Roman" w:eastAsia="宋体" w:cs="宋体"/>
          <w:color w:val="auto"/>
          <w:sz w:val="24"/>
        </w:rPr>
        <w:t>①</w:t>
      </w:r>
      <w:r>
        <w:rPr>
          <w:rFonts w:ascii="Times New Roman" w:hAnsi="Times New Roman" w:eastAsia="宋体" w:cs="宋体"/>
          <w:color w:val="auto"/>
          <w:sz w:val="24"/>
        </w:rPr>
        <w:fldChar w:fldCharType="end"/>
      </w:r>
      <w:r>
        <w:rPr>
          <w:rFonts w:ascii="Times New Roman" w:hAnsi="Times New Roman" w:eastAsia="宋体" w:cs="宋体"/>
          <w:color w:val="auto"/>
          <w:sz w:val="24"/>
        </w:rPr>
        <w:t>清洗废水</w:t>
      </w:r>
    </w:p>
    <w:p w14:paraId="7F2F99B5">
      <w:pPr>
        <w:spacing w:line="360" w:lineRule="auto"/>
        <w:ind w:firstLine="480" w:firstLineChars="200"/>
        <w:rPr>
          <w:rFonts w:hint="eastAsia" w:ascii="Times New Roman" w:hAnsi="Times New Roman" w:eastAsia="宋体" w:cs="宋体"/>
          <w:color w:val="auto"/>
          <w:sz w:val="24"/>
        </w:rPr>
      </w:pPr>
      <w:r>
        <w:rPr>
          <w:rFonts w:hint="default" w:ascii="Times New Roman" w:hAnsi="Times New Roman" w:eastAsia="宋体" w:cs="宋体"/>
          <w:snapToGrid w:val="0"/>
          <w:color w:val="auto"/>
          <w:kern w:val="0"/>
          <w:sz w:val="24"/>
          <w:szCs w:val="24"/>
          <w:lang w:val="en-US" w:eastAsia="zh-CN" w:bidi="ar"/>
        </w:rPr>
        <w:t>项目马铃薯清洗采用流动冲洗，</w:t>
      </w:r>
      <w:r>
        <w:rPr>
          <w:rFonts w:hint="eastAsia" w:ascii="Times New Roman" w:hAnsi="Times New Roman" w:eastAsia="宋体" w:cs="宋体"/>
          <w:color w:val="auto"/>
          <w:sz w:val="24"/>
        </w:rPr>
        <w:t>水源</w:t>
      </w:r>
      <w:r>
        <w:rPr>
          <w:rFonts w:hint="eastAsia" w:ascii="Times New Roman" w:hAnsi="Times New Roman" w:eastAsia="宋体" w:cs="宋体"/>
          <w:color w:val="auto"/>
          <w:sz w:val="24"/>
          <w:lang w:val="en-US" w:eastAsia="zh-CN"/>
        </w:rPr>
        <w:t>来自纯水制备浓水及锅炉定期排水的回用水</w:t>
      </w:r>
      <w:r>
        <w:rPr>
          <w:rFonts w:hint="default" w:ascii="Times New Roman" w:hAnsi="Times New Roman" w:eastAsia="宋体" w:cs="宋体"/>
          <w:snapToGrid w:val="0"/>
          <w:color w:val="auto"/>
          <w:kern w:val="0"/>
          <w:sz w:val="24"/>
          <w:szCs w:val="24"/>
          <w:lang w:val="en-US" w:eastAsia="zh-CN" w:bidi="ar"/>
        </w:rPr>
        <w:t>。马铃薯清洗用水量约为原料量的</w:t>
      </w:r>
      <w:r>
        <w:rPr>
          <w:rFonts w:hint="eastAsia" w:ascii="Times New Roman" w:hAnsi="Times New Roman" w:eastAsia="宋体" w:cs="宋体"/>
          <w:snapToGrid w:val="0"/>
          <w:color w:val="auto"/>
          <w:kern w:val="0"/>
          <w:sz w:val="24"/>
          <w:szCs w:val="24"/>
          <w:lang w:val="en-US" w:eastAsia="zh-CN" w:bidi="ar"/>
        </w:rPr>
        <w:t>2.5</w:t>
      </w:r>
      <w:r>
        <w:rPr>
          <w:rFonts w:hint="default" w:ascii="Times New Roman" w:hAnsi="Times New Roman" w:eastAsia="宋体" w:cs="宋体"/>
          <w:snapToGrid w:val="0"/>
          <w:color w:val="auto"/>
          <w:kern w:val="0"/>
          <w:sz w:val="24"/>
          <w:szCs w:val="24"/>
          <w:lang w:val="en-US" w:eastAsia="zh-CN" w:bidi="ar"/>
        </w:rPr>
        <w:t>倍，项目每日清洗马铃薯约</w:t>
      </w:r>
      <w:r>
        <w:rPr>
          <w:rFonts w:hint="eastAsia" w:ascii="Times New Roman" w:hAnsi="Times New Roman" w:eastAsia="宋体" w:cs="宋体"/>
          <w:snapToGrid w:val="0"/>
          <w:color w:val="auto"/>
          <w:kern w:val="0"/>
          <w:sz w:val="24"/>
          <w:szCs w:val="24"/>
          <w:lang w:val="en-US" w:eastAsia="zh-CN" w:bidi="ar"/>
        </w:rPr>
        <w:t>278</w:t>
      </w:r>
      <w:r>
        <w:rPr>
          <w:rFonts w:hint="default" w:ascii="Times New Roman" w:hAnsi="Times New Roman" w:eastAsia="宋体" w:cs="宋体"/>
          <w:snapToGrid w:val="0"/>
          <w:color w:val="auto"/>
          <w:kern w:val="0"/>
          <w:sz w:val="24"/>
          <w:szCs w:val="24"/>
          <w:lang w:val="en-US" w:eastAsia="zh-CN" w:bidi="ar"/>
        </w:rPr>
        <w:t>t/d，清洗用水量约</w:t>
      </w:r>
      <w:r>
        <w:rPr>
          <w:rFonts w:hint="eastAsia" w:ascii="Times New Roman" w:hAnsi="Times New Roman" w:eastAsia="宋体" w:cs="宋体"/>
          <w:snapToGrid w:val="0"/>
          <w:color w:val="auto"/>
          <w:kern w:val="0"/>
          <w:sz w:val="24"/>
          <w:szCs w:val="24"/>
          <w:lang w:val="en-US" w:eastAsia="zh-CN" w:bidi="ar"/>
        </w:rPr>
        <w:t>695</w:t>
      </w:r>
      <w:r>
        <w:rPr>
          <w:rFonts w:hint="default" w:ascii="Times New Roman" w:hAnsi="Times New Roman" w:eastAsia="宋体" w:cs="宋体"/>
          <w:snapToGrid w:val="0"/>
          <w:color w:val="auto"/>
          <w:kern w:val="0"/>
          <w:sz w:val="24"/>
          <w:szCs w:val="24"/>
          <w:lang w:val="en-US" w:eastAsia="zh-CN" w:bidi="ar"/>
        </w:rPr>
        <w:t>m</w:t>
      </w:r>
      <w:r>
        <w:rPr>
          <w:rFonts w:hint="default" w:ascii="Times New Roman" w:hAnsi="Times New Roman" w:eastAsia="宋体" w:cs="宋体"/>
          <w:snapToGrid w:val="0"/>
          <w:color w:val="auto"/>
          <w:kern w:val="0"/>
          <w:sz w:val="24"/>
          <w:szCs w:val="24"/>
          <w:vertAlign w:val="superscript"/>
          <w:lang w:val="en-US" w:eastAsia="zh-CN" w:bidi="ar"/>
        </w:rPr>
        <w:t>3</w:t>
      </w:r>
      <w:r>
        <w:rPr>
          <w:rFonts w:hint="default" w:ascii="Times New Roman" w:hAnsi="Times New Roman" w:eastAsia="宋体" w:cs="宋体"/>
          <w:snapToGrid w:val="0"/>
          <w:color w:val="auto"/>
          <w:kern w:val="0"/>
          <w:sz w:val="24"/>
          <w:szCs w:val="24"/>
          <w:lang w:val="en-US" w:eastAsia="zh-CN" w:bidi="ar"/>
        </w:rPr>
        <w:t>/d，</w:t>
      </w:r>
      <w:r>
        <w:rPr>
          <w:rFonts w:hint="eastAsia" w:ascii="Times New Roman" w:hAnsi="Times New Roman" w:eastAsia="宋体" w:cs="宋体"/>
          <w:snapToGrid w:val="0"/>
          <w:color w:val="auto"/>
          <w:kern w:val="0"/>
          <w:sz w:val="24"/>
          <w:szCs w:val="24"/>
          <w:lang w:val="en-US" w:eastAsia="zh-CN" w:bidi="ar"/>
        </w:rPr>
        <w:t>清洗废水经清水池沉淀处理后循环利用，清洗过程损耗水量约为20%，则每天需补充清水量约为139</w:t>
      </w:r>
      <w:r>
        <w:rPr>
          <w:rFonts w:hint="default" w:ascii="Times New Roman" w:hAnsi="Times New Roman" w:eastAsia="宋体" w:cs="宋体"/>
          <w:snapToGrid w:val="0"/>
          <w:color w:val="auto"/>
          <w:kern w:val="0"/>
          <w:sz w:val="24"/>
          <w:szCs w:val="24"/>
          <w:lang w:val="en-US" w:eastAsia="zh-CN" w:bidi="ar"/>
        </w:rPr>
        <w:t>m</w:t>
      </w:r>
      <w:r>
        <w:rPr>
          <w:rFonts w:hint="default" w:ascii="Times New Roman" w:hAnsi="Times New Roman" w:eastAsia="宋体" w:cs="宋体"/>
          <w:snapToGrid w:val="0"/>
          <w:color w:val="auto"/>
          <w:kern w:val="0"/>
          <w:sz w:val="24"/>
          <w:szCs w:val="24"/>
          <w:vertAlign w:val="superscript"/>
          <w:lang w:val="en-US" w:eastAsia="zh-CN" w:bidi="ar"/>
        </w:rPr>
        <w:t>3</w:t>
      </w:r>
      <w:r>
        <w:rPr>
          <w:rFonts w:hint="default" w:ascii="Times New Roman" w:hAnsi="Times New Roman" w:eastAsia="宋体" w:cs="宋体"/>
          <w:snapToGrid w:val="0"/>
          <w:color w:val="auto"/>
          <w:kern w:val="0"/>
          <w:sz w:val="24"/>
          <w:szCs w:val="24"/>
          <w:lang w:val="en-US" w:eastAsia="zh-CN" w:bidi="ar"/>
        </w:rPr>
        <w:t>/d</w:t>
      </w:r>
      <w:r>
        <w:rPr>
          <w:rFonts w:hint="eastAsia" w:ascii="Times New Roman" w:hAnsi="Times New Roman" w:eastAsia="宋体" w:cs="宋体"/>
          <w:snapToGrid w:val="0"/>
          <w:color w:val="auto"/>
          <w:kern w:val="0"/>
          <w:sz w:val="24"/>
          <w:szCs w:val="24"/>
          <w:lang w:val="en-US" w:eastAsia="zh-CN" w:bidi="ar"/>
        </w:rPr>
        <w:t>。循环水每年生产期结束后排放一次，排放水量约为556</w:t>
      </w:r>
      <w:r>
        <w:rPr>
          <w:rFonts w:hint="default" w:ascii="Times New Roman" w:hAnsi="Times New Roman" w:eastAsia="宋体" w:cs="宋体"/>
          <w:snapToGrid w:val="0"/>
          <w:color w:val="auto"/>
          <w:kern w:val="0"/>
          <w:sz w:val="24"/>
          <w:szCs w:val="24"/>
          <w:lang w:val="en-US" w:eastAsia="zh-CN" w:bidi="ar"/>
        </w:rPr>
        <w:t>m</w:t>
      </w:r>
      <w:r>
        <w:rPr>
          <w:rFonts w:hint="eastAsia" w:ascii="Times New Roman" w:hAnsi="Times New Roman" w:eastAsia="宋体" w:cs="宋体"/>
          <w:snapToGrid w:val="0"/>
          <w:color w:val="auto"/>
          <w:kern w:val="0"/>
          <w:sz w:val="24"/>
          <w:szCs w:val="24"/>
          <w:vertAlign w:val="superscript"/>
          <w:lang w:val="en-US" w:eastAsia="zh-CN" w:bidi="ar"/>
        </w:rPr>
        <w:t>3</w:t>
      </w:r>
      <w:r>
        <w:rPr>
          <w:rFonts w:hint="default" w:ascii="Times New Roman" w:hAnsi="Times New Roman" w:eastAsia="宋体" w:cs="宋体"/>
          <w:snapToGrid w:val="0"/>
          <w:color w:val="auto"/>
          <w:kern w:val="0"/>
          <w:sz w:val="24"/>
          <w:szCs w:val="24"/>
          <w:lang w:val="en-US" w:eastAsia="zh-CN" w:bidi="ar"/>
        </w:rPr>
        <w:t>/a</w:t>
      </w:r>
      <w:r>
        <w:rPr>
          <w:rFonts w:hint="eastAsia" w:ascii="Times New Roman" w:hAnsi="Times New Roman" w:eastAsia="宋体" w:cs="宋体"/>
          <w:color w:val="auto"/>
          <w:sz w:val="24"/>
          <w:lang w:eastAsia="zh-CN"/>
        </w:rPr>
        <w:t>，</w:t>
      </w:r>
      <w:r>
        <w:rPr>
          <w:rFonts w:hint="default" w:ascii="Times New Roman" w:hAnsi="Times New Roman" w:eastAsia="宋体" w:cs="宋体"/>
          <w:snapToGrid/>
          <w:color w:val="auto"/>
          <w:kern w:val="0"/>
          <w:sz w:val="24"/>
          <w:szCs w:val="24"/>
          <w:lang w:val="en-US" w:eastAsia="zh-CN" w:bidi="ar-SA"/>
        </w:rPr>
        <w:t>进入黑膜发酵系统，经处理后</w:t>
      </w:r>
      <w:r>
        <w:rPr>
          <w:rFonts w:hint="eastAsia" w:ascii="Times New Roman" w:hAnsi="Times New Roman" w:eastAsia="宋体" w:cs="宋体"/>
          <w:snapToGrid/>
          <w:color w:val="auto"/>
          <w:kern w:val="0"/>
          <w:sz w:val="24"/>
          <w:szCs w:val="24"/>
          <w:lang w:val="en-US" w:eastAsia="zh-CN" w:bidi="ar-SA"/>
        </w:rPr>
        <w:t>沼液及沼渣进行</w:t>
      </w:r>
      <w:r>
        <w:rPr>
          <w:rFonts w:hint="default" w:ascii="Times New Roman" w:hAnsi="Times New Roman" w:eastAsia="宋体" w:cs="宋体"/>
          <w:snapToGrid/>
          <w:color w:val="auto"/>
          <w:kern w:val="0"/>
          <w:sz w:val="24"/>
          <w:szCs w:val="24"/>
          <w:lang w:val="en-US" w:eastAsia="zh-CN" w:bidi="ar-SA"/>
        </w:rPr>
        <w:t>资源化</w:t>
      </w:r>
      <w:r>
        <w:rPr>
          <w:rFonts w:hint="eastAsia" w:ascii="Times New Roman" w:hAnsi="Times New Roman" w:eastAsia="宋体" w:cs="宋体"/>
          <w:snapToGrid/>
          <w:color w:val="auto"/>
          <w:kern w:val="0"/>
          <w:sz w:val="24"/>
          <w:szCs w:val="24"/>
          <w:lang w:val="en-US" w:eastAsia="zh-CN" w:bidi="ar-SA"/>
        </w:rPr>
        <w:t>利用（</w:t>
      </w:r>
      <w:r>
        <w:rPr>
          <w:rFonts w:hint="default" w:ascii="Times New Roman" w:hAnsi="Times New Roman" w:eastAsia="宋体" w:cs="宋体"/>
          <w:snapToGrid/>
          <w:color w:val="auto"/>
          <w:kern w:val="0"/>
          <w:sz w:val="24"/>
          <w:szCs w:val="24"/>
          <w:lang w:val="en-US" w:eastAsia="zh-CN" w:bidi="ar-SA"/>
        </w:rPr>
        <w:t>还田</w:t>
      </w:r>
      <w:r>
        <w:rPr>
          <w:rFonts w:hint="eastAsia" w:ascii="Times New Roman" w:hAnsi="Times New Roman" w:eastAsia="宋体" w:cs="宋体"/>
          <w:snapToGrid/>
          <w:color w:val="auto"/>
          <w:kern w:val="0"/>
          <w:sz w:val="24"/>
          <w:szCs w:val="24"/>
          <w:lang w:val="en-US" w:eastAsia="zh-CN" w:bidi="ar-SA"/>
        </w:rPr>
        <w:t>）</w:t>
      </w:r>
      <w:r>
        <w:rPr>
          <w:rFonts w:hint="eastAsia" w:ascii="Times New Roman" w:hAnsi="Times New Roman" w:eastAsia="宋体" w:cs="宋体"/>
          <w:color w:val="auto"/>
          <w:sz w:val="24"/>
        </w:rPr>
        <w:t>。</w:t>
      </w:r>
    </w:p>
    <w:p w14:paraId="134B102C">
      <w:pPr>
        <w:spacing w:line="360" w:lineRule="auto"/>
        <w:ind w:firstLine="480" w:firstLineChars="200"/>
        <w:rPr>
          <w:rFonts w:hint="eastAsia" w:ascii="Times New Roman" w:hAnsi="Times New Roman" w:eastAsia="宋体" w:cs="宋体"/>
          <w:color w:val="auto"/>
          <w:sz w:val="24"/>
        </w:rPr>
      </w:pP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w:instrText>
      </w:r>
      <w:r>
        <w:rPr>
          <w:rFonts w:hint="eastAsia" w:ascii="Times New Roman" w:hAnsi="Times New Roman" w:eastAsia="宋体" w:cs="宋体"/>
          <w:color w:val="auto"/>
          <w:sz w:val="24"/>
        </w:rPr>
        <w:instrText xml:space="preserve">= 2 \* GB3</w:instrText>
      </w:r>
      <w:r>
        <w:rPr>
          <w:rFonts w:ascii="Times New Roman" w:hAnsi="Times New Roman" w:eastAsia="宋体" w:cs="宋体"/>
          <w:color w:val="auto"/>
          <w:sz w:val="24"/>
        </w:rPr>
        <w:instrText xml:space="preserve"> </w:instrText>
      </w:r>
      <w:r>
        <w:rPr>
          <w:rFonts w:ascii="Times New Roman" w:hAnsi="Times New Roman" w:eastAsia="宋体" w:cs="宋体"/>
          <w:color w:val="auto"/>
          <w:sz w:val="24"/>
        </w:rPr>
        <w:fldChar w:fldCharType="separate"/>
      </w:r>
      <w:r>
        <w:rPr>
          <w:rFonts w:hint="eastAsia" w:ascii="Times New Roman" w:hAnsi="Times New Roman" w:eastAsia="宋体" w:cs="宋体"/>
          <w:color w:val="auto"/>
          <w:sz w:val="24"/>
        </w:rPr>
        <w:t>②</w:t>
      </w:r>
      <w:r>
        <w:rPr>
          <w:rFonts w:ascii="Times New Roman" w:hAnsi="Times New Roman" w:eastAsia="宋体" w:cs="宋体"/>
          <w:color w:val="auto"/>
          <w:sz w:val="24"/>
        </w:rPr>
        <w:fldChar w:fldCharType="end"/>
      </w:r>
      <w:r>
        <w:rPr>
          <w:rFonts w:ascii="Times New Roman" w:hAnsi="Times New Roman" w:eastAsia="宋体" w:cs="宋体"/>
          <w:color w:val="auto"/>
          <w:sz w:val="24"/>
        </w:rPr>
        <w:t>生产工艺废水</w:t>
      </w:r>
    </w:p>
    <w:p w14:paraId="22A79572">
      <w:pPr>
        <w:spacing w:line="360" w:lineRule="auto"/>
        <w:ind w:firstLine="480" w:firstLineChars="200"/>
        <w:rPr>
          <w:rFonts w:hint="eastAsia" w:ascii="Times New Roman" w:hAnsi="Times New Roman" w:eastAsia="宋体" w:cs="宋体"/>
          <w:color w:val="auto"/>
          <w:sz w:val="24"/>
        </w:rPr>
      </w:pPr>
      <w:r>
        <w:rPr>
          <w:rFonts w:hint="eastAsia" w:ascii="Times New Roman" w:hAnsi="Times New Roman" w:eastAsia="宋体" w:cs="宋体"/>
          <w:color w:val="auto"/>
          <w:sz w:val="24"/>
        </w:rPr>
        <w:t>淀粉生产过程中除砂、离心提取、浓缩精制工序使用</w:t>
      </w:r>
      <w:r>
        <w:rPr>
          <w:rFonts w:hint="eastAsia" w:ascii="Times New Roman" w:hAnsi="Times New Roman" w:eastAsia="宋体" w:cs="宋体"/>
          <w:color w:val="auto"/>
          <w:sz w:val="24"/>
          <w:lang w:val="en-US" w:eastAsia="zh-CN"/>
        </w:rPr>
        <w:t>纯净</w:t>
      </w:r>
      <w:r>
        <w:rPr>
          <w:rFonts w:hint="eastAsia" w:ascii="Times New Roman" w:hAnsi="Times New Roman" w:eastAsia="宋体" w:cs="宋体"/>
          <w:color w:val="auto"/>
          <w:sz w:val="24"/>
        </w:rPr>
        <w:t>水，参照《甘肃省行业用水定额（2023版）》淀粉及淀粉制品制造—马铃薯淀粉制造先进值，用水量约为7m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/t，则本项目生产新鲜用水量约为389m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/d（7万m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/a），原料带入汁水</w:t>
      </w:r>
      <w:r>
        <w:rPr>
          <w:rFonts w:hint="eastAsia" w:ascii="Times New Roman" w:hAnsi="Times New Roman" w:eastAsia="宋体" w:cs="宋体"/>
          <w:color w:val="auto"/>
          <w:sz w:val="24"/>
          <w:lang w:val="en-US" w:eastAsia="zh-CN"/>
        </w:rPr>
        <w:t>194.6</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/d（马铃薯含水率约为70%），进入产品生产流程，其中淀粉脱水、干燥过程损耗</w:t>
      </w:r>
      <w:r>
        <w:rPr>
          <w:rFonts w:hint="eastAsia" w:ascii="Times New Roman" w:hAnsi="Times New Roman" w:eastAsia="宋体" w:cs="宋体"/>
          <w:color w:val="auto"/>
          <w:sz w:val="24"/>
          <w:lang w:val="en-US" w:eastAsia="zh-CN"/>
        </w:rPr>
        <w:t>29.2</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/d，产品带走1</w:t>
      </w:r>
      <w:r>
        <w:rPr>
          <w:rFonts w:hint="eastAsia" w:ascii="Times New Roman" w:hAnsi="Times New Roman" w:eastAsia="宋体" w:cs="宋体"/>
          <w:color w:val="auto"/>
          <w:sz w:val="24"/>
          <w:lang w:val="en-US" w:eastAsia="zh-CN"/>
        </w:rPr>
        <w:t>0</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（淀粉含水率18%）；薯渣脱水过程产生废水</w:t>
      </w:r>
      <w:r>
        <w:rPr>
          <w:rFonts w:hint="eastAsia" w:ascii="Times New Roman" w:hAnsi="Times New Roman" w:eastAsia="宋体" w:cs="宋体"/>
          <w:color w:val="auto"/>
          <w:sz w:val="24"/>
          <w:lang w:val="en-US" w:eastAsia="zh-CN"/>
        </w:rPr>
        <w:t>35.6</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/d；浓缩精制过程产生细胞液废水</w:t>
      </w:r>
      <w:r>
        <w:rPr>
          <w:rFonts w:hint="eastAsia" w:ascii="Times New Roman" w:hAnsi="Times New Roman" w:eastAsia="宋体" w:cs="宋体"/>
          <w:color w:val="auto"/>
          <w:sz w:val="24"/>
          <w:lang w:val="en-US" w:eastAsia="zh-CN"/>
        </w:rPr>
        <w:t>455.5</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/d。综上，生产工艺废水产生量为</w:t>
      </w:r>
      <w:r>
        <w:rPr>
          <w:rFonts w:hint="eastAsia" w:ascii="Times New Roman" w:hAnsi="Times New Roman" w:eastAsia="宋体" w:cs="宋体"/>
          <w:color w:val="auto"/>
          <w:sz w:val="24"/>
          <w:lang w:val="en-US" w:eastAsia="zh-CN"/>
        </w:rPr>
        <w:t>491.1</w:t>
      </w:r>
      <w:r>
        <w:rPr>
          <w:rFonts w:hint="eastAsia" w:ascii="Times New Roman" w:hAnsi="Times New Roman" w:eastAsia="宋体" w:cs="宋体"/>
          <w:color w:val="auto"/>
          <w:sz w:val="24"/>
        </w:rPr>
        <w:t>m</w:t>
      </w:r>
      <w:r>
        <w:rPr>
          <w:rFonts w:hint="eastAsia" w:ascii="Times New Roman" w:hAnsi="Times New Roman" w:eastAsia="宋体" w:cs="宋体"/>
          <w:color w:val="auto"/>
          <w:sz w:val="24"/>
          <w:vertAlign w:val="superscript"/>
        </w:rPr>
        <w:t>3</w:t>
      </w:r>
      <w:r>
        <w:rPr>
          <w:rFonts w:hint="eastAsia" w:ascii="Times New Roman" w:hAnsi="Times New Roman" w:eastAsia="宋体" w:cs="宋体"/>
          <w:color w:val="auto"/>
          <w:sz w:val="24"/>
        </w:rPr>
        <w:t>/d。生产工艺废水</w:t>
      </w:r>
      <w:r>
        <w:rPr>
          <w:rFonts w:hint="default" w:ascii="Times New Roman" w:hAnsi="Times New Roman" w:eastAsia="宋体" w:cs="宋体"/>
          <w:snapToGrid/>
          <w:color w:val="auto"/>
          <w:kern w:val="0"/>
          <w:sz w:val="24"/>
          <w:szCs w:val="24"/>
          <w:lang w:val="en-US" w:eastAsia="zh-CN" w:bidi="ar-SA"/>
        </w:rPr>
        <w:t>进入黑膜发酵系统，经处理后</w:t>
      </w:r>
      <w:r>
        <w:rPr>
          <w:rFonts w:hint="eastAsia" w:ascii="Times New Roman" w:hAnsi="Times New Roman" w:eastAsia="宋体" w:cs="宋体"/>
          <w:snapToGrid/>
          <w:color w:val="auto"/>
          <w:kern w:val="0"/>
          <w:sz w:val="24"/>
          <w:szCs w:val="24"/>
          <w:lang w:val="en-US" w:eastAsia="zh-CN" w:bidi="ar-SA"/>
        </w:rPr>
        <w:t>沼液及沼渣进行</w:t>
      </w:r>
      <w:r>
        <w:rPr>
          <w:rFonts w:hint="default" w:ascii="Times New Roman" w:hAnsi="Times New Roman" w:eastAsia="宋体" w:cs="宋体"/>
          <w:snapToGrid/>
          <w:color w:val="auto"/>
          <w:kern w:val="0"/>
          <w:sz w:val="24"/>
          <w:szCs w:val="24"/>
          <w:lang w:val="en-US" w:eastAsia="zh-CN" w:bidi="ar-SA"/>
        </w:rPr>
        <w:t>资源化</w:t>
      </w:r>
      <w:r>
        <w:rPr>
          <w:rFonts w:hint="eastAsia" w:ascii="Times New Roman" w:hAnsi="Times New Roman" w:eastAsia="宋体" w:cs="宋体"/>
          <w:snapToGrid/>
          <w:color w:val="auto"/>
          <w:kern w:val="0"/>
          <w:sz w:val="24"/>
          <w:szCs w:val="24"/>
          <w:lang w:val="en-US" w:eastAsia="zh-CN" w:bidi="ar-SA"/>
        </w:rPr>
        <w:t>利用（</w:t>
      </w:r>
      <w:r>
        <w:rPr>
          <w:rFonts w:hint="default" w:ascii="Times New Roman" w:hAnsi="Times New Roman" w:eastAsia="宋体" w:cs="宋体"/>
          <w:snapToGrid/>
          <w:color w:val="auto"/>
          <w:kern w:val="0"/>
          <w:sz w:val="24"/>
          <w:szCs w:val="24"/>
          <w:lang w:val="en-US" w:eastAsia="zh-CN" w:bidi="ar-SA"/>
        </w:rPr>
        <w:t>还田</w:t>
      </w:r>
      <w:r>
        <w:rPr>
          <w:rFonts w:hint="eastAsia" w:ascii="Times New Roman" w:hAnsi="Times New Roman" w:eastAsia="宋体" w:cs="宋体"/>
          <w:snapToGrid/>
          <w:color w:val="auto"/>
          <w:kern w:val="0"/>
          <w:sz w:val="24"/>
          <w:szCs w:val="24"/>
          <w:lang w:val="en-US" w:eastAsia="zh-CN" w:bidi="ar-SA"/>
        </w:rPr>
        <w:t>）</w:t>
      </w:r>
      <w:r>
        <w:rPr>
          <w:rFonts w:hint="eastAsia" w:ascii="Times New Roman" w:hAnsi="Times New Roman" w:eastAsia="宋体" w:cs="宋体"/>
          <w:color w:val="auto"/>
          <w:sz w:val="24"/>
        </w:rPr>
        <w:t>。</w:t>
      </w:r>
    </w:p>
    <w:p w14:paraId="15BD0974">
      <w:pPr>
        <w:spacing w:line="360" w:lineRule="auto"/>
        <w:ind w:firstLine="480" w:firstLineChars="200"/>
        <w:rPr>
          <w:rFonts w:hint="eastAsia" w:ascii="Times New Roman" w:hAnsi="Times New Roman" w:eastAsia="宋体" w:cs="宋体"/>
          <w:color w:val="auto"/>
          <w:sz w:val="24"/>
        </w:rPr>
      </w:pP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w:instrText>
      </w:r>
      <w:r>
        <w:rPr>
          <w:rFonts w:hint="eastAsia" w:ascii="Times New Roman" w:hAnsi="Times New Roman" w:eastAsia="宋体" w:cs="宋体"/>
          <w:color w:val="auto"/>
          <w:sz w:val="24"/>
        </w:rPr>
        <w:instrText xml:space="preserve">= 3 \* GB3</w:instrText>
      </w:r>
      <w:r>
        <w:rPr>
          <w:rFonts w:ascii="Times New Roman" w:hAnsi="Times New Roman" w:eastAsia="宋体" w:cs="宋体"/>
          <w:color w:val="auto"/>
          <w:sz w:val="24"/>
        </w:rPr>
        <w:instrText xml:space="preserve"> </w:instrText>
      </w:r>
      <w:r>
        <w:rPr>
          <w:rFonts w:ascii="Times New Roman" w:hAnsi="Times New Roman" w:eastAsia="宋体" w:cs="宋体"/>
          <w:color w:val="auto"/>
          <w:sz w:val="24"/>
        </w:rPr>
        <w:fldChar w:fldCharType="separate"/>
      </w:r>
      <w:r>
        <w:rPr>
          <w:rFonts w:hint="eastAsia" w:ascii="Times New Roman" w:hAnsi="Times New Roman" w:eastAsia="宋体" w:cs="宋体"/>
          <w:color w:val="auto"/>
          <w:sz w:val="24"/>
        </w:rPr>
        <w:t>③</w:t>
      </w:r>
      <w:r>
        <w:rPr>
          <w:rFonts w:ascii="Times New Roman" w:hAnsi="Times New Roman" w:eastAsia="宋体" w:cs="宋体"/>
          <w:color w:val="auto"/>
          <w:sz w:val="24"/>
        </w:rPr>
        <w:fldChar w:fldCharType="end"/>
      </w:r>
      <w:r>
        <w:rPr>
          <w:rFonts w:ascii="Times New Roman" w:hAnsi="Times New Roman" w:eastAsia="宋体" w:cs="宋体"/>
          <w:color w:val="auto"/>
          <w:sz w:val="24"/>
        </w:rPr>
        <w:t>锅炉排水</w:t>
      </w:r>
    </w:p>
    <w:p w14:paraId="22A437E7">
      <w:pPr>
        <w:spacing w:line="360" w:lineRule="auto"/>
        <w:ind w:firstLine="480" w:firstLineChars="200"/>
        <w:rPr>
          <w:rFonts w:hint="eastAsia" w:ascii="Times New Roman" w:hAnsi="Times New Roman" w:eastAsia="宋体" w:cs="宋体"/>
          <w:color w:val="auto"/>
          <w:sz w:val="24"/>
        </w:rPr>
      </w:pPr>
      <w:r>
        <w:rPr>
          <w:rFonts w:hint="eastAsia" w:ascii="Times New Roman" w:hAnsi="Times New Roman" w:eastAsia="宋体" w:cs="宋体"/>
          <w:color w:val="auto"/>
          <w:sz w:val="24"/>
        </w:rPr>
        <w:t>锅炉定期排污水量为</w:t>
      </w:r>
      <w:r>
        <w:rPr>
          <w:rFonts w:hint="eastAsia" w:ascii="Times New Roman" w:hAnsi="Times New Roman" w:eastAsia="宋体" w:cs="宋体"/>
          <w:color w:val="auto"/>
          <w:sz w:val="24"/>
          <w:lang w:val="en-US" w:eastAsia="zh-CN"/>
        </w:rPr>
        <w:t>4</w:t>
      </w:r>
      <w:r>
        <w:rPr>
          <w:rFonts w:ascii="Times New Roman" w:hAnsi="Times New Roman" w:eastAsia="宋体" w:cs="宋体"/>
          <w:color w:val="auto"/>
          <w:sz w:val="24"/>
        </w:rPr>
        <w:t>m</w:t>
      </w:r>
      <w:r>
        <w:rPr>
          <w:rFonts w:ascii="Times New Roman" w:hAnsi="Times New Roman" w:eastAsia="宋体" w:cs="宋体"/>
          <w:color w:val="auto"/>
          <w:sz w:val="24"/>
          <w:vertAlign w:val="superscript"/>
        </w:rPr>
        <w:t>3</w:t>
      </w:r>
      <w:r>
        <w:rPr>
          <w:rFonts w:ascii="Times New Roman" w:hAnsi="Times New Roman" w:eastAsia="宋体" w:cs="宋体"/>
          <w:color w:val="auto"/>
          <w:sz w:val="24"/>
        </w:rPr>
        <w:t>/d，</w:t>
      </w:r>
      <w:r>
        <w:rPr>
          <w:rFonts w:hint="eastAsia" w:ascii="Times New Roman" w:hAnsi="Times New Roman" w:eastAsia="宋体" w:cs="宋体"/>
          <w:color w:val="auto"/>
          <w:sz w:val="24"/>
          <w:lang w:val="en-US" w:eastAsia="zh-CN"/>
        </w:rPr>
        <w:t>回</w:t>
      </w:r>
      <w:r>
        <w:rPr>
          <w:rFonts w:ascii="Times New Roman" w:hAnsi="Times New Roman" w:eastAsia="宋体" w:cs="宋体"/>
          <w:color w:val="auto"/>
          <w:sz w:val="24"/>
        </w:rPr>
        <w:t>用于</w:t>
      </w:r>
      <w:r>
        <w:rPr>
          <w:rFonts w:hint="eastAsia" w:ascii="Times New Roman" w:hAnsi="Times New Roman" w:eastAsia="宋体" w:cs="宋体"/>
          <w:color w:val="auto"/>
          <w:sz w:val="24"/>
          <w:lang w:val="en-US" w:eastAsia="zh-CN"/>
        </w:rPr>
        <w:t>马铃薯原料清洗</w:t>
      </w:r>
      <w:r>
        <w:rPr>
          <w:rFonts w:ascii="Times New Roman" w:hAnsi="Times New Roman" w:eastAsia="宋体" w:cs="宋体"/>
          <w:color w:val="auto"/>
          <w:sz w:val="24"/>
        </w:rPr>
        <w:t>，不外排。</w:t>
      </w:r>
    </w:p>
    <w:p w14:paraId="64565D59">
      <w:pPr>
        <w:spacing w:line="360" w:lineRule="auto"/>
        <w:ind w:firstLine="480" w:firstLineChars="200"/>
        <w:rPr>
          <w:rFonts w:hint="eastAsia" w:ascii="Times New Roman" w:hAnsi="Times New Roman" w:eastAsia="宋体" w:cs="宋体"/>
          <w:color w:val="auto"/>
          <w:sz w:val="24"/>
        </w:rPr>
      </w:pP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w:instrText>
      </w:r>
      <w:r>
        <w:rPr>
          <w:rFonts w:hint="eastAsia" w:ascii="Times New Roman" w:hAnsi="Times New Roman" w:eastAsia="宋体" w:cs="宋体"/>
          <w:color w:val="auto"/>
          <w:sz w:val="24"/>
        </w:rPr>
        <w:instrText xml:space="preserve">= 4 \* GB3</w:instrText>
      </w:r>
      <w:r>
        <w:rPr>
          <w:rFonts w:ascii="Times New Roman" w:hAnsi="Times New Roman" w:eastAsia="宋体" w:cs="宋体"/>
          <w:color w:val="auto"/>
          <w:sz w:val="24"/>
        </w:rPr>
        <w:instrText xml:space="preserve"> </w:instrText>
      </w:r>
      <w:r>
        <w:rPr>
          <w:rFonts w:ascii="Times New Roman" w:hAnsi="Times New Roman" w:eastAsia="宋体" w:cs="宋体"/>
          <w:color w:val="auto"/>
          <w:sz w:val="24"/>
        </w:rPr>
        <w:fldChar w:fldCharType="separate"/>
      </w:r>
      <w:r>
        <w:rPr>
          <w:rFonts w:hint="eastAsia" w:ascii="Times New Roman" w:hAnsi="Times New Roman" w:eastAsia="宋体" w:cs="宋体"/>
          <w:color w:val="auto"/>
          <w:sz w:val="24"/>
        </w:rPr>
        <w:t>④</w:t>
      </w:r>
      <w:r>
        <w:rPr>
          <w:rFonts w:ascii="Times New Roman" w:hAnsi="Times New Roman" w:eastAsia="宋体" w:cs="宋体"/>
          <w:color w:val="auto"/>
          <w:sz w:val="24"/>
        </w:rPr>
        <w:fldChar w:fldCharType="end"/>
      </w:r>
      <w:r>
        <w:rPr>
          <w:rFonts w:ascii="Times New Roman" w:hAnsi="Times New Roman" w:eastAsia="宋体" w:cs="宋体"/>
          <w:color w:val="auto"/>
          <w:sz w:val="24"/>
        </w:rPr>
        <w:t>软水制备废水</w:t>
      </w:r>
    </w:p>
    <w:p w14:paraId="197695AF">
      <w:pPr>
        <w:spacing w:line="360" w:lineRule="auto"/>
        <w:ind w:firstLine="480" w:firstLineChars="200"/>
        <w:rPr>
          <w:rFonts w:hint="eastAsia" w:ascii="Times New Roman" w:hAnsi="Times New Roman" w:eastAsia="宋体" w:cs="宋体"/>
          <w:color w:val="auto"/>
          <w:sz w:val="24"/>
        </w:rPr>
      </w:pPr>
      <w:r>
        <w:rPr>
          <w:rFonts w:hint="eastAsia" w:ascii="Times New Roman" w:hAnsi="Times New Roman" w:eastAsia="宋体" w:cs="宋体"/>
          <w:color w:val="auto"/>
          <w:sz w:val="24"/>
        </w:rPr>
        <w:t>项目软水制备过程中</w:t>
      </w:r>
      <w:r>
        <w:rPr>
          <w:rFonts w:hint="eastAsia" w:ascii="Times New Roman" w:hAnsi="Times New Roman" w:eastAsia="宋体" w:cs="宋体"/>
          <w:color w:val="auto"/>
          <w:sz w:val="24"/>
          <w:lang w:eastAsia="zh-CN"/>
        </w:rPr>
        <w:t>产生的</w:t>
      </w:r>
      <w:r>
        <w:rPr>
          <w:rFonts w:hint="eastAsia" w:ascii="Times New Roman" w:hAnsi="Times New Roman" w:eastAsia="宋体" w:cs="宋体"/>
          <w:color w:val="auto"/>
          <w:sz w:val="24"/>
        </w:rPr>
        <w:t>软化排水和反冲洗废水量为</w:t>
      </w:r>
      <w:r>
        <w:rPr>
          <w:rFonts w:hint="eastAsia" w:ascii="Times New Roman" w:hAnsi="Times New Roman" w:eastAsia="宋体" w:cs="宋体"/>
          <w:color w:val="auto"/>
          <w:sz w:val="24"/>
          <w:lang w:val="en-US" w:eastAsia="zh-CN"/>
        </w:rPr>
        <w:t>135</w:t>
      </w:r>
      <w:r>
        <w:rPr>
          <w:rFonts w:ascii="Times New Roman" w:hAnsi="Times New Roman" w:eastAsia="宋体" w:cs="宋体"/>
          <w:color w:val="auto"/>
          <w:sz w:val="24"/>
        </w:rPr>
        <w:t>m</w:t>
      </w:r>
      <w:r>
        <w:rPr>
          <w:rFonts w:ascii="Times New Roman" w:hAnsi="Times New Roman" w:eastAsia="宋体" w:cs="宋体"/>
          <w:color w:val="auto"/>
          <w:sz w:val="24"/>
          <w:vertAlign w:val="superscript"/>
        </w:rPr>
        <w:t>3</w:t>
      </w:r>
      <w:r>
        <w:rPr>
          <w:rFonts w:ascii="Times New Roman" w:hAnsi="Times New Roman" w:eastAsia="宋体" w:cs="宋体"/>
          <w:color w:val="auto"/>
          <w:sz w:val="24"/>
        </w:rPr>
        <w:t>/d</w:t>
      </w:r>
      <w:r>
        <w:rPr>
          <w:rFonts w:hint="eastAsia" w:ascii="Times New Roman" w:hAnsi="Times New Roman" w:eastAsia="宋体" w:cs="宋体"/>
          <w:color w:val="auto"/>
          <w:sz w:val="24"/>
        </w:rPr>
        <w:t>，用于</w:t>
      </w:r>
      <w:r>
        <w:rPr>
          <w:rFonts w:hint="eastAsia" w:ascii="Times New Roman" w:hAnsi="Times New Roman" w:eastAsia="宋体" w:cs="宋体"/>
          <w:color w:val="auto"/>
          <w:sz w:val="24"/>
          <w:lang w:val="en-US" w:eastAsia="zh-CN"/>
        </w:rPr>
        <w:t>马铃薯原料清洗</w:t>
      </w:r>
      <w:r>
        <w:rPr>
          <w:rFonts w:hint="eastAsia" w:ascii="Times New Roman" w:hAnsi="Times New Roman" w:eastAsia="宋体" w:cs="宋体"/>
          <w:color w:val="auto"/>
          <w:sz w:val="24"/>
        </w:rPr>
        <w:t>，不外排。</w:t>
      </w:r>
    </w:p>
    <w:p w14:paraId="7A25270E">
      <w:pPr>
        <w:spacing w:line="360" w:lineRule="auto"/>
        <w:ind w:firstLine="480" w:firstLineChars="200"/>
        <w:rPr>
          <w:rFonts w:ascii="Times New Roman" w:hAnsi="Times New Roman" w:eastAsia="宋体" w:cs="宋体"/>
          <w:color w:val="auto"/>
          <w:sz w:val="24"/>
        </w:rPr>
      </w:pPr>
      <w:r>
        <w:rPr>
          <w:rFonts w:ascii="Times New Roman" w:hAnsi="Times New Roman" w:eastAsia="宋体" w:cs="宋体"/>
          <w:color w:val="auto"/>
          <w:sz w:val="24"/>
        </w:rPr>
        <w:t>本项目</w:t>
      </w:r>
      <w:r>
        <w:rPr>
          <w:rFonts w:hint="eastAsia" w:ascii="Times New Roman" w:hAnsi="Times New Roman" w:eastAsia="宋体" w:cs="宋体"/>
          <w:color w:val="auto"/>
          <w:sz w:val="24"/>
        </w:rPr>
        <w:t>给</w:t>
      </w:r>
      <w:r>
        <w:rPr>
          <w:rFonts w:ascii="Times New Roman" w:hAnsi="Times New Roman" w:eastAsia="宋体" w:cs="宋体"/>
          <w:color w:val="auto"/>
          <w:sz w:val="24"/>
        </w:rPr>
        <w:t>排水</w:t>
      </w:r>
      <w:r>
        <w:rPr>
          <w:rFonts w:hint="eastAsia" w:ascii="Times New Roman" w:hAnsi="Times New Roman" w:eastAsia="宋体" w:cs="宋体"/>
          <w:color w:val="auto"/>
          <w:sz w:val="24"/>
        </w:rPr>
        <w:t>平衡</w:t>
      </w:r>
      <w:r>
        <w:rPr>
          <w:rFonts w:ascii="Times New Roman" w:hAnsi="Times New Roman" w:eastAsia="宋体" w:cs="宋体"/>
          <w:color w:val="auto"/>
          <w:sz w:val="24"/>
        </w:rPr>
        <w:t>见表</w:t>
      </w:r>
      <w:r>
        <w:rPr>
          <w:rFonts w:hint="eastAsia" w:ascii="Times New Roman" w:hAnsi="Times New Roman" w:eastAsia="宋体" w:cs="宋体"/>
          <w:color w:val="auto"/>
          <w:sz w:val="24"/>
          <w:lang w:val="en-US" w:eastAsia="zh-CN"/>
        </w:rPr>
        <w:t>4</w:t>
      </w:r>
      <w:r>
        <w:rPr>
          <w:rFonts w:hint="eastAsia" w:ascii="Times New Roman" w:hAnsi="Times New Roman" w:eastAsia="宋体" w:cs="宋体"/>
          <w:color w:val="auto"/>
          <w:sz w:val="24"/>
        </w:rPr>
        <w:t>-</w:t>
      </w:r>
      <w:r>
        <w:rPr>
          <w:rFonts w:hint="eastAsia" w:ascii="Times New Roman" w:hAnsi="Times New Roman" w:eastAsia="宋体" w:cs="宋体"/>
          <w:color w:val="auto"/>
          <w:sz w:val="24"/>
          <w:lang w:val="en-US" w:eastAsia="zh-CN"/>
        </w:rPr>
        <w:t>7</w:t>
      </w:r>
      <w:r>
        <w:rPr>
          <w:rFonts w:ascii="Times New Roman" w:hAnsi="Times New Roman" w:eastAsia="宋体" w:cs="宋体"/>
          <w:color w:val="auto"/>
          <w:sz w:val="24"/>
        </w:rPr>
        <w:t>，水平衡见图</w:t>
      </w:r>
      <w:r>
        <w:rPr>
          <w:rFonts w:hint="eastAsia" w:ascii="Times New Roman" w:hAnsi="Times New Roman" w:eastAsia="宋体" w:cs="宋体"/>
          <w:color w:val="auto"/>
          <w:sz w:val="24"/>
          <w:lang w:val="en-US" w:eastAsia="zh-CN"/>
        </w:rPr>
        <w:t>4</w:t>
      </w:r>
      <w:r>
        <w:rPr>
          <w:rFonts w:hint="eastAsia" w:ascii="Times New Roman" w:hAnsi="Times New Roman" w:eastAsia="宋体" w:cs="宋体"/>
          <w:color w:val="auto"/>
          <w:sz w:val="24"/>
        </w:rPr>
        <w:t>-</w:t>
      </w:r>
      <w:r>
        <w:rPr>
          <w:rFonts w:hint="eastAsia" w:ascii="Times New Roman" w:hAnsi="Times New Roman" w:eastAsia="宋体" w:cs="宋体"/>
          <w:color w:val="auto"/>
          <w:sz w:val="24"/>
          <w:lang w:val="en-US" w:eastAsia="zh-CN"/>
        </w:rPr>
        <w:t>6</w:t>
      </w:r>
      <w:r>
        <w:rPr>
          <w:rFonts w:ascii="Times New Roman" w:hAnsi="Times New Roman" w:eastAsia="宋体" w:cs="宋体"/>
          <w:color w:val="auto"/>
          <w:sz w:val="24"/>
        </w:rPr>
        <w:t>。</w:t>
      </w:r>
    </w:p>
    <w:p w14:paraId="00F44B80">
      <w:pPr>
        <w:pStyle w:val="30"/>
        <w:spacing w:line="240" w:lineRule="auto"/>
        <w:ind w:firstLine="198" w:firstLineChars="82"/>
        <w:jc w:val="center"/>
        <w:rPr>
          <w:rFonts w:hint="eastAsia" w:ascii="Times New Roman" w:hAnsi="Times New Roman" w:eastAsia="宋体" w:cs="宋体"/>
          <w:b/>
          <w:bCs w:val="0"/>
          <w:color w:val="auto"/>
        </w:rPr>
      </w:pPr>
      <w:r>
        <w:rPr>
          <w:rFonts w:hint="eastAsia" w:ascii="Times New Roman" w:hAnsi="Times New Roman" w:eastAsia="宋体" w:cs="宋体"/>
          <w:b/>
          <w:bCs w:val="0"/>
          <w:color w:val="auto"/>
        </w:rPr>
        <w:t>表</w:t>
      </w:r>
      <w:r>
        <w:rPr>
          <w:rFonts w:hint="eastAsia" w:ascii="Times New Roman" w:hAnsi="Times New Roman" w:eastAsia="宋体" w:cs="宋体"/>
          <w:b/>
          <w:bCs w:val="0"/>
          <w:color w:val="auto"/>
          <w:lang w:val="en-US" w:eastAsia="zh-CN"/>
        </w:rPr>
        <w:t xml:space="preserve">4-7   </w:t>
      </w:r>
      <w:r>
        <w:rPr>
          <w:rFonts w:hint="eastAsia" w:ascii="Times New Roman" w:hAnsi="Times New Roman" w:eastAsia="宋体" w:cs="宋体"/>
          <w:b/>
          <w:bCs w:val="0"/>
          <w:color w:val="auto"/>
        </w:rPr>
        <w:t>本项目给排水平衡一览表单位：m</w:t>
      </w:r>
      <w:r>
        <w:rPr>
          <w:rFonts w:hint="eastAsia" w:ascii="Times New Roman" w:hAnsi="Times New Roman" w:eastAsia="宋体" w:cs="宋体"/>
          <w:b/>
          <w:bCs w:val="0"/>
          <w:color w:val="auto"/>
          <w:vertAlign w:val="superscript"/>
        </w:rPr>
        <w:t>3</w:t>
      </w:r>
      <w:r>
        <w:rPr>
          <w:rFonts w:hint="eastAsia" w:ascii="Times New Roman" w:hAnsi="Times New Roman" w:eastAsia="宋体" w:cs="宋体"/>
          <w:b/>
          <w:bCs w:val="0"/>
          <w:color w:val="auto"/>
        </w:rPr>
        <w:t>/d</w:t>
      </w:r>
    </w:p>
    <w:tbl>
      <w:tblPr>
        <w:tblStyle w:val="21"/>
        <w:tblW w:w="4997"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7" w:type="dxa"/>
          <w:bottom w:w="0" w:type="dxa"/>
          <w:right w:w="17" w:type="dxa"/>
        </w:tblCellMar>
      </w:tblPr>
      <w:tblGrid>
        <w:gridCol w:w="519"/>
        <w:gridCol w:w="1003"/>
        <w:gridCol w:w="760"/>
        <w:gridCol w:w="762"/>
        <w:gridCol w:w="1004"/>
        <w:gridCol w:w="522"/>
        <w:gridCol w:w="762"/>
        <w:gridCol w:w="762"/>
        <w:gridCol w:w="522"/>
        <w:gridCol w:w="1004"/>
        <w:gridCol w:w="715"/>
      </w:tblGrid>
      <w:tr w14:paraId="78BB6E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7" w:type="dxa"/>
            <w:bottom w:w="0" w:type="dxa"/>
            <w:right w:w="17" w:type="dxa"/>
          </w:tblCellMar>
        </w:tblPrEx>
        <w:trPr>
          <w:trHeight w:val="526" w:hRule="atLeast"/>
          <w:jc w:val="center"/>
        </w:trPr>
        <w:tc>
          <w:tcPr>
            <w:tcW w:w="312" w:type="pct"/>
            <w:tcBorders>
              <w:tl2br w:val="nil"/>
              <w:tr2bl w:val="nil"/>
            </w:tcBorders>
            <w:noWrap w:val="0"/>
            <w:vAlign w:val="center"/>
          </w:tcPr>
          <w:p w14:paraId="3F00299B">
            <w:pPr>
              <w:pStyle w:val="29"/>
              <w:adjustRightInd w:val="0"/>
              <w:snapToGrid w:val="0"/>
              <w:spacing w:line="240" w:lineRule="auto"/>
              <w:rPr>
                <w:rFonts w:ascii="Times New Roman" w:hAnsi="Times New Roman" w:eastAsia="宋体" w:cs="宋体"/>
                <w:color w:val="auto"/>
              </w:rPr>
            </w:pPr>
            <w:r>
              <w:rPr>
                <w:rFonts w:ascii="Times New Roman" w:hAnsi="Times New Roman" w:eastAsia="宋体" w:cs="宋体"/>
                <w:color w:val="auto"/>
              </w:rPr>
              <w:t>序号</w:t>
            </w:r>
          </w:p>
        </w:tc>
        <w:tc>
          <w:tcPr>
            <w:tcW w:w="601" w:type="pct"/>
            <w:tcBorders>
              <w:tl2br w:val="nil"/>
              <w:tr2bl w:val="nil"/>
            </w:tcBorders>
            <w:noWrap w:val="0"/>
            <w:vAlign w:val="center"/>
          </w:tcPr>
          <w:p w14:paraId="07DAD718">
            <w:pPr>
              <w:pStyle w:val="29"/>
              <w:adjustRightInd w:val="0"/>
              <w:snapToGrid w:val="0"/>
              <w:spacing w:line="240" w:lineRule="auto"/>
              <w:rPr>
                <w:rFonts w:ascii="Times New Roman" w:hAnsi="Times New Roman" w:eastAsia="宋体" w:cs="宋体"/>
                <w:color w:val="auto"/>
              </w:rPr>
            </w:pPr>
            <w:r>
              <w:rPr>
                <w:rFonts w:ascii="Times New Roman" w:hAnsi="Times New Roman" w:eastAsia="宋体" w:cs="宋体"/>
                <w:color w:val="auto"/>
              </w:rPr>
              <w:t>用水工序</w:t>
            </w:r>
          </w:p>
        </w:tc>
        <w:tc>
          <w:tcPr>
            <w:tcW w:w="456" w:type="pct"/>
            <w:tcBorders>
              <w:tl2br w:val="nil"/>
              <w:tr2bl w:val="nil"/>
            </w:tcBorders>
            <w:noWrap w:val="0"/>
            <w:vAlign w:val="center"/>
          </w:tcPr>
          <w:p w14:paraId="3BCA3081">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新鲜水</w:t>
            </w:r>
          </w:p>
        </w:tc>
        <w:tc>
          <w:tcPr>
            <w:tcW w:w="457" w:type="pct"/>
            <w:tcBorders>
              <w:tl2br w:val="nil"/>
              <w:tr2bl w:val="nil"/>
            </w:tcBorders>
            <w:noWrap w:val="0"/>
            <w:vAlign w:val="center"/>
          </w:tcPr>
          <w:p w14:paraId="4A64D225">
            <w:pPr>
              <w:pStyle w:val="29"/>
              <w:adjustRightInd w:val="0"/>
              <w:snapToGrid w:val="0"/>
              <w:spacing w:line="240" w:lineRule="auto"/>
              <w:rPr>
                <w:rFonts w:hint="eastAsia" w:ascii="Times New Roman" w:hAnsi="Times New Roman" w:eastAsia="宋体" w:cs="宋体"/>
                <w:color w:val="auto"/>
              </w:rPr>
            </w:pPr>
            <w:r>
              <w:rPr>
                <w:rFonts w:hint="eastAsia" w:ascii="Times New Roman" w:hAnsi="Times New Roman" w:eastAsia="宋体" w:cs="宋体"/>
                <w:color w:val="auto"/>
              </w:rPr>
              <w:t>回用水</w:t>
            </w:r>
          </w:p>
        </w:tc>
        <w:tc>
          <w:tcPr>
            <w:tcW w:w="602" w:type="pct"/>
            <w:tcBorders>
              <w:tl2br w:val="nil"/>
              <w:tr2bl w:val="nil"/>
            </w:tcBorders>
            <w:noWrap w:val="0"/>
            <w:vAlign w:val="center"/>
          </w:tcPr>
          <w:p w14:paraId="33FA2154">
            <w:pPr>
              <w:pStyle w:val="29"/>
              <w:adjustRightInd w:val="0"/>
              <w:snapToGrid w:val="0"/>
              <w:spacing w:line="240" w:lineRule="auto"/>
              <w:rPr>
                <w:rFonts w:hint="eastAsia" w:ascii="Times New Roman" w:hAnsi="Times New Roman" w:eastAsia="宋体" w:cs="宋体"/>
                <w:color w:val="auto"/>
              </w:rPr>
            </w:pPr>
            <w:r>
              <w:rPr>
                <w:rFonts w:hint="eastAsia" w:ascii="Times New Roman" w:hAnsi="Times New Roman" w:eastAsia="宋体" w:cs="宋体"/>
                <w:color w:val="auto"/>
              </w:rPr>
              <w:t>原料带入</w:t>
            </w:r>
          </w:p>
        </w:tc>
        <w:tc>
          <w:tcPr>
            <w:tcW w:w="313" w:type="pct"/>
            <w:tcBorders>
              <w:tl2br w:val="nil"/>
              <w:tr2bl w:val="nil"/>
            </w:tcBorders>
            <w:noWrap w:val="0"/>
            <w:vAlign w:val="center"/>
          </w:tcPr>
          <w:p w14:paraId="215085C0">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软水</w:t>
            </w:r>
          </w:p>
        </w:tc>
        <w:tc>
          <w:tcPr>
            <w:tcW w:w="457" w:type="pct"/>
            <w:tcBorders>
              <w:tl2br w:val="nil"/>
              <w:tr2bl w:val="nil"/>
            </w:tcBorders>
            <w:noWrap w:val="0"/>
            <w:vAlign w:val="center"/>
          </w:tcPr>
          <w:p w14:paraId="7B272BFB">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循环水</w:t>
            </w:r>
          </w:p>
        </w:tc>
        <w:tc>
          <w:tcPr>
            <w:tcW w:w="457" w:type="pct"/>
            <w:tcBorders>
              <w:tl2br w:val="nil"/>
              <w:tr2bl w:val="nil"/>
            </w:tcBorders>
            <w:noWrap w:val="0"/>
            <w:vAlign w:val="center"/>
          </w:tcPr>
          <w:p w14:paraId="13650420">
            <w:pPr>
              <w:pStyle w:val="29"/>
              <w:adjustRightInd w:val="0"/>
              <w:snapToGrid w:val="0"/>
              <w:spacing w:line="240" w:lineRule="auto"/>
              <w:rPr>
                <w:rFonts w:ascii="Times New Roman" w:hAnsi="Times New Roman" w:eastAsia="宋体" w:cs="宋体"/>
                <w:color w:val="auto"/>
              </w:rPr>
            </w:pPr>
            <w:r>
              <w:rPr>
                <w:rFonts w:ascii="Times New Roman" w:hAnsi="Times New Roman" w:eastAsia="宋体" w:cs="宋体"/>
                <w:color w:val="auto"/>
              </w:rPr>
              <w:t>损耗水</w:t>
            </w:r>
          </w:p>
        </w:tc>
        <w:tc>
          <w:tcPr>
            <w:tcW w:w="313" w:type="pct"/>
            <w:tcBorders>
              <w:tl2br w:val="nil"/>
              <w:tr2bl w:val="nil"/>
            </w:tcBorders>
            <w:noWrap w:val="0"/>
            <w:vAlign w:val="center"/>
          </w:tcPr>
          <w:p w14:paraId="33726E83">
            <w:pPr>
              <w:pStyle w:val="29"/>
              <w:adjustRightInd w:val="0"/>
              <w:snapToGrid w:val="0"/>
              <w:spacing w:line="240" w:lineRule="auto"/>
              <w:rPr>
                <w:rFonts w:hint="eastAsia" w:ascii="Times New Roman" w:hAnsi="Times New Roman" w:eastAsia="宋体" w:cs="宋体"/>
                <w:color w:val="auto"/>
              </w:rPr>
            </w:pPr>
            <w:r>
              <w:rPr>
                <w:rFonts w:hint="eastAsia" w:ascii="Times New Roman" w:hAnsi="Times New Roman" w:eastAsia="宋体" w:cs="宋体"/>
                <w:color w:val="auto"/>
              </w:rPr>
              <w:t>产品</w:t>
            </w:r>
          </w:p>
          <w:p w14:paraId="4AD1DF56">
            <w:pPr>
              <w:pStyle w:val="29"/>
              <w:adjustRightInd w:val="0"/>
              <w:snapToGrid w:val="0"/>
              <w:spacing w:line="240" w:lineRule="auto"/>
              <w:rPr>
                <w:rFonts w:hint="eastAsia" w:ascii="Times New Roman" w:hAnsi="Times New Roman" w:eastAsia="宋体" w:cs="宋体"/>
                <w:color w:val="auto"/>
              </w:rPr>
            </w:pPr>
            <w:r>
              <w:rPr>
                <w:rFonts w:hint="eastAsia" w:ascii="Times New Roman" w:hAnsi="Times New Roman" w:eastAsia="宋体" w:cs="宋体"/>
                <w:color w:val="auto"/>
              </w:rPr>
              <w:t>带出</w:t>
            </w:r>
          </w:p>
        </w:tc>
        <w:tc>
          <w:tcPr>
            <w:tcW w:w="602" w:type="pct"/>
            <w:tcBorders>
              <w:tl2br w:val="nil"/>
              <w:tr2bl w:val="nil"/>
            </w:tcBorders>
            <w:noWrap w:val="0"/>
            <w:vAlign w:val="center"/>
          </w:tcPr>
          <w:p w14:paraId="66EFD6BB">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输出软水</w:t>
            </w:r>
          </w:p>
        </w:tc>
        <w:tc>
          <w:tcPr>
            <w:tcW w:w="427" w:type="pct"/>
            <w:tcBorders>
              <w:tl2br w:val="nil"/>
              <w:tr2bl w:val="nil"/>
            </w:tcBorders>
            <w:noWrap w:val="0"/>
            <w:vAlign w:val="center"/>
          </w:tcPr>
          <w:p w14:paraId="44E5133D">
            <w:pPr>
              <w:pStyle w:val="29"/>
              <w:adjustRightInd w:val="0"/>
              <w:snapToGrid w:val="0"/>
              <w:spacing w:line="240" w:lineRule="auto"/>
              <w:rPr>
                <w:rFonts w:hint="eastAsia" w:ascii="Times New Roman" w:hAnsi="Times New Roman" w:eastAsia="宋体" w:cs="宋体"/>
                <w:color w:val="auto"/>
                <w:lang w:val="en-US" w:eastAsia="zh-CN"/>
              </w:rPr>
            </w:pPr>
            <w:r>
              <w:rPr>
                <w:rFonts w:hint="eastAsia" w:ascii="Times New Roman" w:hAnsi="Times New Roman" w:eastAsia="宋体" w:cs="宋体"/>
                <w:color w:val="auto"/>
              </w:rPr>
              <w:t>外排</w:t>
            </w:r>
            <w:r>
              <w:rPr>
                <w:rFonts w:hint="eastAsia" w:ascii="Times New Roman" w:hAnsi="Times New Roman" w:eastAsia="宋体" w:cs="宋体"/>
                <w:color w:val="auto"/>
                <w:lang w:val="en-US" w:eastAsia="zh-CN"/>
              </w:rPr>
              <w:t>水</w:t>
            </w:r>
          </w:p>
        </w:tc>
      </w:tr>
      <w:tr w14:paraId="77C17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7" w:type="dxa"/>
            <w:bottom w:w="0" w:type="dxa"/>
            <w:right w:w="17" w:type="dxa"/>
          </w:tblCellMar>
        </w:tblPrEx>
        <w:trPr>
          <w:trHeight w:val="283" w:hRule="atLeast"/>
          <w:jc w:val="center"/>
        </w:trPr>
        <w:tc>
          <w:tcPr>
            <w:tcW w:w="312" w:type="pct"/>
            <w:tcBorders>
              <w:tl2br w:val="nil"/>
              <w:tr2bl w:val="nil"/>
            </w:tcBorders>
            <w:noWrap w:val="0"/>
            <w:vAlign w:val="center"/>
          </w:tcPr>
          <w:p w14:paraId="135794B1">
            <w:pPr>
              <w:pStyle w:val="29"/>
              <w:adjustRightInd w:val="0"/>
              <w:snapToGrid w:val="0"/>
              <w:spacing w:line="240" w:lineRule="auto"/>
              <w:rPr>
                <w:rFonts w:ascii="Times New Roman" w:hAnsi="Times New Roman" w:eastAsia="宋体" w:cs="宋体"/>
                <w:color w:val="auto"/>
              </w:rPr>
            </w:pPr>
            <w:r>
              <w:rPr>
                <w:rFonts w:ascii="Times New Roman" w:hAnsi="Times New Roman" w:eastAsia="宋体" w:cs="宋体"/>
                <w:color w:val="auto"/>
              </w:rPr>
              <w:t>1</w:t>
            </w:r>
          </w:p>
        </w:tc>
        <w:tc>
          <w:tcPr>
            <w:tcW w:w="601" w:type="pct"/>
            <w:tcBorders>
              <w:tl2br w:val="nil"/>
              <w:tr2bl w:val="nil"/>
            </w:tcBorders>
            <w:noWrap w:val="0"/>
            <w:vAlign w:val="center"/>
          </w:tcPr>
          <w:p w14:paraId="363A767D">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生活用水</w:t>
            </w:r>
          </w:p>
        </w:tc>
        <w:tc>
          <w:tcPr>
            <w:tcW w:w="456" w:type="pct"/>
            <w:tcBorders>
              <w:tl2br w:val="nil"/>
              <w:tr2bl w:val="nil"/>
            </w:tcBorders>
            <w:noWrap w:val="0"/>
            <w:vAlign w:val="center"/>
          </w:tcPr>
          <w:p w14:paraId="71E2D937">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1.8</w:t>
            </w:r>
          </w:p>
        </w:tc>
        <w:tc>
          <w:tcPr>
            <w:tcW w:w="457" w:type="pct"/>
            <w:tcBorders>
              <w:tl2br w:val="nil"/>
              <w:tr2bl w:val="nil"/>
            </w:tcBorders>
            <w:noWrap w:val="0"/>
            <w:vAlign w:val="center"/>
          </w:tcPr>
          <w:p w14:paraId="2892696F">
            <w:pPr>
              <w:pStyle w:val="29"/>
              <w:adjustRightInd w:val="0"/>
              <w:snapToGrid w:val="0"/>
              <w:spacing w:line="240" w:lineRule="auto"/>
              <w:rPr>
                <w:rFonts w:hint="eastAsia" w:ascii="Times New Roman" w:hAnsi="Times New Roman" w:eastAsia="宋体" w:cs="宋体"/>
                <w:color w:val="auto"/>
              </w:rPr>
            </w:pPr>
            <w:r>
              <w:rPr>
                <w:rFonts w:hint="eastAsia" w:ascii="Times New Roman" w:hAnsi="Times New Roman" w:eastAsia="宋体" w:cs="宋体"/>
                <w:color w:val="auto"/>
              </w:rPr>
              <w:t>0</w:t>
            </w:r>
          </w:p>
        </w:tc>
        <w:tc>
          <w:tcPr>
            <w:tcW w:w="602" w:type="pct"/>
            <w:tcBorders>
              <w:tl2br w:val="nil"/>
              <w:tr2bl w:val="nil"/>
            </w:tcBorders>
            <w:noWrap w:val="0"/>
            <w:vAlign w:val="center"/>
          </w:tcPr>
          <w:p w14:paraId="185E080F">
            <w:pPr>
              <w:pStyle w:val="29"/>
              <w:adjustRightInd w:val="0"/>
              <w:snapToGrid w:val="0"/>
              <w:spacing w:line="240" w:lineRule="auto"/>
              <w:rPr>
                <w:rFonts w:hint="eastAsia" w:ascii="Times New Roman" w:hAnsi="Times New Roman" w:eastAsia="宋体" w:cs="宋体"/>
                <w:color w:val="auto"/>
              </w:rPr>
            </w:pPr>
            <w:r>
              <w:rPr>
                <w:rFonts w:hint="eastAsia" w:ascii="Times New Roman" w:hAnsi="Times New Roman" w:eastAsia="宋体" w:cs="宋体"/>
                <w:color w:val="auto"/>
              </w:rPr>
              <w:t>0</w:t>
            </w:r>
          </w:p>
        </w:tc>
        <w:tc>
          <w:tcPr>
            <w:tcW w:w="313" w:type="pct"/>
            <w:tcBorders>
              <w:tl2br w:val="nil"/>
              <w:tr2bl w:val="nil"/>
            </w:tcBorders>
            <w:noWrap w:val="0"/>
            <w:vAlign w:val="center"/>
          </w:tcPr>
          <w:p w14:paraId="6E10A72A">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0</w:t>
            </w:r>
          </w:p>
        </w:tc>
        <w:tc>
          <w:tcPr>
            <w:tcW w:w="457" w:type="pct"/>
            <w:tcBorders>
              <w:tl2br w:val="nil"/>
              <w:tr2bl w:val="nil"/>
            </w:tcBorders>
            <w:noWrap w:val="0"/>
            <w:vAlign w:val="center"/>
          </w:tcPr>
          <w:p w14:paraId="126F2067">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0</w:t>
            </w:r>
          </w:p>
        </w:tc>
        <w:tc>
          <w:tcPr>
            <w:tcW w:w="457" w:type="pct"/>
            <w:tcBorders>
              <w:tl2br w:val="nil"/>
              <w:tr2bl w:val="nil"/>
            </w:tcBorders>
            <w:noWrap w:val="0"/>
            <w:vAlign w:val="center"/>
          </w:tcPr>
          <w:p w14:paraId="0CFC30C5">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0.36</w:t>
            </w:r>
          </w:p>
        </w:tc>
        <w:tc>
          <w:tcPr>
            <w:tcW w:w="313" w:type="pct"/>
            <w:tcBorders>
              <w:tl2br w:val="nil"/>
              <w:tr2bl w:val="nil"/>
            </w:tcBorders>
            <w:noWrap w:val="0"/>
            <w:vAlign w:val="center"/>
          </w:tcPr>
          <w:p w14:paraId="2713C267">
            <w:pPr>
              <w:pStyle w:val="29"/>
              <w:adjustRightInd w:val="0"/>
              <w:snapToGrid w:val="0"/>
              <w:spacing w:line="240" w:lineRule="auto"/>
              <w:rPr>
                <w:rFonts w:hint="eastAsia" w:ascii="Times New Roman" w:hAnsi="Times New Roman" w:eastAsia="宋体" w:cs="宋体"/>
                <w:color w:val="auto"/>
              </w:rPr>
            </w:pPr>
            <w:r>
              <w:rPr>
                <w:rFonts w:hint="eastAsia" w:ascii="Times New Roman" w:hAnsi="Times New Roman" w:eastAsia="宋体" w:cs="宋体"/>
                <w:color w:val="auto"/>
              </w:rPr>
              <w:t>0</w:t>
            </w:r>
          </w:p>
        </w:tc>
        <w:tc>
          <w:tcPr>
            <w:tcW w:w="602" w:type="pct"/>
            <w:tcBorders>
              <w:tl2br w:val="nil"/>
              <w:tr2bl w:val="nil"/>
            </w:tcBorders>
            <w:noWrap w:val="0"/>
            <w:vAlign w:val="center"/>
          </w:tcPr>
          <w:p w14:paraId="19B1C9FA">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0</w:t>
            </w:r>
          </w:p>
        </w:tc>
        <w:tc>
          <w:tcPr>
            <w:tcW w:w="427" w:type="pct"/>
            <w:tcBorders>
              <w:tl2br w:val="nil"/>
              <w:tr2bl w:val="nil"/>
            </w:tcBorders>
            <w:noWrap w:val="0"/>
            <w:vAlign w:val="center"/>
          </w:tcPr>
          <w:p w14:paraId="343485DA">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1.44</w:t>
            </w:r>
          </w:p>
        </w:tc>
      </w:tr>
      <w:tr w14:paraId="67BA01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7" w:type="dxa"/>
            <w:bottom w:w="0" w:type="dxa"/>
            <w:right w:w="17" w:type="dxa"/>
          </w:tblCellMar>
        </w:tblPrEx>
        <w:trPr>
          <w:trHeight w:val="283" w:hRule="atLeast"/>
          <w:jc w:val="center"/>
        </w:trPr>
        <w:tc>
          <w:tcPr>
            <w:tcW w:w="312" w:type="pct"/>
            <w:tcBorders>
              <w:tl2br w:val="nil"/>
              <w:tr2bl w:val="nil"/>
            </w:tcBorders>
            <w:noWrap w:val="0"/>
            <w:vAlign w:val="center"/>
          </w:tcPr>
          <w:p w14:paraId="1D320427">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2</w:t>
            </w:r>
          </w:p>
        </w:tc>
        <w:tc>
          <w:tcPr>
            <w:tcW w:w="601" w:type="pct"/>
            <w:tcBorders>
              <w:tl2br w:val="nil"/>
              <w:tr2bl w:val="nil"/>
            </w:tcBorders>
            <w:noWrap w:val="0"/>
            <w:vAlign w:val="center"/>
          </w:tcPr>
          <w:p w14:paraId="004134F8">
            <w:pPr>
              <w:pStyle w:val="29"/>
              <w:adjustRightInd w:val="0"/>
              <w:snapToGrid w:val="0"/>
              <w:spacing w:line="240" w:lineRule="auto"/>
              <w:rPr>
                <w:rFonts w:ascii="Times New Roman" w:hAnsi="Times New Roman" w:eastAsia="宋体" w:cs="宋体"/>
                <w:color w:val="auto"/>
              </w:rPr>
            </w:pPr>
            <w:r>
              <w:rPr>
                <w:rFonts w:ascii="Times New Roman" w:hAnsi="Times New Roman" w:eastAsia="宋体" w:cs="宋体"/>
                <w:color w:val="auto"/>
              </w:rPr>
              <w:t>清洗用水</w:t>
            </w:r>
          </w:p>
        </w:tc>
        <w:tc>
          <w:tcPr>
            <w:tcW w:w="456" w:type="pct"/>
            <w:tcBorders>
              <w:tl2br w:val="nil"/>
              <w:tr2bl w:val="nil"/>
            </w:tcBorders>
            <w:noWrap w:val="0"/>
            <w:vAlign w:val="center"/>
          </w:tcPr>
          <w:p w14:paraId="45E5DE2A">
            <w:pPr>
              <w:pStyle w:val="29"/>
              <w:adjustRightInd w:val="0"/>
              <w:snapToGrid w:val="0"/>
              <w:spacing w:line="240" w:lineRule="auto"/>
              <w:rPr>
                <w:rFonts w:hint="default" w:ascii="Times New Roman" w:hAnsi="Times New Roman" w:eastAsia="宋体" w:cs="宋体"/>
                <w:color w:val="auto"/>
                <w:lang w:val="en-US" w:eastAsia="zh-CN"/>
              </w:rPr>
            </w:pPr>
            <w:r>
              <w:rPr>
                <w:rFonts w:hint="eastAsia" w:eastAsia="宋体" w:cs="宋体"/>
                <w:color w:val="auto"/>
                <w:lang w:val="en-US" w:eastAsia="zh-CN"/>
              </w:rPr>
              <w:t>0</w:t>
            </w:r>
          </w:p>
        </w:tc>
        <w:tc>
          <w:tcPr>
            <w:tcW w:w="457" w:type="pct"/>
            <w:tcBorders>
              <w:tl2br w:val="nil"/>
              <w:tr2bl w:val="nil"/>
            </w:tcBorders>
            <w:noWrap w:val="0"/>
            <w:vAlign w:val="center"/>
          </w:tcPr>
          <w:p w14:paraId="28EAAA1A">
            <w:pPr>
              <w:pStyle w:val="29"/>
              <w:adjustRightInd w:val="0"/>
              <w:snapToGrid w:val="0"/>
              <w:spacing w:line="240" w:lineRule="auto"/>
              <w:rPr>
                <w:rFonts w:hint="eastAsia" w:ascii="Times New Roman" w:hAnsi="Times New Roman" w:eastAsia="宋体" w:cs="宋体"/>
                <w:color w:val="auto"/>
              </w:rPr>
            </w:pPr>
            <w:r>
              <w:rPr>
                <w:rFonts w:hint="eastAsia" w:ascii="Times New Roman" w:hAnsi="Times New Roman" w:eastAsia="宋体" w:cs="宋体"/>
                <w:color w:val="auto"/>
              </w:rPr>
              <w:t>0</w:t>
            </w:r>
          </w:p>
        </w:tc>
        <w:tc>
          <w:tcPr>
            <w:tcW w:w="602" w:type="pct"/>
            <w:tcBorders>
              <w:tl2br w:val="nil"/>
              <w:tr2bl w:val="nil"/>
            </w:tcBorders>
            <w:noWrap w:val="0"/>
            <w:vAlign w:val="center"/>
          </w:tcPr>
          <w:p w14:paraId="68905558">
            <w:pPr>
              <w:pStyle w:val="29"/>
              <w:adjustRightInd w:val="0"/>
              <w:snapToGrid w:val="0"/>
              <w:spacing w:line="240" w:lineRule="auto"/>
              <w:rPr>
                <w:rFonts w:hint="eastAsia" w:ascii="Times New Roman" w:hAnsi="Times New Roman" w:eastAsia="宋体" w:cs="宋体"/>
                <w:color w:val="auto"/>
              </w:rPr>
            </w:pPr>
            <w:r>
              <w:rPr>
                <w:rFonts w:hint="eastAsia" w:ascii="Times New Roman" w:hAnsi="Times New Roman" w:eastAsia="宋体" w:cs="宋体"/>
                <w:color w:val="auto"/>
              </w:rPr>
              <w:t>0</w:t>
            </w:r>
          </w:p>
        </w:tc>
        <w:tc>
          <w:tcPr>
            <w:tcW w:w="313" w:type="pct"/>
            <w:tcBorders>
              <w:tl2br w:val="nil"/>
              <w:tr2bl w:val="nil"/>
            </w:tcBorders>
            <w:noWrap w:val="0"/>
            <w:vAlign w:val="center"/>
          </w:tcPr>
          <w:p w14:paraId="36E50F29">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0</w:t>
            </w:r>
          </w:p>
        </w:tc>
        <w:tc>
          <w:tcPr>
            <w:tcW w:w="457" w:type="pct"/>
            <w:tcBorders>
              <w:tl2br w:val="nil"/>
              <w:tr2bl w:val="nil"/>
            </w:tcBorders>
            <w:noWrap w:val="0"/>
            <w:vAlign w:val="center"/>
          </w:tcPr>
          <w:p w14:paraId="314AF188">
            <w:pPr>
              <w:pStyle w:val="29"/>
              <w:adjustRightInd w:val="0"/>
              <w:snapToGrid w:val="0"/>
              <w:spacing w:line="240" w:lineRule="auto"/>
              <w:rPr>
                <w:rFonts w:hint="default" w:ascii="Times New Roman" w:hAnsi="Times New Roman" w:eastAsia="宋体" w:cs="宋体"/>
                <w:color w:val="auto"/>
                <w:lang w:val="en-US" w:eastAsia="zh-CN"/>
              </w:rPr>
            </w:pPr>
            <w:r>
              <w:rPr>
                <w:rFonts w:hint="eastAsia" w:eastAsia="宋体" w:cs="宋体"/>
                <w:color w:val="auto"/>
                <w:lang w:val="en-US" w:eastAsia="zh-CN"/>
              </w:rPr>
              <w:t>556</w:t>
            </w:r>
          </w:p>
        </w:tc>
        <w:tc>
          <w:tcPr>
            <w:tcW w:w="457" w:type="pct"/>
            <w:tcBorders>
              <w:tl2br w:val="nil"/>
              <w:tr2bl w:val="nil"/>
            </w:tcBorders>
            <w:noWrap w:val="0"/>
            <w:vAlign w:val="center"/>
          </w:tcPr>
          <w:p w14:paraId="31FAF51F">
            <w:pPr>
              <w:pStyle w:val="29"/>
              <w:adjustRightInd w:val="0"/>
              <w:snapToGrid w:val="0"/>
              <w:spacing w:line="240" w:lineRule="auto"/>
              <w:rPr>
                <w:rFonts w:hint="default" w:ascii="Times New Roman" w:hAnsi="Times New Roman" w:eastAsia="宋体" w:cs="宋体"/>
                <w:color w:val="auto"/>
                <w:lang w:val="en-US" w:eastAsia="zh-CN"/>
              </w:rPr>
            </w:pPr>
            <w:r>
              <w:rPr>
                <w:rFonts w:hint="eastAsia" w:eastAsia="宋体" w:cs="宋体"/>
                <w:color w:val="auto"/>
                <w:lang w:val="en-US" w:eastAsia="zh-CN"/>
              </w:rPr>
              <w:t>139</w:t>
            </w:r>
          </w:p>
        </w:tc>
        <w:tc>
          <w:tcPr>
            <w:tcW w:w="313" w:type="pct"/>
            <w:tcBorders>
              <w:tl2br w:val="nil"/>
              <w:tr2bl w:val="nil"/>
            </w:tcBorders>
            <w:noWrap w:val="0"/>
            <w:vAlign w:val="center"/>
          </w:tcPr>
          <w:p w14:paraId="6D932CD1">
            <w:pPr>
              <w:pStyle w:val="29"/>
              <w:adjustRightInd w:val="0"/>
              <w:snapToGrid w:val="0"/>
              <w:spacing w:line="240" w:lineRule="auto"/>
              <w:rPr>
                <w:rFonts w:hint="eastAsia" w:ascii="Times New Roman" w:hAnsi="Times New Roman" w:eastAsia="宋体" w:cs="宋体"/>
                <w:color w:val="auto"/>
              </w:rPr>
            </w:pPr>
            <w:r>
              <w:rPr>
                <w:rFonts w:hint="eastAsia" w:ascii="Times New Roman" w:hAnsi="Times New Roman" w:eastAsia="宋体" w:cs="宋体"/>
                <w:color w:val="auto"/>
              </w:rPr>
              <w:t>0</w:t>
            </w:r>
          </w:p>
        </w:tc>
        <w:tc>
          <w:tcPr>
            <w:tcW w:w="602" w:type="pct"/>
            <w:tcBorders>
              <w:tl2br w:val="nil"/>
              <w:tr2bl w:val="nil"/>
            </w:tcBorders>
            <w:noWrap w:val="0"/>
            <w:vAlign w:val="center"/>
          </w:tcPr>
          <w:p w14:paraId="6909F7C3">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0</w:t>
            </w:r>
          </w:p>
        </w:tc>
        <w:tc>
          <w:tcPr>
            <w:tcW w:w="427" w:type="pct"/>
            <w:tcBorders>
              <w:tl2br w:val="nil"/>
              <w:tr2bl w:val="nil"/>
            </w:tcBorders>
            <w:noWrap w:val="0"/>
            <w:vAlign w:val="center"/>
          </w:tcPr>
          <w:p w14:paraId="01F3AED3">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0</w:t>
            </w:r>
          </w:p>
        </w:tc>
      </w:tr>
      <w:tr w14:paraId="40DD7E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7" w:type="dxa"/>
            <w:bottom w:w="0" w:type="dxa"/>
            <w:right w:w="17" w:type="dxa"/>
          </w:tblCellMar>
        </w:tblPrEx>
        <w:trPr>
          <w:trHeight w:val="283" w:hRule="atLeast"/>
          <w:jc w:val="center"/>
        </w:trPr>
        <w:tc>
          <w:tcPr>
            <w:tcW w:w="312" w:type="pct"/>
            <w:tcBorders>
              <w:tl2br w:val="nil"/>
              <w:tr2bl w:val="nil"/>
            </w:tcBorders>
            <w:noWrap w:val="0"/>
            <w:vAlign w:val="center"/>
          </w:tcPr>
          <w:p w14:paraId="52E27779">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3</w:t>
            </w:r>
          </w:p>
        </w:tc>
        <w:tc>
          <w:tcPr>
            <w:tcW w:w="601" w:type="pct"/>
            <w:tcBorders>
              <w:tl2br w:val="nil"/>
              <w:tr2bl w:val="nil"/>
            </w:tcBorders>
            <w:noWrap w:val="0"/>
            <w:vAlign w:val="center"/>
          </w:tcPr>
          <w:p w14:paraId="6A2EDB7D">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软水制备</w:t>
            </w:r>
          </w:p>
        </w:tc>
        <w:tc>
          <w:tcPr>
            <w:tcW w:w="456" w:type="pct"/>
            <w:tcBorders>
              <w:tl2br w:val="nil"/>
              <w:tr2bl w:val="nil"/>
            </w:tcBorders>
            <w:noWrap w:val="0"/>
            <w:vAlign w:val="center"/>
          </w:tcPr>
          <w:p w14:paraId="738687A0">
            <w:pPr>
              <w:pStyle w:val="29"/>
              <w:adjustRightInd w:val="0"/>
              <w:snapToGrid w:val="0"/>
              <w:spacing w:line="240" w:lineRule="auto"/>
              <w:rPr>
                <w:rFonts w:hint="default" w:ascii="Times New Roman" w:hAnsi="Times New Roman" w:eastAsia="宋体" w:cs="宋体"/>
                <w:color w:val="auto"/>
                <w:lang w:val="en-US" w:eastAsia="zh-CN"/>
              </w:rPr>
            </w:pPr>
            <w:r>
              <w:rPr>
                <w:rFonts w:hint="eastAsia" w:eastAsia="宋体" w:cs="宋体"/>
                <w:color w:val="auto"/>
                <w:lang w:val="en-US" w:eastAsia="zh-CN"/>
              </w:rPr>
              <w:t>534</w:t>
            </w:r>
          </w:p>
        </w:tc>
        <w:tc>
          <w:tcPr>
            <w:tcW w:w="457" w:type="pct"/>
            <w:tcBorders>
              <w:tl2br w:val="nil"/>
              <w:tr2bl w:val="nil"/>
            </w:tcBorders>
            <w:noWrap w:val="0"/>
            <w:vAlign w:val="center"/>
          </w:tcPr>
          <w:p w14:paraId="790886D8">
            <w:pPr>
              <w:pStyle w:val="29"/>
              <w:adjustRightInd w:val="0"/>
              <w:snapToGrid w:val="0"/>
              <w:spacing w:line="240" w:lineRule="auto"/>
              <w:rPr>
                <w:rFonts w:hint="default" w:ascii="Times New Roman" w:hAnsi="Times New Roman" w:eastAsia="宋体" w:cs="宋体"/>
                <w:color w:val="auto"/>
                <w:lang w:val="en-US" w:eastAsia="zh-CN"/>
              </w:rPr>
            </w:pPr>
            <w:r>
              <w:rPr>
                <w:rFonts w:hint="eastAsia" w:eastAsia="宋体" w:cs="宋体"/>
                <w:color w:val="auto"/>
                <w:lang w:val="en-US" w:eastAsia="zh-CN"/>
              </w:rPr>
              <w:t>135</w:t>
            </w:r>
          </w:p>
        </w:tc>
        <w:tc>
          <w:tcPr>
            <w:tcW w:w="602" w:type="pct"/>
            <w:tcBorders>
              <w:tl2br w:val="nil"/>
              <w:tr2bl w:val="nil"/>
            </w:tcBorders>
            <w:noWrap w:val="0"/>
            <w:vAlign w:val="center"/>
          </w:tcPr>
          <w:p w14:paraId="5214DB19">
            <w:pPr>
              <w:pStyle w:val="29"/>
              <w:adjustRightInd w:val="0"/>
              <w:snapToGrid w:val="0"/>
              <w:spacing w:line="240" w:lineRule="auto"/>
              <w:rPr>
                <w:rFonts w:hint="eastAsia" w:ascii="Times New Roman" w:hAnsi="Times New Roman" w:eastAsia="宋体" w:cs="宋体"/>
                <w:color w:val="auto"/>
              </w:rPr>
            </w:pPr>
            <w:r>
              <w:rPr>
                <w:rFonts w:hint="eastAsia" w:ascii="Times New Roman" w:hAnsi="Times New Roman" w:eastAsia="宋体" w:cs="宋体"/>
                <w:color w:val="auto"/>
              </w:rPr>
              <w:t>0</w:t>
            </w:r>
          </w:p>
        </w:tc>
        <w:tc>
          <w:tcPr>
            <w:tcW w:w="313" w:type="pct"/>
            <w:tcBorders>
              <w:tl2br w:val="nil"/>
              <w:tr2bl w:val="nil"/>
            </w:tcBorders>
            <w:noWrap w:val="0"/>
            <w:vAlign w:val="center"/>
          </w:tcPr>
          <w:p w14:paraId="4262EE7F">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0</w:t>
            </w:r>
          </w:p>
        </w:tc>
        <w:tc>
          <w:tcPr>
            <w:tcW w:w="457" w:type="pct"/>
            <w:tcBorders>
              <w:tl2br w:val="nil"/>
              <w:tr2bl w:val="nil"/>
            </w:tcBorders>
            <w:noWrap w:val="0"/>
            <w:vAlign w:val="center"/>
          </w:tcPr>
          <w:p w14:paraId="5D18130C">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0</w:t>
            </w:r>
          </w:p>
        </w:tc>
        <w:tc>
          <w:tcPr>
            <w:tcW w:w="457" w:type="pct"/>
            <w:tcBorders>
              <w:tl2br w:val="nil"/>
              <w:tr2bl w:val="nil"/>
            </w:tcBorders>
            <w:noWrap w:val="0"/>
            <w:vAlign w:val="center"/>
          </w:tcPr>
          <w:p w14:paraId="2002F641">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0</w:t>
            </w:r>
          </w:p>
        </w:tc>
        <w:tc>
          <w:tcPr>
            <w:tcW w:w="313" w:type="pct"/>
            <w:tcBorders>
              <w:tl2br w:val="nil"/>
              <w:tr2bl w:val="nil"/>
            </w:tcBorders>
            <w:noWrap w:val="0"/>
            <w:vAlign w:val="center"/>
          </w:tcPr>
          <w:p w14:paraId="637A2762">
            <w:pPr>
              <w:pStyle w:val="29"/>
              <w:adjustRightInd w:val="0"/>
              <w:snapToGrid w:val="0"/>
              <w:spacing w:line="240" w:lineRule="auto"/>
              <w:rPr>
                <w:rFonts w:hint="eastAsia" w:ascii="Times New Roman" w:hAnsi="Times New Roman" w:eastAsia="宋体" w:cs="宋体"/>
                <w:color w:val="auto"/>
              </w:rPr>
            </w:pPr>
            <w:r>
              <w:rPr>
                <w:rFonts w:hint="eastAsia" w:ascii="Times New Roman" w:hAnsi="Times New Roman" w:eastAsia="宋体" w:cs="宋体"/>
                <w:color w:val="auto"/>
              </w:rPr>
              <w:t>0</w:t>
            </w:r>
          </w:p>
        </w:tc>
        <w:tc>
          <w:tcPr>
            <w:tcW w:w="602" w:type="pct"/>
            <w:tcBorders>
              <w:tl2br w:val="nil"/>
              <w:tr2bl w:val="nil"/>
            </w:tcBorders>
            <w:noWrap w:val="0"/>
            <w:vAlign w:val="center"/>
          </w:tcPr>
          <w:p w14:paraId="544D0F13">
            <w:pPr>
              <w:pStyle w:val="29"/>
              <w:adjustRightInd w:val="0"/>
              <w:snapToGrid w:val="0"/>
              <w:spacing w:line="240" w:lineRule="auto"/>
              <w:rPr>
                <w:rFonts w:hint="default" w:ascii="Times New Roman" w:hAnsi="Times New Roman" w:eastAsia="宋体" w:cs="宋体"/>
                <w:color w:val="auto"/>
                <w:lang w:val="en-US" w:eastAsia="zh-CN"/>
              </w:rPr>
            </w:pPr>
            <w:r>
              <w:rPr>
                <w:rFonts w:hint="eastAsia" w:eastAsia="宋体" w:cs="宋体"/>
                <w:color w:val="auto"/>
                <w:lang w:val="en-US" w:eastAsia="zh-CN"/>
              </w:rPr>
              <w:t>399</w:t>
            </w:r>
          </w:p>
        </w:tc>
        <w:tc>
          <w:tcPr>
            <w:tcW w:w="427" w:type="pct"/>
            <w:tcBorders>
              <w:tl2br w:val="nil"/>
              <w:tr2bl w:val="nil"/>
            </w:tcBorders>
            <w:noWrap w:val="0"/>
            <w:vAlign w:val="center"/>
          </w:tcPr>
          <w:p w14:paraId="288D0B80">
            <w:pPr>
              <w:pStyle w:val="29"/>
              <w:adjustRightInd w:val="0"/>
              <w:snapToGrid w:val="0"/>
              <w:spacing w:line="240" w:lineRule="auto"/>
              <w:rPr>
                <w:rFonts w:hint="default" w:ascii="Times New Roman" w:hAnsi="Times New Roman" w:eastAsia="宋体" w:cs="宋体"/>
                <w:color w:val="auto"/>
                <w:lang w:val="en-US" w:eastAsia="zh-CN"/>
              </w:rPr>
            </w:pPr>
            <w:r>
              <w:rPr>
                <w:rFonts w:hint="eastAsia" w:ascii="Times New Roman" w:hAnsi="Times New Roman" w:eastAsia="宋体" w:cs="宋体"/>
                <w:color w:val="auto"/>
              </w:rPr>
              <w:t>0</w:t>
            </w:r>
          </w:p>
        </w:tc>
      </w:tr>
      <w:tr w14:paraId="3FFFB6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7" w:type="dxa"/>
            <w:bottom w:w="0" w:type="dxa"/>
            <w:right w:w="17" w:type="dxa"/>
          </w:tblCellMar>
        </w:tblPrEx>
        <w:trPr>
          <w:trHeight w:val="283" w:hRule="atLeast"/>
          <w:jc w:val="center"/>
        </w:trPr>
        <w:tc>
          <w:tcPr>
            <w:tcW w:w="312" w:type="pct"/>
            <w:tcBorders>
              <w:tl2br w:val="nil"/>
              <w:tr2bl w:val="nil"/>
            </w:tcBorders>
            <w:noWrap w:val="0"/>
            <w:vAlign w:val="center"/>
          </w:tcPr>
          <w:p w14:paraId="7236B9A9">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4</w:t>
            </w:r>
          </w:p>
        </w:tc>
        <w:tc>
          <w:tcPr>
            <w:tcW w:w="601" w:type="pct"/>
            <w:tcBorders>
              <w:tl2br w:val="nil"/>
              <w:tr2bl w:val="nil"/>
            </w:tcBorders>
            <w:noWrap w:val="0"/>
            <w:vAlign w:val="center"/>
          </w:tcPr>
          <w:p w14:paraId="7E93504C">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淀粉生产</w:t>
            </w:r>
          </w:p>
        </w:tc>
        <w:tc>
          <w:tcPr>
            <w:tcW w:w="456" w:type="pct"/>
            <w:tcBorders>
              <w:tl2br w:val="nil"/>
              <w:tr2bl w:val="nil"/>
            </w:tcBorders>
            <w:noWrap w:val="0"/>
            <w:vAlign w:val="center"/>
          </w:tcPr>
          <w:p w14:paraId="4E9FF994">
            <w:pPr>
              <w:pStyle w:val="29"/>
              <w:adjustRightInd w:val="0"/>
              <w:snapToGrid w:val="0"/>
              <w:spacing w:line="240" w:lineRule="auto"/>
              <w:rPr>
                <w:rFonts w:hint="eastAsia" w:ascii="Times New Roman" w:hAnsi="Times New Roman" w:eastAsia="宋体" w:cs="宋体"/>
                <w:color w:val="auto"/>
                <w:lang w:val="en-US" w:eastAsia="zh-CN"/>
              </w:rPr>
            </w:pPr>
            <w:r>
              <w:rPr>
                <w:rFonts w:hint="eastAsia" w:eastAsia="宋体" w:cs="宋体"/>
                <w:color w:val="auto"/>
                <w:lang w:val="en-US" w:eastAsia="zh-CN"/>
              </w:rPr>
              <w:t>0</w:t>
            </w:r>
          </w:p>
        </w:tc>
        <w:tc>
          <w:tcPr>
            <w:tcW w:w="457" w:type="pct"/>
            <w:tcBorders>
              <w:tl2br w:val="nil"/>
              <w:tr2bl w:val="nil"/>
            </w:tcBorders>
            <w:noWrap w:val="0"/>
            <w:vAlign w:val="center"/>
          </w:tcPr>
          <w:p w14:paraId="75D9E4D5">
            <w:pPr>
              <w:pStyle w:val="29"/>
              <w:adjustRightInd w:val="0"/>
              <w:snapToGrid w:val="0"/>
              <w:spacing w:line="240" w:lineRule="auto"/>
              <w:rPr>
                <w:rFonts w:hint="eastAsia" w:ascii="Times New Roman" w:hAnsi="Times New Roman" w:eastAsia="宋体" w:cs="宋体"/>
                <w:color w:val="auto"/>
              </w:rPr>
            </w:pPr>
            <w:r>
              <w:rPr>
                <w:rFonts w:hint="eastAsia" w:ascii="Times New Roman" w:hAnsi="Times New Roman" w:eastAsia="宋体" w:cs="宋体"/>
                <w:color w:val="auto"/>
              </w:rPr>
              <w:t>0</w:t>
            </w:r>
          </w:p>
        </w:tc>
        <w:tc>
          <w:tcPr>
            <w:tcW w:w="602" w:type="pct"/>
            <w:tcBorders>
              <w:tl2br w:val="nil"/>
              <w:tr2bl w:val="nil"/>
            </w:tcBorders>
            <w:noWrap w:val="0"/>
            <w:vAlign w:val="center"/>
          </w:tcPr>
          <w:p w14:paraId="1B98E925">
            <w:pPr>
              <w:pStyle w:val="29"/>
              <w:adjustRightInd w:val="0"/>
              <w:snapToGrid w:val="0"/>
              <w:spacing w:line="240" w:lineRule="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194.6</w:t>
            </w:r>
          </w:p>
        </w:tc>
        <w:tc>
          <w:tcPr>
            <w:tcW w:w="313" w:type="pct"/>
            <w:tcBorders>
              <w:tl2br w:val="nil"/>
              <w:tr2bl w:val="nil"/>
            </w:tcBorders>
            <w:noWrap w:val="0"/>
            <w:vAlign w:val="center"/>
          </w:tcPr>
          <w:p w14:paraId="4C9ED91C">
            <w:pPr>
              <w:pStyle w:val="29"/>
              <w:adjustRightInd w:val="0"/>
              <w:snapToGrid w:val="0"/>
              <w:spacing w:line="240" w:lineRule="auto"/>
              <w:rPr>
                <w:rFonts w:hint="default" w:ascii="Times New Roman" w:hAnsi="Times New Roman" w:eastAsia="宋体" w:cs="宋体"/>
                <w:color w:val="auto"/>
                <w:lang w:val="en-US" w:eastAsia="zh-CN"/>
              </w:rPr>
            </w:pPr>
            <w:r>
              <w:rPr>
                <w:rFonts w:hint="eastAsia" w:eastAsia="宋体" w:cs="宋体"/>
                <w:color w:val="auto"/>
                <w:lang w:val="en-US" w:eastAsia="zh-CN"/>
              </w:rPr>
              <w:t>389</w:t>
            </w:r>
          </w:p>
        </w:tc>
        <w:tc>
          <w:tcPr>
            <w:tcW w:w="457" w:type="pct"/>
            <w:tcBorders>
              <w:tl2br w:val="nil"/>
              <w:tr2bl w:val="nil"/>
            </w:tcBorders>
            <w:noWrap w:val="0"/>
            <w:vAlign w:val="center"/>
          </w:tcPr>
          <w:p w14:paraId="6F25A253">
            <w:pPr>
              <w:pStyle w:val="29"/>
              <w:adjustRightInd w:val="0"/>
              <w:snapToGrid w:val="0"/>
              <w:spacing w:line="240" w:lineRule="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0</w:t>
            </w:r>
          </w:p>
        </w:tc>
        <w:tc>
          <w:tcPr>
            <w:tcW w:w="457" w:type="pct"/>
            <w:tcBorders>
              <w:tl2br w:val="nil"/>
              <w:tr2bl w:val="nil"/>
            </w:tcBorders>
            <w:noWrap w:val="0"/>
            <w:vAlign w:val="center"/>
          </w:tcPr>
          <w:p w14:paraId="12381F4D">
            <w:pPr>
              <w:pStyle w:val="29"/>
              <w:adjustRightInd w:val="0"/>
              <w:snapToGrid w:val="0"/>
              <w:spacing w:line="240" w:lineRule="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29.2</w:t>
            </w:r>
          </w:p>
        </w:tc>
        <w:tc>
          <w:tcPr>
            <w:tcW w:w="313" w:type="pct"/>
            <w:tcBorders>
              <w:tl2br w:val="nil"/>
              <w:tr2bl w:val="nil"/>
            </w:tcBorders>
            <w:noWrap w:val="0"/>
            <w:vAlign w:val="center"/>
          </w:tcPr>
          <w:p w14:paraId="7D43C261">
            <w:pPr>
              <w:pStyle w:val="29"/>
              <w:adjustRightInd w:val="0"/>
              <w:snapToGrid w:val="0"/>
              <w:spacing w:line="240" w:lineRule="auto"/>
              <w:rPr>
                <w:rFonts w:hint="default" w:ascii="Times New Roman" w:hAnsi="Times New Roman" w:eastAsia="宋体" w:cs="宋体"/>
                <w:color w:val="auto"/>
                <w:lang w:val="en-US" w:eastAsia="zh-CN"/>
              </w:rPr>
            </w:pPr>
            <w:r>
              <w:rPr>
                <w:rFonts w:hint="eastAsia" w:eastAsia="宋体" w:cs="宋体"/>
                <w:color w:val="auto"/>
                <w:lang w:val="en-US" w:eastAsia="zh-CN"/>
              </w:rPr>
              <w:t>10</w:t>
            </w:r>
          </w:p>
        </w:tc>
        <w:tc>
          <w:tcPr>
            <w:tcW w:w="602" w:type="pct"/>
            <w:tcBorders>
              <w:tl2br w:val="nil"/>
              <w:tr2bl w:val="nil"/>
            </w:tcBorders>
            <w:noWrap w:val="0"/>
            <w:vAlign w:val="center"/>
          </w:tcPr>
          <w:p w14:paraId="278AD7EB">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0</w:t>
            </w:r>
          </w:p>
        </w:tc>
        <w:tc>
          <w:tcPr>
            <w:tcW w:w="427" w:type="pct"/>
            <w:tcBorders>
              <w:tl2br w:val="nil"/>
              <w:tr2bl w:val="nil"/>
            </w:tcBorders>
            <w:noWrap w:val="0"/>
            <w:vAlign w:val="center"/>
          </w:tcPr>
          <w:p w14:paraId="45852B07">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lang w:val="en-US" w:eastAsia="zh-CN"/>
              </w:rPr>
              <w:t>491.1</w:t>
            </w:r>
          </w:p>
        </w:tc>
      </w:tr>
      <w:tr w14:paraId="580F84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7" w:type="dxa"/>
            <w:bottom w:w="0" w:type="dxa"/>
            <w:right w:w="17" w:type="dxa"/>
          </w:tblCellMar>
        </w:tblPrEx>
        <w:trPr>
          <w:trHeight w:val="283" w:hRule="atLeast"/>
          <w:jc w:val="center"/>
        </w:trPr>
        <w:tc>
          <w:tcPr>
            <w:tcW w:w="312" w:type="pct"/>
            <w:tcBorders>
              <w:tl2br w:val="nil"/>
              <w:tr2bl w:val="nil"/>
            </w:tcBorders>
            <w:noWrap w:val="0"/>
            <w:vAlign w:val="center"/>
          </w:tcPr>
          <w:p w14:paraId="6DB433EE">
            <w:pPr>
              <w:pStyle w:val="29"/>
              <w:adjustRightInd w:val="0"/>
              <w:snapToGrid w:val="0"/>
              <w:spacing w:line="240" w:lineRule="auto"/>
              <w:rPr>
                <w:rFonts w:ascii="Times New Roman" w:hAnsi="Times New Roman" w:eastAsia="宋体" w:cs="宋体"/>
                <w:color w:val="auto"/>
              </w:rPr>
            </w:pPr>
            <w:r>
              <w:rPr>
                <w:rFonts w:ascii="Times New Roman" w:hAnsi="Times New Roman" w:eastAsia="宋体" w:cs="宋体"/>
                <w:color w:val="auto"/>
              </w:rPr>
              <w:t>5</w:t>
            </w:r>
          </w:p>
        </w:tc>
        <w:tc>
          <w:tcPr>
            <w:tcW w:w="601" w:type="pct"/>
            <w:tcBorders>
              <w:tl2br w:val="nil"/>
              <w:tr2bl w:val="nil"/>
            </w:tcBorders>
            <w:noWrap w:val="0"/>
            <w:vAlign w:val="center"/>
          </w:tcPr>
          <w:p w14:paraId="1EE9F252">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锅炉用水</w:t>
            </w:r>
          </w:p>
        </w:tc>
        <w:tc>
          <w:tcPr>
            <w:tcW w:w="456" w:type="pct"/>
            <w:tcBorders>
              <w:tl2br w:val="nil"/>
              <w:tr2bl w:val="nil"/>
            </w:tcBorders>
            <w:noWrap w:val="0"/>
            <w:vAlign w:val="center"/>
          </w:tcPr>
          <w:p w14:paraId="485CEFC7">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0</w:t>
            </w:r>
          </w:p>
        </w:tc>
        <w:tc>
          <w:tcPr>
            <w:tcW w:w="457" w:type="pct"/>
            <w:tcBorders>
              <w:tl2br w:val="nil"/>
              <w:tr2bl w:val="nil"/>
            </w:tcBorders>
            <w:noWrap w:val="0"/>
            <w:vAlign w:val="center"/>
          </w:tcPr>
          <w:p w14:paraId="20E8417C">
            <w:pPr>
              <w:pStyle w:val="29"/>
              <w:adjustRightInd w:val="0"/>
              <w:snapToGrid w:val="0"/>
              <w:spacing w:line="240" w:lineRule="auto"/>
              <w:rPr>
                <w:rFonts w:hint="eastAsia" w:ascii="Times New Roman" w:hAnsi="Times New Roman" w:eastAsia="宋体" w:cs="宋体"/>
                <w:color w:val="auto"/>
                <w:lang w:val="en-US" w:eastAsia="zh-CN"/>
              </w:rPr>
            </w:pPr>
            <w:r>
              <w:rPr>
                <w:rFonts w:hint="eastAsia" w:eastAsia="宋体" w:cs="宋体"/>
                <w:color w:val="auto"/>
                <w:lang w:val="en-US" w:eastAsia="zh-CN"/>
              </w:rPr>
              <w:t>4</w:t>
            </w:r>
          </w:p>
        </w:tc>
        <w:tc>
          <w:tcPr>
            <w:tcW w:w="602" w:type="pct"/>
            <w:tcBorders>
              <w:tl2br w:val="nil"/>
              <w:tr2bl w:val="nil"/>
            </w:tcBorders>
            <w:noWrap w:val="0"/>
            <w:vAlign w:val="center"/>
          </w:tcPr>
          <w:p w14:paraId="37877B90">
            <w:pPr>
              <w:pStyle w:val="29"/>
              <w:adjustRightInd w:val="0"/>
              <w:snapToGrid w:val="0"/>
              <w:spacing w:line="240" w:lineRule="auto"/>
              <w:rPr>
                <w:rFonts w:hint="eastAsia" w:ascii="Times New Roman" w:hAnsi="Times New Roman" w:eastAsia="宋体" w:cs="宋体"/>
                <w:color w:val="auto"/>
              </w:rPr>
            </w:pPr>
            <w:r>
              <w:rPr>
                <w:rFonts w:hint="eastAsia" w:ascii="Times New Roman" w:hAnsi="Times New Roman" w:eastAsia="宋体" w:cs="宋体"/>
                <w:color w:val="auto"/>
              </w:rPr>
              <w:t>0</w:t>
            </w:r>
          </w:p>
        </w:tc>
        <w:tc>
          <w:tcPr>
            <w:tcW w:w="313" w:type="pct"/>
            <w:tcBorders>
              <w:tl2br w:val="nil"/>
              <w:tr2bl w:val="nil"/>
            </w:tcBorders>
            <w:noWrap w:val="0"/>
            <w:vAlign w:val="center"/>
          </w:tcPr>
          <w:p w14:paraId="0B25FCCB">
            <w:pPr>
              <w:pStyle w:val="29"/>
              <w:adjustRightInd w:val="0"/>
              <w:snapToGrid w:val="0"/>
              <w:spacing w:line="240" w:lineRule="auto"/>
              <w:rPr>
                <w:rFonts w:hint="default" w:ascii="Times New Roman" w:hAnsi="Times New Roman" w:eastAsia="宋体" w:cs="宋体"/>
                <w:color w:val="auto"/>
                <w:lang w:val="en-US" w:eastAsia="zh-CN"/>
              </w:rPr>
            </w:pPr>
            <w:r>
              <w:rPr>
                <w:rFonts w:hint="eastAsia" w:eastAsia="宋体" w:cs="宋体"/>
                <w:color w:val="auto"/>
                <w:lang w:val="en-US" w:eastAsia="zh-CN"/>
              </w:rPr>
              <w:t>10</w:t>
            </w:r>
          </w:p>
        </w:tc>
        <w:tc>
          <w:tcPr>
            <w:tcW w:w="457" w:type="pct"/>
            <w:tcBorders>
              <w:tl2br w:val="nil"/>
              <w:tr2bl w:val="nil"/>
            </w:tcBorders>
            <w:noWrap w:val="0"/>
            <w:vAlign w:val="center"/>
          </w:tcPr>
          <w:p w14:paraId="0497DB58">
            <w:pPr>
              <w:pStyle w:val="29"/>
              <w:adjustRightInd w:val="0"/>
              <w:snapToGrid w:val="0"/>
              <w:spacing w:line="240" w:lineRule="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200</w:t>
            </w:r>
          </w:p>
        </w:tc>
        <w:tc>
          <w:tcPr>
            <w:tcW w:w="457" w:type="pct"/>
            <w:tcBorders>
              <w:tl2br w:val="nil"/>
              <w:tr2bl w:val="nil"/>
            </w:tcBorders>
            <w:noWrap w:val="0"/>
            <w:vAlign w:val="center"/>
          </w:tcPr>
          <w:p w14:paraId="11120F1D">
            <w:pPr>
              <w:pStyle w:val="29"/>
              <w:adjustRightInd w:val="0"/>
              <w:snapToGrid w:val="0"/>
              <w:spacing w:line="240" w:lineRule="auto"/>
              <w:rPr>
                <w:rFonts w:hint="eastAsia" w:ascii="Times New Roman" w:hAnsi="Times New Roman" w:eastAsia="宋体" w:cs="宋体"/>
                <w:color w:val="auto"/>
                <w:lang w:eastAsia="zh-CN"/>
              </w:rPr>
            </w:pPr>
            <w:r>
              <w:rPr>
                <w:rFonts w:hint="eastAsia" w:ascii="Times New Roman" w:hAnsi="Times New Roman" w:eastAsia="宋体" w:cs="宋体"/>
                <w:color w:val="auto"/>
                <w:lang w:val="en-US" w:eastAsia="zh-CN"/>
              </w:rPr>
              <w:t>6</w:t>
            </w:r>
          </w:p>
        </w:tc>
        <w:tc>
          <w:tcPr>
            <w:tcW w:w="313" w:type="pct"/>
            <w:tcBorders>
              <w:tl2br w:val="nil"/>
              <w:tr2bl w:val="nil"/>
            </w:tcBorders>
            <w:noWrap w:val="0"/>
            <w:vAlign w:val="center"/>
          </w:tcPr>
          <w:p w14:paraId="21AA7107">
            <w:pPr>
              <w:pStyle w:val="29"/>
              <w:adjustRightInd w:val="0"/>
              <w:snapToGrid w:val="0"/>
              <w:spacing w:line="240" w:lineRule="auto"/>
              <w:rPr>
                <w:rFonts w:hint="eastAsia" w:ascii="Times New Roman" w:hAnsi="Times New Roman" w:eastAsia="宋体" w:cs="宋体"/>
                <w:color w:val="auto"/>
              </w:rPr>
            </w:pPr>
            <w:r>
              <w:rPr>
                <w:rFonts w:hint="eastAsia" w:ascii="Times New Roman" w:hAnsi="Times New Roman" w:eastAsia="宋体" w:cs="宋体"/>
                <w:color w:val="auto"/>
              </w:rPr>
              <w:t>0</w:t>
            </w:r>
          </w:p>
        </w:tc>
        <w:tc>
          <w:tcPr>
            <w:tcW w:w="602" w:type="pct"/>
            <w:tcBorders>
              <w:tl2br w:val="nil"/>
              <w:tr2bl w:val="nil"/>
            </w:tcBorders>
            <w:noWrap w:val="0"/>
            <w:vAlign w:val="center"/>
          </w:tcPr>
          <w:p w14:paraId="25C92334">
            <w:pPr>
              <w:pStyle w:val="29"/>
              <w:adjustRightInd w:val="0"/>
              <w:snapToGrid w:val="0"/>
              <w:spacing w:line="240" w:lineRule="auto"/>
              <w:rPr>
                <w:rFonts w:ascii="Times New Roman" w:hAnsi="Times New Roman" w:eastAsia="宋体" w:cs="宋体"/>
                <w:color w:val="auto"/>
              </w:rPr>
            </w:pPr>
            <w:r>
              <w:rPr>
                <w:rFonts w:hint="eastAsia" w:ascii="Times New Roman" w:hAnsi="Times New Roman" w:eastAsia="宋体" w:cs="宋体"/>
                <w:color w:val="auto"/>
              </w:rPr>
              <w:t>0</w:t>
            </w:r>
          </w:p>
        </w:tc>
        <w:tc>
          <w:tcPr>
            <w:tcW w:w="427" w:type="pct"/>
            <w:tcBorders>
              <w:tl2br w:val="nil"/>
              <w:tr2bl w:val="nil"/>
            </w:tcBorders>
            <w:noWrap w:val="0"/>
            <w:vAlign w:val="center"/>
          </w:tcPr>
          <w:p w14:paraId="65AF8B8E">
            <w:pPr>
              <w:pStyle w:val="29"/>
              <w:adjustRightInd w:val="0"/>
              <w:snapToGrid w:val="0"/>
              <w:spacing w:line="240" w:lineRule="auto"/>
              <w:rPr>
                <w:rFonts w:hint="default" w:ascii="Times New Roman" w:hAnsi="Times New Roman" w:eastAsia="宋体" w:cs="宋体"/>
                <w:color w:val="auto"/>
                <w:lang w:val="en-US" w:eastAsia="zh-CN"/>
              </w:rPr>
            </w:pPr>
            <w:r>
              <w:rPr>
                <w:rFonts w:hint="eastAsia" w:ascii="Times New Roman" w:hAnsi="Times New Roman" w:eastAsia="宋体" w:cs="宋体"/>
                <w:color w:val="auto"/>
              </w:rPr>
              <w:t>0</w:t>
            </w:r>
          </w:p>
        </w:tc>
      </w:tr>
      <w:tr w14:paraId="40A26B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7" w:type="dxa"/>
            <w:bottom w:w="0" w:type="dxa"/>
            <w:right w:w="17" w:type="dxa"/>
          </w:tblCellMar>
        </w:tblPrEx>
        <w:trPr>
          <w:trHeight w:val="283" w:hRule="atLeast"/>
          <w:jc w:val="center"/>
        </w:trPr>
        <w:tc>
          <w:tcPr>
            <w:tcW w:w="914" w:type="pct"/>
            <w:gridSpan w:val="2"/>
            <w:tcBorders>
              <w:tl2br w:val="nil"/>
              <w:tr2bl w:val="nil"/>
            </w:tcBorders>
            <w:noWrap w:val="0"/>
            <w:vAlign w:val="center"/>
          </w:tcPr>
          <w:p w14:paraId="3FFD740A">
            <w:pPr>
              <w:pStyle w:val="29"/>
              <w:adjustRightInd w:val="0"/>
              <w:snapToGrid w:val="0"/>
              <w:spacing w:line="240" w:lineRule="auto"/>
              <w:rPr>
                <w:rFonts w:ascii="Times New Roman" w:hAnsi="Times New Roman" w:eastAsia="宋体" w:cs="宋体"/>
                <w:color w:val="auto"/>
              </w:rPr>
            </w:pPr>
            <w:r>
              <w:rPr>
                <w:rFonts w:ascii="Times New Roman" w:hAnsi="Times New Roman" w:eastAsia="宋体" w:cs="宋体"/>
                <w:color w:val="auto"/>
              </w:rPr>
              <w:t>合计</w:t>
            </w:r>
          </w:p>
        </w:tc>
        <w:tc>
          <w:tcPr>
            <w:tcW w:w="456" w:type="pct"/>
            <w:tcBorders>
              <w:tl2br w:val="nil"/>
              <w:tr2bl w:val="nil"/>
            </w:tcBorders>
            <w:noWrap w:val="0"/>
            <w:vAlign w:val="bottom"/>
          </w:tcPr>
          <w:p w14:paraId="428F0345">
            <w:pPr>
              <w:pStyle w:val="29"/>
              <w:adjustRightInd w:val="0"/>
              <w:snapToGrid w:val="0"/>
              <w:spacing w:line="240" w:lineRule="auto"/>
              <w:rPr>
                <w:rFonts w:hint="default" w:ascii="Times New Roman" w:hAnsi="Times New Roman" w:eastAsia="宋体" w:cs="宋体"/>
                <w:color w:val="auto"/>
                <w:lang w:val="en-US" w:eastAsia="zh-CN"/>
              </w:rPr>
            </w:pPr>
            <w:r>
              <w:rPr>
                <w:rFonts w:hint="eastAsia" w:eastAsia="宋体" w:cs="宋体"/>
                <w:color w:val="auto"/>
                <w:lang w:val="en-US" w:eastAsia="zh-CN"/>
              </w:rPr>
              <w:t>535.8</w:t>
            </w:r>
          </w:p>
        </w:tc>
        <w:tc>
          <w:tcPr>
            <w:tcW w:w="457" w:type="pct"/>
            <w:tcBorders>
              <w:tl2br w:val="nil"/>
              <w:tr2bl w:val="nil"/>
            </w:tcBorders>
            <w:noWrap w:val="0"/>
            <w:vAlign w:val="bottom"/>
          </w:tcPr>
          <w:p w14:paraId="163E8C9A">
            <w:pPr>
              <w:pStyle w:val="29"/>
              <w:adjustRightInd w:val="0"/>
              <w:snapToGrid w:val="0"/>
              <w:spacing w:line="240" w:lineRule="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r>
              <w:rPr>
                <w:rFonts w:hint="eastAsia" w:eastAsia="宋体" w:cs="宋体"/>
                <w:color w:val="auto"/>
                <w:lang w:val="en-US" w:eastAsia="zh-CN"/>
              </w:rPr>
              <w:t>39</w:t>
            </w:r>
          </w:p>
        </w:tc>
        <w:tc>
          <w:tcPr>
            <w:tcW w:w="602" w:type="pct"/>
            <w:tcBorders>
              <w:tl2br w:val="nil"/>
              <w:tr2bl w:val="nil"/>
            </w:tcBorders>
            <w:noWrap w:val="0"/>
            <w:vAlign w:val="bottom"/>
          </w:tcPr>
          <w:p w14:paraId="7E5B2D12">
            <w:pPr>
              <w:pStyle w:val="29"/>
              <w:adjustRightInd w:val="0"/>
              <w:snapToGrid w:val="0"/>
              <w:spacing w:line="240" w:lineRule="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194.6</w:t>
            </w:r>
          </w:p>
        </w:tc>
        <w:tc>
          <w:tcPr>
            <w:tcW w:w="313" w:type="pct"/>
            <w:tcBorders>
              <w:tl2br w:val="nil"/>
              <w:tr2bl w:val="nil"/>
            </w:tcBorders>
            <w:noWrap w:val="0"/>
            <w:vAlign w:val="bottom"/>
          </w:tcPr>
          <w:p w14:paraId="7F0E8AB4">
            <w:pPr>
              <w:pStyle w:val="29"/>
              <w:adjustRightInd w:val="0"/>
              <w:snapToGrid w:val="0"/>
              <w:spacing w:line="240" w:lineRule="auto"/>
              <w:rPr>
                <w:rFonts w:hint="default" w:ascii="Times New Roman" w:hAnsi="Times New Roman" w:eastAsia="宋体" w:cs="宋体"/>
                <w:color w:val="auto"/>
                <w:lang w:val="en-US" w:eastAsia="zh-CN"/>
              </w:rPr>
            </w:pPr>
            <w:r>
              <w:rPr>
                <w:rFonts w:hint="eastAsia" w:eastAsia="宋体" w:cs="宋体"/>
                <w:color w:val="auto"/>
                <w:lang w:val="en-US" w:eastAsia="zh-CN"/>
              </w:rPr>
              <w:t>399</w:t>
            </w:r>
          </w:p>
        </w:tc>
        <w:tc>
          <w:tcPr>
            <w:tcW w:w="457" w:type="pct"/>
            <w:tcBorders>
              <w:tl2br w:val="nil"/>
              <w:tr2bl w:val="nil"/>
            </w:tcBorders>
            <w:noWrap w:val="0"/>
            <w:vAlign w:val="bottom"/>
          </w:tcPr>
          <w:p w14:paraId="6161AFC3">
            <w:pPr>
              <w:pStyle w:val="29"/>
              <w:adjustRightInd w:val="0"/>
              <w:snapToGrid w:val="0"/>
              <w:spacing w:line="240" w:lineRule="auto"/>
              <w:rPr>
                <w:rFonts w:hint="default" w:ascii="Times New Roman" w:hAnsi="Times New Roman" w:eastAsia="宋体" w:cs="宋体"/>
                <w:color w:val="auto"/>
                <w:lang w:val="en-US" w:eastAsia="zh-CN"/>
              </w:rPr>
            </w:pPr>
            <w:r>
              <w:rPr>
                <w:rFonts w:hint="eastAsia" w:eastAsia="宋体" w:cs="宋体"/>
                <w:color w:val="auto"/>
                <w:lang w:val="en-US" w:eastAsia="zh-CN"/>
              </w:rPr>
              <w:t>756</w:t>
            </w:r>
          </w:p>
        </w:tc>
        <w:tc>
          <w:tcPr>
            <w:tcW w:w="457" w:type="pct"/>
            <w:tcBorders>
              <w:tl2br w:val="nil"/>
              <w:tr2bl w:val="nil"/>
            </w:tcBorders>
            <w:noWrap w:val="0"/>
            <w:vAlign w:val="bottom"/>
          </w:tcPr>
          <w:p w14:paraId="2AFF5109">
            <w:pPr>
              <w:pStyle w:val="29"/>
              <w:adjustRightInd w:val="0"/>
              <w:snapToGrid w:val="0"/>
              <w:spacing w:line="240" w:lineRule="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r>
              <w:rPr>
                <w:rFonts w:hint="eastAsia" w:eastAsia="宋体" w:cs="宋体"/>
                <w:color w:val="auto"/>
                <w:lang w:val="en-US" w:eastAsia="zh-CN"/>
              </w:rPr>
              <w:t>74.56</w:t>
            </w:r>
          </w:p>
        </w:tc>
        <w:tc>
          <w:tcPr>
            <w:tcW w:w="313" w:type="pct"/>
            <w:tcBorders>
              <w:tl2br w:val="nil"/>
              <w:tr2bl w:val="nil"/>
            </w:tcBorders>
            <w:noWrap w:val="0"/>
            <w:vAlign w:val="bottom"/>
          </w:tcPr>
          <w:p w14:paraId="1E5F15CA">
            <w:pPr>
              <w:pStyle w:val="29"/>
              <w:adjustRightInd w:val="0"/>
              <w:snapToGrid w:val="0"/>
              <w:spacing w:line="240" w:lineRule="auto"/>
              <w:rPr>
                <w:rFonts w:hint="default" w:ascii="Times New Roman" w:hAnsi="Times New Roman" w:eastAsia="宋体" w:cs="宋体"/>
                <w:color w:val="auto"/>
                <w:lang w:val="en-US" w:eastAsia="zh-CN"/>
              </w:rPr>
            </w:pPr>
            <w:r>
              <w:rPr>
                <w:rFonts w:hint="eastAsia" w:eastAsia="宋体" w:cs="宋体"/>
                <w:color w:val="auto"/>
                <w:lang w:val="en-US" w:eastAsia="zh-CN"/>
              </w:rPr>
              <w:t>10</w:t>
            </w:r>
          </w:p>
        </w:tc>
        <w:tc>
          <w:tcPr>
            <w:tcW w:w="602" w:type="pct"/>
            <w:tcBorders>
              <w:tl2br w:val="nil"/>
              <w:tr2bl w:val="nil"/>
            </w:tcBorders>
            <w:noWrap w:val="0"/>
            <w:vAlign w:val="bottom"/>
          </w:tcPr>
          <w:p w14:paraId="43CA8F72">
            <w:pPr>
              <w:pStyle w:val="29"/>
              <w:adjustRightInd w:val="0"/>
              <w:snapToGrid w:val="0"/>
              <w:spacing w:line="240" w:lineRule="auto"/>
              <w:rPr>
                <w:rFonts w:hint="default" w:ascii="Times New Roman" w:hAnsi="Times New Roman" w:eastAsia="宋体" w:cs="宋体"/>
                <w:color w:val="auto"/>
                <w:lang w:val="en-US" w:eastAsia="zh-CN"/>
              </w:rPr>
            </w:pPr>
            <w:r>
              <w:rPr>
                <w:rFonts w:hint="eastAsia" w:eastAsia="宋体" w:cs="宋体"/>
                <w:color w:val="auto"/>
                <w:lang w:val="en-US" w:eastAsia="zh-CN"/>
              </w:rPr>
              <w:t>399</w:t>
            </w:r>
          </w:p>
        </w:tc>
        <w:tc>
          <w:tcPr>
            <w:tcW w:w="427" w:type="pct"/>
            <w:tcBorders>
              <w:tl2br w:val="nil"/>
              <w:tr2bl w:val="nil"/>
            </w:tcBorders>
            <w:noWrap w:val="0"/>
            <w:vAlign w:val="bottom"/>
          </w:tcPr>
          <w:p w14:paraId="532D2C34">
            <w:pPr>
              <w:pStyle w:val="29"/>
              <w:adjustRightInd w:val="0"/>
              <w:snapToGrid w:val="0"/>
              <w:spacing w:line="240" w:lineRule="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492.54</w:t>
            </w:r>
          </w:p>
        </w:tc>
      </w:tr>
      <w:tr w14:paraId="2C59BD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7" w:type="dxa"/>
            <w:bottom w:w="0" w:type="dxa"/>
            <w:right w:w="17" w:type="dxa"/>
          </w:tblCellMar>
        </w:tblPrEx>
        <w:trPr>
          <w:trHeight w:val="286" w:hRule="atLeast"/>
          <w:jc w:val="center"/>
        </w:trPr>
        <w:tc>
          <w:tcPr>
            <w:tcW w:w="5000" w:type="pct"/>
            <w:gridSpan w:val="11"/>
            <w:tcBorders>
              <w:tl2br w:val="nil"/>
              <w:tr2bl w:val="nil"/>
            </w:tcBorders>
            <w:noWrap w:val="0"/>
            <w:vAlign w:val="center"/>
          </w:tcPr>
          <w:p w14:paraId="15F23B67">
            <w:pPr>
              <w:pStyle w:val="29"/>
              <w:adjustRightInd w:val="0"/>
              <w:snapToGrid w:val="0"/>
              <w:spacing w:line="240" w:lineRule="auto"/>
              <w:jc w:val="both"/>
              <w:rPr>
                <w:rFonts w:hint="eastAsia" w:ascii="Times New Roman" w:hAnsi="Times New Roman" w:eastAsia="宋体" w:cs="宋体"/>
                <w:color w:val="auto"/>
              </w:rPr>
            </w:pPr>
            <w:r>
              <w:rPr>
                <w:rFonts w:hint="eastAsia" w:ascii="Times New Roman" w:hAnsi="Times New Roman" w:eastAsia="宋体" w:cs="宋体"/>
                <w:color w:val="auto"/>
              </w:rPr>
              <w:t>注：马铃薯清洗水池废水待生产期结束后一次排放</w:t>
            </w:r>
          </w:p>
        </w:tc>
      </w:tr>
    </w:tbl>
    <w:p w14:paraId="7200E5A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object>
          <v:shape id="_x0000_i1029" o:spt="75" type="#_x0000_t75" style="height:321.35pt;width:415.15pt;" o:ole="t" filled="f" o:preferrelative="t" stroked="t" coordsize="21600,21600">
            <v:path/>
            <v:fill on="f" focussize="0,0"/>
            <v:stroke color="#000000" joinstyle="miter"/>
            <v:imagedata r:id="rId46" o:title=""/>
            <o:lock v:ext="edit" aspectratio="f"/>
            <w10:wrap type="none"/>
            <w10:anchorlock/>
          </v:shape>
          <o:OLEObject Type="Embed" ProgID="Visio.Drawing.11" ShapeID="_x0000_i1029" DrawAspect="Content" ObjectID="_1468075729" r:id="rId45">
            <o:LockedField>false</o:LockedField>
          </o:OLEObject>
        </w:object>
      </w:r>
      <w:r>
        <w:rPr>
          <w:rFonts w:hint="eastAsia" w:ascii="Times New Roman" w:hAnsi="Times New Roman" w:eastAsia="宋体" w:cs="宋体"/>
          <w:b/>
          <w:bCs/>
          <w:color w:val="auto"/>
          <w:sz w:val="24"/>
        </w:rPr>
        <w:t>图</w:t>
      </w:r>
      <w:r>
        <w:rPr>
          <w:rFonts w:hint="eastAsia" w:ascii="Times New Roman" w:hAnsi="Times New Roman" w:eastAsia="宋体" w:cs="宋体"/>
          <w:b/>
          <w:bCs/>
          <w:color w:val="auto"/>
          <w:sz w:val="24"/>
          <w:lang w:val="en-US" w:eastAsia="zh-CN"/>
        </w:rPr>
        <w:t xml:space="preserve">4-6   </w:t>
      </w:r>
      <w:r>
        <w:rPr>
          <w:rFonts w:hint="eastAsia" w:ascii="Times New Roman" w:hAnsi="Times New Roman" w:eastAsia="宋体" w:cs="宋体"/>
          <w:b/>
          <w:bCs/>
          <w:color w:val="auto"/>
          <w:sz w:val="24"/>
        </w:rPr>
        <w:t>本项目水平衡图单位：</w:t>
      </w:r>
      <w:r>
        <w:rPr>
          <w:rFonts w:hint="eastAsia" w:ascii="Times New Roman" w:hAnsi="Times New Roman" w:eastAsia="宋体" w:cs="宋体"/>
          <w:b/>
          <w:bCs/>
          <w:color w:val="auto"/>
          <w:spacing w:val="-1"/>
          <w:sz w:val="24"/>
        </w:rPr>
        <w:t>m</w:t>
      </w:r>
      <w:r>
        <w:rPr>
          <w:rFonts w:hint="eastAsia" w:ascii="Times New Roman" w:hAnsi="Times New Roman" w:eastAsia="宋体" w:cs="宋体"/>
          <w:b/>
          <w:bCs/>
          <w:color w:val="auto"/>
          <w:spacing w:val="-1"/>
          <w:sz w:val="24"/>
          <w:vertAlign w:val="superscript"/>
        </w:rPr>
        <w:t>3</w:t>
      </w:r>
      <w:r>
        <w:rPr>
          <w:rFonts w:hint="eastAsia" w:ascii="Times New Roman" w:hAnsi="Times New Roman" w:eastAsia="宋体" w:cs="宋体"/>
          <w:b/>
          <w:bCs/>
          <w:color w:val="auto"/>
          <w:spacing w:val="-1"/>
          <w:sz w:val="24"/>
        </w:rPr>
        <w:t>/d</w:t>
      </w:r>
    </w:p>
    <w:p w14:paraId="747F836C">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b/>
          <w:color w:val="auto"/>
          <w:sz w:val="24"/>
          <w:lang w:val="en-US" w:eastAsia="zh-CN"/>
        </w:rPr>
        <w:t>4.4.3、进水水质</w:t>
      </w:r>
    </w:p>
    <w:p w14:paraId="45941F1B">
      <w:pPr>
        <w:pStyle w:val="27"/>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480" w:firstLineChars="200"/>
        <w:jc w:val="both"/>
        <w:textAlignment w:val="baseline"/>
        <w:rPr>
          <w:rFonts w:hint="default" w:ascii="Times New Roman" w:hAnsi="Times New Roman" w:eastAsia="宋体" w:cs="宋体"/>
          <w:b w:val="0"/>
          <w:bCs w:val="0"/>
          <w:color w:val="auto"/>
          <w:sz w:val="24"/>
          <w:highlight w:val="none"/>
          <w:lang w:val="en-US" w:eastAsia="zh-CN"/>
        </w:rPr>
      </w:pPr>
      <w:r>
        <w:rPr>
          <w:rFonts w:hint="eastAsia" w:ascii="Times New Roman" w:hAnsi="Times New Roman" w:eastAsia="宋体" w:cs="宋体"/>
          <w:b w:val="0"/>
          <w:bCs w:val="0"/>
          <w:color w:val="auto"/>
          <w:sz w:val="24"/>
          <w:highlight w:val="none"/>
          <w:lang w:val="en-US" w:eastAsia="zh-CN"/>
        </w:rPr>
        <w:t>（1）生活污水</w:t>
      </w:r>
    </w:p>
    <w:p w14:paraId="22DD78E2">
      <w:pPr>
        <w:pStyle w:val="27"/>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480" w:firstLineChars="200"/>
        <w:jc w:val="both"/>
        <w:textAlignment w:val="baseline"/>
        <w:rPr>
          <w:rFonts w:hint="eastAsia" w:ascii="Times New Roman" w:hAnsi="Times New Roman" w:eastAsia="宋体" w:cs="宋体"/>
          <w:b w:val="0"/>
          <w:bCs w:val="0"/>
          <w:color w:val="auto"/>
          <w:sz w:val="24"/>
          <w:highlight w:val="none"/>
          <w:lang w:val="en-US" w:eastAsia="zh-CN"/>
        </w:rPr>
      </w:pPr>
      <w:r>
        <w:rPr>
          <w:rFonts w:hint="eastAsia" w:ascii="Times New Roman" w:hAnsi="Times New Roman" w:eastAsia="宋体" w:cs="宋体"/>
          <w:color w:val="auto"/>
          <w:kern w:val="0"/>
          <w:sz w:val="24"/>
          <w:highlight w:val="none"/>
        </w:rPr>
        <w:t>本</w:t>
      </w:r>
      <w:r>
        <w:rPr>
          <w:rFonts w:ascii="Times New Roman" w:hAnsi="Times New Roman" w:eastAsia="宋体" w:cs="宋体"/>
          <w:color w:val="auto"/>
          <w:kern w:val="0"/>
          <w:sz w:val="24"/>
          <w:highlight w:val="none"/>
        </w:rPr>
        <w:t>项目生活污水产生量</w:t>
      </w:r>
      <w:r>
        <w:rPr>
          <w:rFonts w:hint="default" w:ascii="Times New Roman" w:hAnsi="Times New Roman" w:eastAsia="宋体" w:cs="宋体"/>
          <w:b w:val="0"/>
          <w:bCs w:val="0"/>
          <w:color w:val="auto"/>
          <w:sz w:val="24"/>
          <w:highlight w:val="none"/>
          <w:lang w:val="en-US" w:eastAsia="zh-CN"/>
        </w:rPr>
        <w:t>为</w:t>
      </w:r>
      <w:r>
        <w:rPr>
          <w:rFonts w:hint="eastAsia" w:ascii="Times New Roman" w:hAnsi="Times New Roman" w:eastAsia="宋体" w:cs="宋体"/>
          <w:b w:val="0"/>
          <w:bCs w:val="0"/>
          <w:color w:val="auto"/>
          <w:sz w:val="24"/>
          <w:highlight w:val="none"/>
          <w:lang w:val="en-US" w:eastAsia="zh-CN"/>
        </w:rPr>
        <w:t>1.44</w:t>
      </w:r>
      <w:r>
        <w:rPr>
          <w:rFonts w:hint="default" w:ascii="Times New Roman" w:hAnsi="Times New Roman" w:eastAsia="宋体" w:cs="宋体"/>
          <w:b w:val="0"/>
          <w:bCs w:val="0"/>
          <w:color w:val="auto"/>
          <w:sz w:val="24"/>
          <w:highlight w:val="none"/>
          <w:lang w:val="en-US" w:eastAsia="zh-CN"/>
        </w:rPr>
        <w:t>m</w:t>
      </w:r>
      <w:r>
        <w:rPr>
          <w:rFonts w:hint="default" w:ascii="Times New Roman" w:hAnsi="Times New Roman" w:eastAsia="宋体" w:cs="宋体"/>
          <w:b w:val="0"/>
          <w:bCs w:val="0"/>
          <w:color w:val="auto"/>
          <w:sz w:val="24"/>
          <w:highlight w:val="none"/>
          <w:vertAlign w:val="superscript"/>
          <w:lang w:val="en-US" w:eastAsia="zh-CN"/>
        </w:rPr>
        <w:t>3</w:t>
      </w:r>
      <w:r>
        <w:rPr>
          <w:rFonts w:hint="default" w:ascii="Times New Roman" w:hAnsi="Times New Roman" w:eastAsia="宋体" w:cs="宋体"/>
          <w:b w:val="0"/>
          <w:bCs w:val="0"/>
          <w:color w:val="auto"/>
          <w:sz w:val="24"/>
          <w:highlight w:val="none"/>
          <w:lang w:val="en-US" w:eastAsia="zh-CN"/>
        </w:rPr>
        <w:t>/d</w:t>
      </w:r>
      <w:r>
        <w:rPr>
          <w:rFonts w:hint="eastAsia" w:ascii="Times New Roman" w:hAnsi="Times New Roman" w:eastAsia="宋体" w:cs="宋体"/>
          <w:b w:val="0"/>
          <w:bCs w:val="0"/>
          <w:color w:val="auto"/>
          <w:sz w:val="24"/>
          <w:highlight w:val="none"/>
          <w:lang w:val="en-US" w:eastAsia="zh-CN"/>
        </w:rPr>
        <w:t>，项目生活污水污染主要污染物为COD、BOD</w:t>
      </w:r>
      <w:r>
        <w:rPr>
          <w:rFonts w:hint="eastAsia" w:ascii="Times New Roman" w:hAnsi="Times New Roman" w:eastAsia="宋体" w:cs="宋体"/>
          <w:b w:val="0"/>
          <w:bCs w:val="0"/>
          <w:color w:val="auto"/>
          <w:sz w:val="24"/>
          <w:highlight w:val="none"/>
          <w:vertAlign w:val="subscript"/>
          <w:lang w:val="en-US" w:eastAsia="zh-CN"/>
        </w:rPr>
        <w:t>5</w:t>
      </w:r>
      <w:r>
        <w:rPr>
          <w:rFonts w:hint="eastAsia" w:ascii="Times New Roman" w:hAnsi="Times New Roman" w:eastAsia="宋体" w:cs="宋体"/>
          <w:b w:val="0"/>
          <w:bCs w:val="0"/>
          <w:color w:val="auto"/>
          <w:sz w:val="24"/>
          <w:highlight w:val="none"/>
          <w:lang w:val="en-US" w:eastAsia="zh-CN"/>
        </w:rPr>
        <w:t>、SS、NH</w:t>
      </w:r>
      <w:r>
        <w:rPr>
          <w:rFonts w:hint="eastAsia" w:ascii="Times New Roman" w:hAnsi="Times New Roman" w:eastAsia="宋体" w:cs="宋体"/>
          <w:b w:val="0"/>
          <w:bCs w:val="0"/>
          <w:color w:val="auto"/>
          <w:sz w:val="24"/>
          <w:highlight w:val="none"/>
          <w:vertAlign w:val="subscript"/>
          <w:lang w:val="en-US" w:eastAsia="zh-CN"/>
        </w:rPr>
        <w:t>3</w:t>
      </w:r>
      <w:r>
        <w:rPr>
          <w:rFonts w:hint="eastAsia" w:ascii="Times New Roman" w:hAnsi="Times New Roman" w:eastAsia="宋体" w:cs="宋体"/>
          <w:b w:val="0"/>
          <w:bCs w:val="0"/>
          <w:color w:val="auto"/>
          <w:sz w:val="24"/>
          <w:highlight w:val="none"/>
          <w:lang w:val="en-US" w:eastAsia="zh-CN"/>
        </w:rPr>
        <w:t>-N</w:t>
      </w:r>
      <w:r>
        <w:rPr>
          <w:rFonts w:hint="eastAsia" w:eastAsia="宋体" w:cs="宋体"/>
          <w:b w:val="0"/>
          <w:bCs w:val="0"/>
          <w:color w:val="auto"/>
          <w:sz w:val="24"/>
          <w:highlight w:val="none"/>
          <w:lang w:val="en-US" w:eastAsia="zh-CN"/>
        </w:rPr>
        <w:t>、TN</w:t>
      </w:r>
      <w:r>
        <w:rPr>
          <w:rFonts w:hint="eastAsia" w:ascii="Times New Roman" w:hAnsi="Times New Roman" w:eastAsia="宋体" w:cs="宋体"/>
          <w:b w:val="0"/>
          <w:bCs w:val="0"/>
          <w:color w:val="auto"/>
          <w:sz w:val="24"/>
          <w:highlight w:val="none"/>
          <w:lang w:val="en-US" w:eastAsia="zh-CN"/>
        </w:rPr>
        <w:t>，污染物产生浓度为COD</w:t>
      </w:r>
      <w:r>
        <w:rPr>
          <w:rFonts w:hint="eastAsia" w:eastAsia="宋体" w:cs="宋体"/>
          <w:b w:val="0"/>
          <w:bCs w:val="0"/>
          <w:snapToGrid w:val="0"/>
          <w:color w:val="auto"/>
          <w:kern w:val="0"/>
          <w:sz w:val="24"/>
          <w:szCs w:val="24"/>
          <w:highlight w:val="none"/>
          <w:lang w:val="en-US" w:eastAsia="zh-CN" w:bidi="ar-SA"/>
        </w:rPr>
        <w:t>cr</w:t>
      </w:r>
      <w:r>
        <w:rPr>
          <w:rFonts w:hint="eastAsia" w:ascii="Times New Roman" w:hAnsi="Times New Roman" w:eastAsia="宋体" w:cs="宋体"/>
          <w:b w:val="0"/>
          <w:bCs w:val="0"/>
          <w:color w:val="auto"/>
          <w:sz w:val="24"/>
          <w:highlight w:val="none"/>
          <w:lang w:val="en-US" w:eastAsia="zh-CN"/>
        </w:rPr>
        <w:t>：350mg/L，BOD</w:t>
      </w:r>
      <w:r>
        <w:rPr>
          <w:rFonts w:hint="eastAsia" w:ascii="Times New Roman" w:hAnsi="Times New Roman" w:eastAsia="宋体" w:cs="宋体"/>
          <w:b w:val="0"/>
          <w:bCs w:val="0"/>
          <w:color w:val="auto"/>
          <w:sz w:val="24"/>
          <w:highlight w:val="none"/>
          <w:vertAlign w:val="subscript"/>
          <w:lang w:val="en-US" w:eastAsia="zh-CN"/>
        </w:rPr>
        <w:t>5</w:t>
      </w:r>
      <w:r>
        <w:rPr>
          <w:rFonts w:hint="eastAsia" w:ascii="Times New Roman" w:hAnsi="Times New Roman" w:eastAsia="宋体" w:cs="宋体"/>
          <w:b w:val="0"/>
          <w:bCs w:val="0"/>
          <w:color w:val="auto"/>
          <w:sz w:val="24"/>
          <w:highlight w:val="none"/>
          <w:lang w:val="en-US" w:eastAsia="zh-CN"/>
        </w:rPr>
        <w:t>：180mg/L，SS：200mg/L，NH</w:t>
      </w:r>
      <w:r>
        <w:rPr>
          <w:rFonts w:hint="eastAsia" w:ascii="Times New Roman" w:hAnsi="Times New Roman" w:eastAsia="宋体" w:cs="宋体"/>
          <w:b w:val="0"/>
          <w:bCs w:val="0"/>
          <w:color w:val="auto"/>
          <w:sz w:val="24"/>
          <w:highlight w:val="none"/>
          <w:vertAlign w:val="subscript"/>
          <w:lang w:val="en-US" w:eastAsia="zh-CN"/>
        </w:rPr>
        <w:t>3</w:t>
      </w:r>
      <w:r>
        <w:rPr>
          <w:rFonts w:hint="eastAsia" w:ascii="Times New Roman" w:hAnsi="Times New Roman" w:eastAsia="宋体" w:cs="宋体"/>
          <w:b w:val="0"/>
          <w:bCs w:val="0"/>
          <w:color w:val="auto"/>
          <w:sz w:val="24"/>
          <w:highlight w:val="none"/>
          <w:lang w:val="en-US" w:eastAsia="zh-CN"/>
        </w:rPr>
        <w:t>-N：30mg/L</w:t>
      </w:r>
      <w:r>
        <w:rPr>
          <w:rFonts w:hint="eastAsia" w:eastAsia="宋体" w:cs="宋体"/>
          <w:b w:val="0"/>
          <w:bCs w:val="0"/>
          <w:color w:val="auto"/>
          <w:sz w:val="24"/>
          <w:highlight w:val="none"/>
          <w:lang w:val="en-US" w:eastAsia="zh-CN"/>
        </w:rPr>
        <w:t>、TN：30</w:t>
      </w:r>
      <w:r>
        <w:rPr>
          <w:rFonts w:hint="eastAsia" w:ascii="Times New Roman" w:hAnsi="Times New Roman" w:eastAsia="宋体" w:cs="宋体"/>
          <w:b w:val="0"/>
          <w:bCs w:val="0"/>
          <w:color w:val="auto"/>
          <w:sz w:val="24"/>
          <w:highlight w:val="none"/>
          <w:lang w:val="en-US" w:eastAsia="zh-CN"/>
        </w:rPr>
        <w:t>mg/L。经化粪池处理后排入</w:t>
      </w:r>
      <w:r>
        <w:rPr>
          <w:rFonts w:hint="eastAsia" w:eastAsia="宋体" w:cs="宋体"/>
          <w:b w:val="0"/>
          <w:bCs w:val="0"/>
          <w:color w:val="auto"/>
          <w:sz w:val="24"/>
          <w:highlight w:val="none"/>
          <w:lang w:val="en-US" w:eastAsia="zh-CN"/>
        </w:rPr>
        <w:t>黑膜氧化池</w:t>
      </w:r>
      <w:r>
        <w:rPr>
          <w:rFonts w:hint="eastAsia" w:ascii="Times New Roman" w:hAnsi="Times New Roman" w:eastAsia="宋体" w:cs="宋体"/>
          <w:b w:val="0"/>
          <w:bCs w:val="0"/>
          <w:color w:val="auto"/>
          <w:sz w:val="24"/>
          <w:highlight w:val="none"/>
          <w:lang w:val="en-US" w:eastAsia="zh-CN"/>
        </w:rPr>
        <w:t>发酵处理。</w:t>
      </w:r>
    </w:p>
    <w:p w14:paraId="13D688FE">
      <w:pPr>
        <w:pStyle w:val="27"/>
        <w:keepNext w:val="0"/>
        <w:keepLines w:val="0"/>
        <w:pageBreakBefore w:val="0"/>
        <w:widowControl/>
        <w:numPr>
          <w:ilvl w:val="0"/>
          <w:numId w:val="2"/>
        </w:numPr>
        <w:kinsoku w:val="0"/>
        <w:wordWrap/>
        <w:overflowPunct/>
        <w:topLinePunct w:val="0"/>
        <w:autoSpaceDE w:val="0"/>
        <w:autoSpaceDN w:val="0"/>
        <w:bidi w:val="0"/>
        <w:adjustRightInd/>
        <w:snapToGrid w:val="0"/>
        <w:spacing w:line="360" w:lineRule="auto"/>
        <w:ind w:right="0" w:rightChars="0" w:firstLine="480" w:firstLineChars="200"/>
        <w:jc w:val="both"/>
        <w:textAlignment w:val="baseline"/>
        <w:rPr>
          <w:rFonts w:hint="eastAsia" w:ascii="Times New Roman" w:hAnsi="Times New Roman" w:eastAsia="宋体" w:cs="宋体"/>
          <w:b w:val="0"/>
          <w:bCs w:val="0"/>
          <w:color w:val="auto"/>
          <w:sz w:val="24"/>
          <w:highlight w:val="none"/>
          <w:lang w:val="en-US" w:eastAsia="zh-CN"/>
        </w:rPr>
      </w:pPr>
      <w:r>
        <w:rPr>
          <w:rFonts w:hint="eastAsia" w:ascii="Times New Roman" w:hAnsi="Times New Roman" w:eastAsia="宋体" w:cs="宋体"/>
          <w:b w:val="0"/>
          <w:bCs w:val="0"/>
          <w:color w:val="auto"/>
          <w:sz w:val="24"/>
          <w:highlight w:val="none"/>
          <w:lang w:val="en-US" w:eastAsia="zh-CN"/>
        </w:rPr>
        <w:t>清洗废水</w:t>
      </w:r>
    </w:p>
    <w:p w14:paraId="7EFCC177">
      <w:pPr>
        <w:pStyle w:val="27"/>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auto"/>
        <w:ind w:right="0" w:rightChars="0" w:firstLine="480" w:firstLineChars="200"/>
        <w:jc w:val="both"/>
        <w:textAlignment w:val="baseline"/>
        <w:rPr>
          <w:rFonts w:hint="default" w:ascii="Times New Roman" w:hAnsi="Times New Roman" w:eastAsia="宋体" w:cs="宋体"/>
          <w:color w:val="auto"/>
          <w:kern w:val="0"/>
          <w:sz w:val="24"/>
          <w:highlight w:val="none"/>
          <w:lang w:val="en-US" w:eastAsia="zh-CN"/>
        </w:rPr>
      </w:pPr>
      <w:r>
        <w:rPr>
          <w:rFonts w:hint="default" w:ascii="Times New Roman" w:hAnsi="Times New Roman" w:eastAsia="宋体" w:cs="宋体"/>
          <w:color w:val="auto"/>
          <w:kern w:val="0"/>
          <w:sz w:val="24"/>
          <w:highlight w:val="none"/>
          <w:lang w:val="en-US" w:eastAsia="zh-CN"/>
        </w:rPr>
        <w:t>本项目生产废水主要为</w:t>
      </w:r>
      <w:r>
        <w:rPr>
          <w:rFonts w:hint="eastAsia" w:ascii="Times New Roman" w:hAnsi="Times New Roman" w:eastAsia="宋体" w:cs="宋体"/>
          <w:color w:val="auto"/>
          <w:kern w:val="0"/>
          <w:sz w:val="24"/>
          <w:highlight w:val="none"/>
          <w:lang w:val="en-US" w:eastAsia="zh-CN"/>
        </w:rPr>
        <w:t>原料</w:t>
      </w:r>
      <w:r>
        <w:rPr>
          <w:rFonts w:hint="default" w:ascii="Times New Roman" w:hAnsi="Times New Roman" w:eastAsia="宋体" w:cs="宋体"/>
          <w:color w:val="auto"/>
          <w:kern w:val="0"/>
          <w:sz w:val="24"/>
          <w:highlight w:val="none"/>
          <w:lang w:val="en-US" w:eastAsia="zh-CN"/>
        </w:rPr>
        <w:t>清洗过程产生的清洗废水，产生量为</w:t>
      </w:r>
      <w:r>
        <w:rPr>
          <w:rFonts w:hint="eastAsia" w:eastAsia="宋体" w:cs="宋体"/>
          <w:color w:val="auto"/>
          <w:kern w:val="0"/>
          <w:sz w:val="24"/>
          <w:highlight w:val="none"/>
          <w:lang w:val="en-US" w:eastAsia="zh-CN"/>
        </w:rPr>
        <w:t>556</w:t>
      </w:r>
      <w:r>
        <w:rPr>
          <w:rFonts w:hint="default" w:ascii="Times New Roman" w:hAnsi="Times New Roman" w:eastAsia="宋体" w:cs="宋体"/>
          <w:color w:val="auto"/>
          <w:kern w:val="0"/>
          <w:sz w:val="24"/>
          <w:highlight w:val="none"/>
          <w:lang w:val="en-US" w:eastAsia="zh-CN"/>
        </w:rPr>
        <w:t>m</w:t>
      </w:r>
      <w:r>
        <w:rPr>
          <w:rFonts w:hint="default" w:ascii="Times New Roman" w:hAnsi="Times New Roman" w:eastAsia="宋体" w:cs="宋体"/>
          <w:color w:val="auto"/>
          <w:kern w:val="0"/>
          <w:sz w:val="24"/>
          <w:highlight w:val="none"/>
          <w:vertAlign w:val="superscript"/>
          <w:lang w:val="en-US" w:eastAsia="zh-CN"/>
        </w:rPr>
        <w:t>3</w:t>
      </w:r>
      <w:r>
        <w:rPr>
          <w:rFonts w:hint="default" w:ascii="Times New Roman" w:hAnsi="Times New Roman" w:eastAsia="宋体" w:cs="宋体"/>
          <w:color w:val="auto"/>
          <w:kern w:val="0"/>
          <w:sz w:val="24"/>
          <w:highlight w:val="none"/>
          <w:lang w:val="en-US" w:eastAsia="zh-CN"/>
        </w:rPr>
        <w:t>/a，废水中主要的污染物为SS，产生浓度约</w:t>
      </w:r>
      <w:r>
        <w:rPr>
          <w:rFonts w:hint="eastAsia" w:ascii="Times New Roman" w:hAnsi="Times New Roman" w:eastAsia="宋体" w:cs="宋体"/>
          <w:color w:val="auto"/>
          <w:kern w:val="0"/>
          <w:sz w:val="24"/>
          <w:highlight w:val="none"/>
          <w:lang w:val="en-US" w:eastAsia="zh-CN"/>
        </w:rPr>
        <w:t>2400</w:t>
      </w:r>
      <w:r>
        <w:rPr>
          <w:rFonts w:hint="default" w:ascii="Times New Roman" w:hAnsi="Times New Roman" w:eastAsia="宋体" w:cs="宋体"/>
          <w:color w:val="auto"/>
          <w:kern w:val="0"/>
          <w:sz w:val="24"/>
          <w:highlight w:val="none"/>
          <w:lang w:val="en-US" w:eastAsia="zh-CN"/>
        </w:rPr>
        <w:t>mg/L，含有少量COD、BOD</w:t>
      </w:r>
      <w:r>
        <w:rPr>
          <w:rFonts w:hint="default" w:ascii="Times New Roman" w:hAnsi="Times New Roman" w:eastAsia="宋体" w:cs="宋体"/>
          <w:color w:val="auto"/>
          <w:kern w:val="0"/>
          <w:sz w:val="24"/>
          <w:highlight w:val="none"/>
          <w:vertAlign w:val="subscript"/>
          <w:lang w:val="en-US" w:eastAsia="zh-CN"/>
        </w:rPr>
        <w:t>5</w:t>
      </w:r>
      <w:r>
        <w:rPr>
          <w:rFonts w:hint="default" w:ascii="Times New Roman" w:hAnsi="Times New Roman" w:eastAsia="宋体" w:cs="宋体"/>
          <w:color w:val="auto"/>
          <w:kern w:val="0"/>
          <w:sz w:val="24"/>
          <w:highlight w:val="none"/>
          <w:lang w:val="en-US" w:eastAsia="zh-CN"/>
        </w:rPr>
        <w:t>、NH</w:t>
      </w:r>
      <w:r>
        <w:rPr>
          <w:rFonts w:hint="default" w:ascii="Times New Roman" w:hAnsi="Times New Roman" w:eastAsia="宋体" w:cs="宋体"/>
          <w:color w:val="auto"/>
          <w:kern w:val="0"/>
          <w:sz w:val="24"/>
          <w:highlight w:val="none"/>
          <w:vertAlign w:val="subscript"/>
          <w:lang w:val="en-US" w:eastAsia="zh-CN"/>
        </w:rPr>
        <w:t>3</w:t>
      </w:r>
      <w:r>
        <w:rPr>
          <w:rFonts w:hint="default" w:ascii="Times New Roman" w:hAnsi="Times New Roman" w:eastAsia="宋体" w:cs="宋体"/>
          <w:color w:val="auto"/>
          <w:kern w:val="0"/>
          <w:sz w:val="24"/>
          <w:highlight w:val="none"/>
          <w:lang w:val="en-US" w:eastAsia="zh-CN"/>
        </w:rPr>
        <w:t>-N</w:t>
      </w:r>
      <w:r>
        <w:rPr>
          <w:rFonts w:hint="eastAsia" w:eastAsia="宋体" w:cs="宋体"/>
          <w:color w:val="auto"/>
          <w:kern w:val="0"/>
          <w:sz w:val="24"/>
          <w:highlight w:val="none"/>
          <w:lang w:val="en-US" w:eastAsia="zh-CN"/>
        </w:rPr>
        <w:t>、TN</w:t>
      </w:r>
      <w:r>
        <w:rPr>
          <w:rFonts w:hint="default" w:ascii="Times New Roman" w:hAnsi="Times New Roman" w:eastAsia="宋体" w:cs="宋体"/>
          <w:color w:val="auto"/>
          <w:kern w:val="0"/>
          <w:sz w:val="24"/>
          <w:highlight w:val="none"/>
          <w:lang w:val="en-US" w:eastAsia="zh-CN"/>
        </w:rPr>
        <w:t>，产生浓度分别约COD</w:t>
      </w:r>
      <w:r>
        <w:rPr>
          <w:rFonts w:hint="eastAsia" w:eastAsia="宋体" w:cs="宋体"/>
          <w:b w:val="0"/>
          <w:bCs w:val="0"/>
          <w:snapToGrid w:val="0"/>
          <w:color w:val="auto"/>
          <w:kern w:val="0"/>
          <w:sz w:val="24"/>
          <w:szCs w:val="24"/>
          <w:highlight w:val="none"/>
          <w:vertAlign w:val="subscript"/>
          <w:lang w:val="en-US" w:eastAsia="zh-CN" w:bidi="ar-SA"/>
        </w:rPr>
        <w:t>cr</w:t>
      </w:r>
      <w:r>
        <w:rPr>
          <w:rFonts w:hint="default" w:ascii="Times New Roman" w:hAnsi="Times New Roman" w:eastAsia="宋体" w:cs="宋体"/>
          <w:color w:val="auto"/>
          <w:kern w:val="0"/>
          <w:sz w:val="24"/>
          <w:highlight w:val="none"/>
          <w:lang w:val="en-US" w:eastAsia="zh-CN"/>
        </w:rPr>
        <w:t>：</w:t>
      </w:r>
      <w:r>
        <w:rPr>
          <w:rFonts w:hint="eastAsia" w:ascii="Times New Roman" w:hAnsi="Times New Roman" w:eastAsia="宋体" w:cs="宋体"/>
          <w:color w:val="auto"/>
          <w:kern w:val="0"/>
          <w:sz w:val="24"/>
          <w:highlight w:val="none"/>
          <w:lang w:val="en-US" w:eastAsia="zh-CN"/>
        </w:rPr>
        <w:t>1500</w:t>
      </w:r>
      <w:r>
        <w:rPr>
          <w:rFonts w:hint="default" w:ascii="Times New Roman" w:hAnsi="Times New Roman" w:eastAsia="宋体" w:cs="宋体"/>
          <w:color w:val="auto"/>
          <w:kern w:val="0"/>
          <w:sz w:val="24"/>
          <w:highlight w:val="none"/>
          <w:lang w:val="en-US" w:eastAsia="zh-CN"/>
        </w:rPr>
        <w:t>mg/L、BOD</w:t>
      </w:r>
      <w:r>
        <w:rPr>
          <w:rFonts w:hint="default" w:ascii="Times New Roman" w:hAnsi="Times New Roman" w:eastAsia="宋体" w:cs="宋体"/>
          <w:color w:val="auto"/>
          <w:kern w:val="0"/>
          <w:sz w:val="24"/>
          <w:highlight w:val="none"/>
          <w:vertAlign w:val="subscript"/>
          <w:lang w:val="en-US" w:eastAsia="zh-CN"/>
        </w:rPr>
        <w:t>5</w:t>
      </w:r>
      <w:r>
        <w:rPr>
          <w:rFonts w:hint="default" w:ascii="Times New Roman" w:hAnsi="Times New Roman" w:eastAsia="宋体" w:cs="宋体"/>
          <w:color w:val="auto"/>
          <w:kern w:val="0"/>
          <w:sz w:val="24"/>
          <w:highlight w:val="none"/>
          <w:lang w:val="en-US" w:eastAsia="zh-CN"/>
        </w:rPr>
        <w:t>：</w:t>
      </w:r>
      <w:r>
        <w:rPr>
          <w:rFonts w:hint="eastAsia" w:ascii="Times New Roman" w:hAnsi="Times New Roman" w:eastAsia="宋体" w:cs="宋体"/>
          <w:color w:val="auto"/>
          <w:kern w:val="0"/>
          <w:sz w:val="24"/>
          <w:highlight w:val="none"/>
          <w:lang w:val="en-US" w:eastAsia="zh-CN"/>
        </w:rPr>
        <w:t>360</w:t>
      </w:r>
      <w:r>
        <w:rPr>
          <w:rFonts w:hint="default" w:ascii="Times New Roman" w:hAnsi="Times New Roman" w:eastAsia="宋体" w:cs="宋体"/>
          <w:color w:val="auto"/>
          <w:kern w:val="0"/>
          <w:sz w:val="24"/>
          <w:highlight w:val="none"/>
          <w:lang w:val="en-US" w:eastAsia="zh-CN"/>
        </w:rPr>
        <w:t>mg/L、NH</w:t>
      </w:r>
      <w:r>
        <w:rPr>
          <w:rFonts w:hint="default" w:ascii="Times New Roman" w:hAnsi="Times New Roman" w:eastAsia="宋体" w:cs="宋体"/>
          <w:color w:val="auto"/>
          <w:kern w:val="0"/>
          <w:sz w:val="24"/>
          <w:highlight w:val="none"/>
          <w:vertAlign w:val="subscript"/>
          <w:lang w:val="en-US" w:eastAsia="zh-CN"/>
        </w:rPr>
        <w:t>3</w:t>
      </w:r>
      <w:r>
        <w:rPr>
          <w:rFonts w:hint="default" w:ascii="Times New Roman" w:hAnsi="Times New Roman" w:eastAsia="宋体" w:cs="宋体"/>
          <w:color w:val="auto"/>
          <w:kern w:val="0"/>
          <w:sz w:val="24"/>
          <w:highlight w:val="none"/>
          <w:lang w:val="en-US" w:eastAsia="zh-CN"/>
        </w:rPr>
        <w:t>-N</w:t>
      </w:r>
      <w:r>
        <w:rPr>
          <w:rFonts w:hint="eastAsia" w:ascii="Times New Roman" w:hAnsi="Times New Roman" w:eastAsia="宋体" w:cs="宋体"/>
          <w:color w:val="auto"/>
          <w:kern w:val="0"/>
          <w:sz w:val="24"/>
          <w:highlight w:val="none"/>
          <w:lang w:val="en-US" w:eastAsia="zh-CN"/>
        </w:rPr>
        <w:t>：</w:t>
      </w:r>
      <w:r>
        <w:rPr>
          <w:rFonts w:hint="default" w:ascii="Times New Roman" w:hAnsi="Times New Roman" w:eastAsia="宋体" w:cs="宋体"/>
          <w:color w:val="auto"/>
          <w:kern w:val="0"/>
          <w:sz w:val="24"/>
          <w:highlight w:val="none"/>
          <w:lang w:val="en-US" w:eastAsia="zh-CN"/>
        </w:rPr>
        <w:t>5mg/L</w:t>
      </w:r>
      <w:r>
        <w:rPr>
          <w:rFonts w:hint="eastAsia" w:eastAsia="宋体" w:cs="宋体"/>
          <w:color w:val="auto"/>
          <w:kern w:val="0"/>
          <w:sz w:val="24"/>
          <w:highlight w:val="none"/>
          <w:lang w:val="en-US" w:eastAsia="zh-CN"/>
        </w:rPr>
        <w:t>、TN：200</w:t>
      </w:r>
      <w:r>
        <w:rPr>
          <w:rFonts w:hint="eastAsia" w:ascii="Times New Roman" w:hAnsi="Times New Roman" w:eastAsia="宋体" w:cs="宋体"/>
          <w:b w:val="0"/>
          <w:bCs w:val="0"/>
          <w:color w:val="auto"/>
          <w:sz w:val="24"/>
          <w:highlight w:val="none"/>
          <w:lang w:val="en-US" w:eastAsia="zh-CN"/>
        </w:rPr>
        <w:t>mg/L</w:t>
      </w:r>
      <w:r>
        <w:rPr>
          <w:rFonts w:hint="default" w:ascii="Times New Roman" w:hAnsi="Times New Roman" w:eastAsia="宋体" w:cs="宋体"/>
          <w:color w:val="auto"/>
          <w:kern w:val="0"/>
          <w:sz w:val="24"/>
          <w:highlight w:val="none"/>
          <w:lang w:val="en-US" w:eastAsia="zh-CN"/>
        </w:rPr>
        <w:t>。</w:t>
      </w:r>
    </w:p>
    <w:p w14:paraId="2A349C17">
      <w:pPr>
        <w:pStyle w:val="27"/>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480" w:firstLineChars="200"/>
        <w:jc w:val="both"/>
        <w:textAlignment w:val="baseline"/>
        <w:rPr>
          <w:rFonts w:hint="default" w:ascii="Times New Roman" w:hAnsi="Times New Roman" w:eastAsia="宋体" w:cs="宋体"/>
          <w:b w:val="0"/>
          <w:bCs w:val="0"/>
          <w:color w:val="auto"/>
          <w:sz w:val="24"/>
          <w:highlight w:val="none"/>
          <w:lang w:val="en-US" w:eastAsia="zh-CN"/>
        </w:rPr>
      </w:pPr>
      <w:r>
        <w:rPr>
          <w:rFonts w:hint="eastAsia" w:ascii="Times New Roman" w:hAnsi="Times New Roman" w:eastAsia="宋体" w:cs="宋体"/>
          <w:b w:val="0"/>
          <w:bCs w:val="0"/>
          <w:color w:val="auto"/>
          <w:sz w:val="24"/>
          <w:highlight w:val="none"/>
          <w:lang w:val="en-US" w:eastAsia="zh-CN"/>
        </w:rPr>
        <w:t>（3）</w:t>
      </w:r>
      <w:r>
        <w:rPr>
          <w:rFonts w:hint="default" w:ascii="Times New Roman" w:hAnsi="Times New Roman" w:eastAsia="宋体" w:cs="宋体"/>
          <w:bCs/>
          <w:color w:val="auto"/>
          <w:sz w:val="24"/>
          <w:highlight w:val="none"/>
          <w:lang w:val="en-US" w:eastAsia="zh-CN"/>
        </w:rPr>
        <w:t>生产</w:t>
      </w:r>
      <w:r>
        <w:rPr>
          <w:rFonts w:hint="eastAsia" w:ascii="Times New Roman" w:hAnsi="Times New Roman" w:eastAsia="宋体" w:cs="宋体"/>
          <w:bCs/>
          <w:color w:val="auto"/>
          <w:sz w:val="24"/>
          <w:highlight w:val="none"/>
          <w:lang w:val="en-US" w:eastAsia="zh-CN"/>
        </w:rPr>
        <w:t>废水</w:t>
      </w:r>
    </w:p>
    <w:p w14:paraId="54EDB6F4">
      <w:pPr>
        <w:pStyle w:val="18"/>
        <w:snapToGrid w:val="0"/>
        <w:spacing w:line="360" w:lineRule="auto"/>
        <w:ind w:left="174" w:leftChars="83" w:firstLine="240" w:firstLineChars="100"/>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b w:val="0"/>
          <w:bCs w:val="0"/>
          <w:snapToGrid w:val="0"/>
          <w:color w:val="auto"/>
          <w:kern w:val="0"/>
          <w:sz w:val="24"/>
          <w:szCs w:val="24"/>
          <w:highlight w:val="none"/>
          <w:lang w:val="en-US" w:eastAsia="zh-CN" w:bidi="ar-SA"/>
        </w:rPr>
        <w:t>本项目生产</w:t>
      </w:r>
      <w:r>
        <w:rPr>
          <w:rFonts w:hint="eastAsia" w:eastAsia="宋体" w:cs="宋体"/>
          <w:b w:val="0"/>
          <w:bCs w:val="0"/>
          <w:snapToGrid w:val="0"/>
          <w:color w:val="auto"/>
          <w:kern w:val="0"/>
          <w:sz w:val="24"/>
          <w:szCs w:val="24"/>
          <w:highlight w:val="none"/>
          <w:lang w:val="en-US" w:eastAsia="zh-CN" w:bidi="ar-SA"/>
        </w:rPr>
        <w:t>工艺</w:t>
      </w:r>
      <w:r>
        <w:rPr>
          <w:rFonts w:hint="eastAsia" w:ascii="Times New Roman" w:hAnsi="Times New Roman" w:eastAsia="宋体" w:cs="宋体"/>
          <w:b w:val="0"/>
          <w:bCs w:val="0"/>
          <w:snapToGrid w:val="0"/>
          <w:color w:val="auto"/>
          <w:kern w:val="0"/>
          <w:sz w:val="24"/>
          <w:szCs w:val="24"/>
          <w:highlight w:val="none"/>
          <w:lang w:val="en-US" w:eastAsia="zh-CN" w:bidi="ar-SA"/>
        </w:rPr>
        <w:t>废水</w:t>
      </w:r>
      <w:r>
        <w:rPr>
          <w:rFonts w:hint="eastAsia" w:eastAsia="宋体" w:cs="宋体"/>
          <w:b w:val="0"/>
          <w:bCs w:val="0"/>
          <w:snapToGrid w:val="0"/>
          <w:color w:val="auto"/>
          <w:kern w:val="0"/>
          <w:sz w:val="24"/>
          <w:szCs w:val="24"/>
          <w:highlight w:val="none"/>
          <w:lang w:val="en-US" w:eastAsia="zh-CN" w:bidi="ar-SA"/>
        </w:rPr>
        <w:t>排放</w:t>
      </w:r>
      <w:r>
        <w:rPr>
          <w:rFonts w:hint="eastAsia" w:ascii="Times New Roman" w:hAnsi="Times New Roman" w:eastAsia="宋体" w:cs="宋体"/>
          <w:b w:val="0"/>
          <w:bCs w:val="0"/>
          <w:snapToGrid w:val="0"/>
          <w:color w:val="auto"/>
          <w:kern w:val="0"/>
          <w:sz w:val="24"/>
          <w:szCs w:val="24"/>
          <w:highlight w:val="none"/>
          <w:lang w:val="en-US" w:eastAsia="zh-CN" w:bidi="ar-SA"/>
        </w:rPr>
        <w:t>量为</w:t>
      </w:r>
      <w:r>
        <w:rPr>
          <w:rFonts w:hint="eastAsia" w:eastAsia="宋体" w:cs="宋体"/>
          <w:b w:val="0"/>
          <w:bCs w:val="0"/>
          <w:snapToGrid w:val="0"/>
          <w:color w:val="auto"/>
          <w:kern w:val="0"/>
          <w:sz w:val="24"/>
          <w:szCs w:val="24"/>
          <w:highlight w:val="none"/>
          <w:lang w:val="en-US" w:eastAsia="zh-CN" w:bidi="ar-SA"/>
        </w:rPr>
        <w:t>491</w:t>
      </w:r>
      <w:r>
        <w:rPr>
          <w:rFonts w:hint="default" w:ascii="Times New Roman" w:hAnsi="Times New Roman" w:eastAsia="宋体" w:cs="宋体"/>
          <w:b w:val="0"/>
          <w:bCs/>
          <w:color w:val="auto"/>
          <w:sz w:val="24"/>
          <w:highlight w:val="none"/>
        </w:rPr>
        <w:t>m</w:t>
      </w:r>
      <w:r>
        <w:rPr>
          <w:rFonts w:hint="default" w:ascii="Times New Roman" w:hAnsi="Times New Roman" w:eastAsia="宋体" w:cs="宋体"/>
          <w:b w:val="0"/>
          <w:bCs/>
          <w:color w:val="auto"/>
          <w:sz w:val="24"/>
          <w:highlight w:val="none"/>
          <w:vertAlign w:val="superscript"/>
        </w:rPr>
        <w:t>3</w:t>
      </w:r>
      <w:r>
        <w:rPr>
          <w:rFonts w:hint="default" w:ascii="Times New Roman" w:hAnsi="Times New Roman" w:eastAsia="宋体" w:cs="宋体"/>
          <w:b w:val="0"/>
          <w:bCs/>
          <w:color w:val="auto"/>
          <w:sz w:val="24"/>
          <w:highlight w:val="none"/>
          <w:vertAlign w:val="baseline"/>
          <w:lang w:val="en-US" w:eastAsia="zh-CN"/>
        </w:rPr>
        <w:t>/</w:t>
      </w:r>
      <w:r>
        <w:rPr>
          <w:rFonts w:hint="eastAsia" w:eastAsia="宋体" w:cs="宋体"/>
          <w:b w:val="0"/>
          <w:bCs/>
          <w:color w:val="auto"/>
          <w:sz w:val="24"/>
          <w:highlight w:val="none"/>
          <w:vertAlign w:val="baseline"/>
          <w:lang w:val="en-US" w:eastAsia="zh-CN"/>
        </w:rPr>
        <w:t>d。</w:t>
      </w:r>
      <w:r>
        <w:rPr>
          <w:rFonts w:hint="default" w:ascii="Times New Roman" w:hAnsi="Times New Roman" w:eastAsia="宋体" w:cs="宋体"/>
          <w:b w:val="0"/>
          <w:bCs w:val="0"/>
          <w:snapToGrid w:val="0"/>
          <w:color w:val="auto"/>
          <w:kern w:val="0"/>
          <w:sz w:val="24"/>
          <w:szCs w:val="24"/>
          <w:highlight w:val="none"/>
          <w:lang w:val="en-US" w:eastAsia="zh-CN" w:bidi="ar-SA"/>
        </w:rPr>
        <w:t>参照</w:t>
      </w:r>
      <w:r>
        <w:rPr>
          <w:rFonts w:hint="eastAsia" w:eastAsia="宋体" w:cs="宋体"/>
          <w:b w:val="0"/>
          <w:bCs w:val="0"/>
          <w:snapToGrid w:val="0"/>
          <w:color w:val="auto"/>
          <w:kern w:val="0"/>
          <w:sz w:val="24"/>
          <w:szCs w:val="24"/>
          <w:highlight w:val="none"/>
          <w:lang w:val="en-US" w:eastAsia="zh-CN" w:bidi="ar-SA"/>
        </w:rPr>
        <w:t>中国环境科学研究院与中国科学院兰州化学物理研究所编制的《马铃薯淀粉加工废水还田利用研究试点技术规范（试行）》中马铃薯加工废水水质检测数据取平均值</w:t>
      </w:r>
      <w:r>
        <w:rPr>
          <w:rFonts w:hint="default" w:ascii="Times New Roman" w:hAnsi="Times New Roman" w:eastAsia="宋体" w:cs="宋体"/>
          <w:b w:val="0"/>
          <w:bCs w:val="0"/>
          <w:snapToGrid w:val="0"/>
          <w:color w:val="auto"/>
          <w:kern w:val="0"/>
          <w:sz w:val="24"/>
          <w:szCs w:val="24"/>
          <w:highlight w:val="none"/>
          <w:lang w:val="en-US" w:eastAsia="zh-CN" w:bidi="ar-SA"/>
        </w:rPr>
        <w:t>，</w:t>
      </w:r>
      <w:r>
        <w:rPr>
          <w:rFonts w:hint="eastAsia" w:eastAsia="宋体" w:cs="宋体"/>
          <w:b w:val="0"/>
          <w:bCs w:val="0"/>
          <w:snapToGrid w:val="0"/>
          <w:color w:val="auto"/>
          <w:kern w:val="0"/>
          <w:sz w:val="24"/>
          <w:szCs w:val="24"/>
          <w:highlight w:val="none"/>
          <w:lang w:val="en-US" w:eastAsia="zh-CN" w:bidi="ar-SA"/>
        </w:rPr>
        <w:t>马铃薯加工</w:t>
      </w:r>
      <w:r>
        <w:rPr>
          <w:rFonts w:hint="eastAsia" w:ascii="Times New Roman" w:hAnsi="Times New Roman" w:eastAsia="宋体" w:cs="宋体"/>
          <w:b w:val="0"/>
          <w:bCs w:val="0"/>
          <w:snapToGrid w:val="0"/>
          <w:color w:val="auto"/>
          <w:kern w:val="0"/>
          <w:sz w:val="24"/>
          <w:szCs w:val="24"/>
          <w:highlight w:val="none"/>
          <w:lang w:val="en-US" w:eastAsia="zh-CN" w:bidi="ar-SA"/>
        </w:rPr>
        <w:t>废水中主要的污染物</w:t>
      </w:r>
      <w:r>
        <w:rPr>
          <w:rFonts w:hint="eastAsia" w:eastAsia="宋体" w:cs="宋体"/>
          <w:b w:val="0"/>
          <w:bCs w:val="0"/>
          <w:snapToGrid w:val="0"/>
          <w:color w:val="auto"/>
          <w:kern w:val="0"/>
          <w:sz w:val="24"/>
          <w:szCs w:val="24"/>
          <w:highlight w:val="none"/>
          <w:lang w:val="en-US" w:eastAsia="zh-CN" w:bidi="ar-SA"/>
        </w:rPr>
        <w:t>产生浓度分别为：</w:t>
      </w:r>
      <w:r>
        <w:rPr>
          <w:rFonts w:hint="eastAsia" w:ascii="Times New Roman" w:hAnsi="Times New Roman" w:eastAsia="宋体" w:cs="宋体"/>
          <w:b w:val="0"/>
          <w:bCs w:val="0"/>
          <w:snapToGrid w:val="0"/>
          <w:color w:val="auto"/>
          <w:kern w:val="0"/>
          <w:sz w:val="24"/>
          <w:szCs w:val="24"/>
          <w:highlight w:val="none"/>
          <w:lang w:val="en-US" w:eastAsia="zh-CN" w:bidi="ar-SA"/>
        </w:rPr>
        <w:t>COD</w:t>
      </w:r>
      <w:r>
        <w:rPr>
          <w:rFonts w:hint="eastAsia" w:eastAsia="宋体" w:cs="宋体"/>
          <w:b w:val="0"/>
          <w:bCs w:val="0"/>
          <w:snapToGrid w:val="0"/>
          <w:color w:val="auto"/>
          <w:kern w:val="0"/>
          <w:sz w:val="24"/>
          <w:szCs w:val="24"/>
          <w:highlight w:val="none"/>
          <w:vertAlign w:val="subscript"/>
          <w:lang w:val="en-US" w:eastAsia="zh-CN" w:bidi="ar-SA"/>
        </w:rPr>
        <w:t>cr</w:t>
      </w:r>
      <w:r>
        <w:rPr>
          <w:rFonts w:hint="eastAsia" w:eastAsia="宋体" w:cs="宋体"/>
          <w:b w:val="0"/>
          <w:bCs w:val="0"/>
          <w:snapToGrid w:val="0"/>
          <w:color w:val="auto"/>
          <w:kern w:val="0"/>
          <w:sz w:val="24"/>
          <w:szCs w:val="24"/>
          <w:highlight w:val="none"/>
          <w:lang w:val="en-US" w:eastAsia="zh-CN" w:bidi="ar-SA"/>
        </w:rPr>
        <w:t>：39723</w:t>
      </w:r>
      <w:r>
        <w:rPr>
          <w:rFonts w:hint="default" w:ascii="Times New Roman" w:hAnsi="Times New Roman" w:eastAsia="宋体" w:cs="宋体"/>
          <w:b w:val="0"/>
          <w:bCs w:val="0"/>
          <w:snapToGrid w:val="0"/>
          <w:color w:val="auto"/>
          <w:kern w:val="0"/>
          <w:sz w:val="24"/>
          <w:szCs w:val="24"/>
          <w:highlight w:val="none"/>
          <w:lang w:val="en-US" w:eastAsia="zh-CN" w:bidi="ar-SA"/>
        </w:rPr>
        <w:t>mg/L，</w:t>
      </w:r>
      <w:r>
        <w:rPr>
          <w:rFonts w:hint="eastAsia" w:eastAsia="宋体" w:cs="宋体"/>
          <w:b w:val="0"/>
          <w:bCs w:val="0"/>
          <w:snapToGrid w:val="0"/>
          <w:color w:val="auto"/>
          <w:kern w:val="0"/>
          <w:sz w:val="24"/>
          <w:szCs w:val="24"/>
          <w:highlight w:val="none"/>
          <w:lang w:val="en-US" w:eastAsia="zh-CN" w:bidi="ar-SA"/>
        </w:rPr>
        <w:t>BOD</w:t>
      </w:r>
      <w:r>
        <w:rPr>
          <w:rFonts w:hint="eastAsia" w:eastAsia="宋体" w:cs="宋体"/>
          <w:b w:val="0"/>
          <w:bCs w:val="0"/>
          <w:snapToGrid w:val="0"/>
          <w:color w:val="auto"/>
          <w:kern w:val="0"/>
          <w:sz w:val="24"/>
          <w:szCs w:val="24"/>
          <w:highlight w:val="none"/>
          <w:vertAlign w:val="subscript"/>
          <w:lang w:val="en-US" w:eastAsia="zh-CN" w:bidi="ar-SA"/>
        </w:rPr>
        <w:t>5</w:t>
      </w:r>
      <w:r>
        <w:rPr>
          <w:rFonts w:hint="eastAsia" w:eastAsia="宋体" w:cs="宋体"/>
          <w:b w:val="0"/>
          <w:bCs w:val="0"/>
          <w:snapToGrid w:val="0"/>
          <w:color w:val="auto"/>
          <w:kern w:val="0"/>
          <w:sz w:val="24"/>
          <w:szCs w:val="24"/>
          <w:highlight w:val="none"/>
          <w:lang w:val="en-US" w:eastAsia="zh-CN" w:bidi="ar-SA"/>
        </w:rPr>
        <w:t>：30367</w:t>
      </w:r>
      <w:r>
        <w:rPr>
          <w:rFonts w:hint="default" w:ascii="Times New Roman" w:hAnsi="Times New Roman" w:eastAsia="宋体" w:cs="宋体"/>
          <w:b w:val="0"/>
          <w:bCs w:val="0"/>
          <w:snapToGrid w:val="0"/>
          <w:color w:val="auto"/>
          <w:kern w:val="0"/>
          <w:sz w:val="24"/>
          <w:szCs w:val="24"/>
          <w:highlight w:val="none"/>
          <w:lang w:val="en-US" w:eastAsia="zh-CN" w:bidi="ar-SA"/>
        </w:rPr>
        <w:t>mg/L，</w:t>
      </w:r>
      <w:r>
        <w:rPr>
          <w:rFonts w:hint="eastAsia" w:eastAsia="宋体" w:cs="宋体"/>
          <w:b w:val="0"/>
          <w:bCs w:val="0"/>
          <w:snapToGrid w:val="0"/>
          <w:color w:val="auto"/>
          <w:kern w:val="0"/>
          <w:sz w:val="24"/>
          <w:szCs w:val="24"/>
          <w:highlight w:val="none"/>
          <w:lang w:val="en-US" w:eastAsia="zh-CN" w:bidi="ar-SA"/>
        </w:rPr>
        <w:t>SS：6233</w:t>
      </w:r>
      <w:r>
        <w:rPr>
          <w:rFonts w:hint="default" w:ascii="Times New Roman" w:hAnsi="Times New Roman" w:eastAsia="宋体" w:cs="宋体"/>
          <w:b w:val="0"/>
          <w:bCs w:val="0"/>
          <w:snapToGrid w:val="0"/>
          <w:color w:val="auto"/>
          <w:kern w:val="0"/>
          <w:sz w:val="24"/>
          <w:szCs w:val="24"/>
          <w:highlight w:val="none"/>
          <w:lang w:val="en-US" w:eastAsia="zh-CN" w:bidi="ar-SA"/>
        </w:rPr>
        <w:t>mg/L</w:t>
      </w:r>
      <w:r>
        <w:rPr>
          <w:rFonts w:hint="eastAsia" w:eastAsia="宋体" w:cs="宋体"/>
          <w:b w:val="0"/>
          <w:bCs w:val="0"/>
          <w:snapToGrid w:val="0"/>
          <w:color w:val="auto"/>
          <w:kern w:val="0"/>
          <w:sz w:val="24"/>
          <w:szCs w:val="24"/>
          <w:highlight w:val="none"/>
          <w:lang w:val="en-US" w:eastAsia="zh-CN" w:bidi="ar-SA"/>
        </w:rPr>
        <w:t>，</w:t>
      </w:r>
      <w:r>
        <w:rPr>
          <w:rFonts w:hint="default" w:ascii="Times New Roman" w:hAnsi="Times New Roman" w:eastAsia="宋体" w:cs="宋体"/>
          <w:b w:val="0"/>
          <w:bCs w:val="0"/>
          <w:snapToGrid w:val="0"/>
          <w:color w:val="auto"/>
          <w:kern w:val="0"/>
          <w:sz w:val="24"/>
          <w:szCs w:val="24"/>
          <w:highlight w:val="none"/>
          <w:lang w:val="en-US" w:eastAsia="zh-CN" w:bidi="ar-SA"/>
        </w:rPr>
        <w:t>NH</w:t>
      </w:r>
      <w:r>
        <w:rPr>
          <w:rFonts w:hint="default" w:ascii="Times New Roman" w:hAnsi="Times New Roman" w:eastAsia="宋体" w:cs="宋体"/>
          <w:b w:val="0"/>
          <w:bCs w:val="0"/>
          <w:snapToGrid w:val="0"/>
          <w:color w:val="auto"/>
          <w:kern w:val="0"/>
          <w:sz w:val="24"/>
          <w:szCs w:val="24"/>
          <w:highlight w:val="none"/>
          <w:vertAlign w:val="subscript"/>
          <w:lang w:val="en-US" w:eastAsia="zh-CN" w:bidi="ar-SA"/>
        </w:rPr>
        <w:t>3</w:t>
      </w:r>
      <w:r>
        <w:rPr>
          <w:rFonts w:hint="default" w:ascii="Times New Roman" w:hAnsi="Times New Roman" w:eastAsia="宋体" w:cs="宋体"/>
          <w:b w:val="0"/>
          <w:bCs w:val="0"/>
          <w:snapToGrid w:val="0"/>
          <w:color w:val="auto"/>
          <w:kern w:val="0"/>
          <w:sz w:val="24"/>
          <w:szCs w:val="24"/>
          <w:highlight w:val="none"/>
          <w:lang w:val="en-US" w:eastAsia="zh-CN" w:bidi="ar-SA"/>
        </w:rPr>
        <w:t>-N：</w:t>
      </w:r>
      <w:r>
        <w:rPr>
          <w:rFonts w:hint="eastAsia" w:eastAsia="宋体" w:cs="宋体"/>
          <w:b w:val="0"/>
          <w:bCs w:val="0"/>
          <w:snapToGrid w:val="0"/>
          <w:color w:val="auto"/>
          <w:kern w:val="0"/>
          <w:sz w:val="24"/>
          <w:szCs w:val="24"/>
          <w:highlight w:val="none"/>
          <w:lang w:val="en-US" w:eastAsia="zh-CN" w:bidi="ar-SA"/>
        </w:rPr>
        <w:t>265</w:t>
      </w:r>
      <w:r>
        <w:rPr>
          <w:rFonts w:hint="default" w:ascii="Times New Roman" w:hAnsi="Times New Roman" w:eastAsia="宋体" w:cs="宋体"/>
          <w:b w:val="0"/>
          <w:bCs w:val="0"/>
          <w:snapToGrid w:val="0"/>
          <w:color w:val="auto"/>
          <w:kern w:val="0"/>
          <w:sz w:val="24"/>
          <w:szCs w:val="24"/>
          <w:highlight w:val="none"/>
          <w:lang w:val="en-US" w:eastAsia="zh-CN" w:bidi="ar-SA"/>
        </w:rPr>
        <w:t>mg/L，TN：</w:t>
      </w:r>
      <w:r>
        <w:rPr>
          <w:rFonts w:hint="eastAsia" w:eastAsia="宋体" w:cs="宋体"/>
          <w:b w:val="0"/>
          <w:bCs w:val="0"/>
          <w:snapToGrid w:val="0"/>
          <w:color w:val="auto"/>
          <w:kern w:val="0"/>
          <w:sz w:val="24"/>
          <w:szCs w:val="24"/>
          <w:highlight w:val="none"/>
          <w:lang w:val="en-US" w:eastAsia="zh-CN" w:bidi="ar-SA"/>
        </w:rPr>
        <w:t>2413</w:t>
      </w:r>
      <w:r>
        <w:rPr>
          <w:rFonts w:hint="default" w:ascii="Times New Roman" w:hAnsi="Times New Roman" w:eastAsia="宋体" w:cs="宋体"/>
          <w:b w:val="0"/>
          <w:bCs w:val="0"/>
          <w:snapToGrid w:val="0"/>
          <w:color w:val="auto"/>
          <w:kern w:val="0"/>
          <w:sz w:val="24"/>
          <w:szCs w:val="24"/>
          <w:highlight w:val="none"/>
          <w:lang w:val="en-US" w:eastAsia="zh-CN" w:bidi="ar-SA"/>
        </w:rPr>
        <w:t>mg/L。</w:t>
      </w:r>
    </w:p>
    <w:p w14:paraId="305644B6">
      <w:pPr>
        <w:adjustRightInd w:val="0"/>
        <w:snapToGrid w:val="0"/>
        <w:spacing w:line="276" w:lineRule="auto"/>
        <w:ind w:firstLine="602" w:firstLineChars="250"/>
        <w:jc w:val="center"/>
        <w:rPr>
          <w:rFonts w:hint="eastAsia" w:ascii="Times New Roman" w:hAnsi="Times New Roman" w:eastAsia="宋体" w:cs="宋体"/>
          <w:b/>
          <w:color w:val="auto"/>
          <w:kern w:val="10"/>
          <w:sz w:val="24"/>
          <w:szCs w:val="20"/>
          <w:highlight w:val="none"/>
          <w:lang w:val="en-US" w:eastAsia="zh-CN"/>
        </w:rPr>
      </w:pPr>
      <w:r>
        <w:rPr>
          <w:rFonts w:hint="eastAsia" w:ascii="Times New Roman" w:hAnsi="Times New Roman" w:eastAsia="宋体" w:cs="宋体"/>
          <w:b/>
          <w:color w:val="auto"/>
          <w:kern w:val="10"/>
          <w:sz w:val="24"/>
          <w:szCs w:val="20"/>
          <w:highlight w:val="none"/>
          <w:lang w:val="en-US" w:eastAsia="zh-CN"/>
        </w:rPr>
        <w:t>表4-8   本项目废水污染物排放情况汇总表</w:t>
      </w:r>
    </w:p>
    <w:tbl>
      <w:tblPr>
        <w:tblStyle w:val="21"/>
        <w:tblW w:w="501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1271"/>
        <w:gridCol w:w="1554"/>
        <w:gridCol w:w="1232"/>
        <w:gridCol w:w="1164"/>
        <w:gridCol w:w="1177"/>
        <w:gridCol w:w="1065"/>
        <w:gridCol w:w="880"/>
      </w:tblGrid>
      <w:tr w14:paraId="61D2BE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2" w:hRule="atLeast"/>
          <w:jc w:val="center"/>
        </w:trPr>
        <w:tc>
          <w:tcPr>
            <w:tcW w:w="1692" w:type="pct"/>
            <w:gridSpan w:val="2"/>
            <w:tcBorders>
              <w:tl2br w:val="nil"/>
              <w:tr2bl w:val="nil"/>
            </w:tcBorders>
            <w:noWrap w:val="0"/>
            <w:vAlign w:val="center"/>
          </w:tcPr>
          <w:p w14:paraId="4C9673FC">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ascii="Times New Roman" w:hAnsi="Times New Roman" w:eastAsia="宋体" w:cs="宋体"/>
                <w:b/>
                <w:bCs/>
                <w:color w:val="auto"/>
                <w:highlight w:val="none"/>
              </w:rPr>
            </w:pPr>
            <w:r>
              <w:rPr>
                <w:rFonts w:ascii="Times New Roman" w:hAnsi="Times New Roman" w:eastAsia="宋体" w:cs="宋体"/>
                <w:b/>
                <w:bCs/>
                <w:color w:val="auto"/>
                <w:highlight w:val="none"/>
              </w:rPr>
              <w:t>污染源名称</w:t>
            </w:r>
          </w:p>
        </w:tc>
        <w:tc>
          <w:tcPr>
            <w:tcW w:w="738" w:type="pct"/>
            <w:tcBorders>
              <w:tl2br w:val="nil"/>
              <w:tr2bl w:val="nil"/>
            </w:tcBorders>
            <w:noWrap w:val="0"/>
            <w:vAlign w:val="center"/>
          </w:tcPr>
          <w:p w14:paraId="1359D11D">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hint="eastAsia" w:ascii="Times New Roman" w:hAnsi="Times New Roman" w:eastAsia="宋体" w:cs="宋体"/>
                <w:b/>
                <w:bCs/>
                <w:color w:val="auto"/>
                <w:szCs w:val="21"/>
                <w:highlight w:val="none"/>
                <w:lang w:val="en-US" w:eastAsia="zh-CN"/>
              </w:rPr>
            </w:pPr>
            <w:r>
              <w:rPr>
                <w:rFonts w:ascii="Times New Roman" w:hAnsi="Times New Roman" w:eastAsia="宋体" w:cs="宋体"/>
                <w:b/>
                <w:bCs/>
                <w:color w:val="auto"/>
                <w:szCs w:val="21"/>
                <w:highlight w:val="none"/>
                <w:u w:val="none"/>
              </w:rPr>
              <w:t>COD</w:t>
            </w:r>
            <w:r>
              <w:rPr>
                <w:rFonts w:hint="eastAsia" w:eastAsia="宋体" w:cs="宋体"/>
                <w:b/>
                <w:bCs/>
                <w:color w:val="auto"/>
                <w:szCs w:val="21"/>
                <w:highlight w:val="none"/>
                <w:u w:val="none"/>
                <w:vertAlign w:val="subscript"/>
                <w:lang w:val="en-US" w:eastAsia="zh-CN"/>
              </w:rPr>
              <w:t>cr</w:t>
            </w:r>
          </w:p>
        </w:tc>
        <w:tc>
          <w:tcPr>
            <w:tcW w:w="697" w:type="pct"/>
            <w:tcBorders>
              <w:tl2br w:val="nil"/>
              <w:tr2bl w:val="nil"/>
            </w:tcBorders>
            <w:noWrap w:val="0"/>
            <w:vAlign w:val="center"/>
          </w:tcPr>
          <w:p w14:paraId="7EBF8C42">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ascii="Times New Roman" w:hAnsi="Times New Roman" w:eastAsia="宋体" w:cs="宋体"/>
                <w:b/>
                <w:bCs/>
                <w:color w:val="auto"/>
                <w:szCs w:val="21"/>
                <w:highlight w:val="none"/>
              </w:rPr>
            </w:pPr>
            <w:r>
              <w:rPr>
                <w:rFonts w:ascii="Times New Roman" w:hAnsi="Times New Roman" w:eastAsia="宋体" w:cs="宋体"/>
                <w:b/>
                <w:bCs/>
                <w:color w:val="auto"/>
                <w:szCs w:val="21"/>
                <w:highlight w:val="none"/>
              </w:rPr>
              <w:t>BOD</w:t>
            </w:r>
            <w:r>
              <w:rPr>
                <w:rFonts w:ascii="Times New Roman" w:hAnsi="Times New Roman" w:eastAsia="宋体" w:cs="宋体"/>
                <w:b/>
                <w:bCs/>
                <w:color w:val="auto"/>
                <w:szCs w:val="21"/>
                <w:highlight w:val="none"/>
                <w:vertAlign w:val="subscript"/>
              </w:rPr>
              <w:t>5</w:t>
            </w:r>
          </w:p>
        </w:tc>
        <w:tc>
          <w:tcPr>
            <w:tcW w:w="705" w:type="pct"/>
            <w:tcBorders>
              <w:tl2br w:val="nil"/>
              <w:tr2bl w:val="nil"/>
            </w:tcBorders>
            <w:noWrap w:val="0"/>
            <w:vAlign w:val="center"/>
          </w:tcPr>
          <w:p w14:paraId="46DB451D">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ascii="Times New Roman" w:hAnsi="Times New Roman" w:eastAsia="宋体" w:cs="宋体"/>
                <w:b/>
                <w:bCs/>
                <w:color w:val="auto"/>
                <w:szCs w:val="21"/>
                <w:highlight w:val="none"/>
              </w:rPr>
            </w:pPr>
            <w:r>
              <w:rPr>
                <w:rFonts w:ascii="Times New Roman" w:hAnsi="Times New Roman" w:eastAsia="宋体" w:cs="宋体"/>
                <w:b/>
                <w:bCs/>
                <w:color w:val="auto"/>
                <w:szCs w:val="21"/>
                <w:highlight w:val="none"/>
              </w:rPr>
              <w:t>SS</w:t>
            </w:r>
          </w:p>
        </w:tc>
        <w:tc>
          <w:tcPr>
            <w:tcW w:w="638" w:type="pct"/>
            <w:tcBorders>
              <w:tl2br w:val="nil"/>
              <w:tr2bl w:val="nil"/>
            </w:tcBorders>
            <w:noWrap w:val="0"/>
            <w:vAlign w:val="center"/>
          </w:tcPr>
          <w:p w14:paraId="08A1DC1B">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ascii="Times New Roman" w:hAnsi="Times New Roman" w:eastAsia="宋体" w:cs="宋体"/>
                <w:b/>
                <w:bCs/>
                <w:color w:val="auto"/>
                <w:szCs w:val="21"/>
                <w:highlight w:val="none"/>
              </w:rPr>
            </w:pPr>
            <w:r>
              <w:rPr>
                <w:rFonts w:ascii="Times New Roman" w:hAnsi="Times New Roman" w:eastAsia="宋体" w:cs="宋体"/>
                <w:b/>
                <w:bCs/>
                <w:color w:val="auto"/>
                <w:szCs w:val="21"/>
                <w:highlight w:val="none"/>
              </w:rPr>
              <w:t>氨氮</w:t>
            </w:r>
          </w:p>
        </w:tc>
        <w:tc>
          <w:tcPr>
            <w:tcW w:w="527" w:type="pct"/>
            <w:tcBorders>
              <w:tl2br w:val="nil"/>
              <w:tr2bl w:val="nil"/>
            </w:tcBorders>
            <w:noWrap w:val="0"/>
            <w:vAlign w:val="center"/>
          </w:tcPr>
          <w:p w14:paraId="22EDEACD">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hint="default" w:ascii="Times New Roman" w:hAnsi="Times New Roman" w:eastAsia="宋体" w:cs="宋体"/>
                <w:b/>
                <w:bCs/>
                <w:color w:val="auto"/>
                <w:szCs w:val="21"/>
                <w:highlight w:val="none"/>
                <w:lang w:val="en-US" w:eastAsia="zh-CN"/>
              </w:rPr>
            </w:pPr>
            <w:r>
              <w:rPr>
                <w:rFonts w:hint="eastAsia" w:ascii="Times New Roman" w:hAnsi="Times New Roman" w:eastAsia="宋体" w:cs="宋体"/>
                <w:b/>
                <w:bCs/>
                <w:color w:val="auto"/>
                <w:szCs w:val="21"/>
                <w:highlight w:val="none"/>
                <w:lang w:val="en-US" w:eastAsia="zh-CN"/>
              </w:rPr>
              <w:t>TN</w:t>
            </w:r>
          </w:p>
        </w:tc>
      </w:tr>
      <w:tr w14:paraId="58FDD3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51" w:hRule="atLeast"/>
          <w:jc w:val="center"/>
        </w:trPr>
        <w:tc>
          <w:tcPr>
            <w:tcW w:w="761" w:type="pct"/>
            <w:vMerge w:val="restart"/>
            <w:tcBorders>
              <w:tl2br w:val="nil"/>
              <w:tr2bl w:val="nil"/>
            </w:tcBorders>
            <w:noWrap w:val="0"/>
            <w:vAlign w:val="center"/>
          </w:tcPr>
          <w:p w14:paraId="17E28B52">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hint="eastAsia" w:ascii="Times New Roman" w:hAnsi="Times New Roman" w:eastAsia="宋体" w:cs="宋体"/>
                <w:color w:val="auto"/>
                <w:highlight w:val="none"/>
                <w:lang w:val="en-US" w:eastAsia="zh-CN"/>
              </w:rPr>
            </w:pPr>
            <w:r>
              <w:rPr>
                <w:rFonts w:ascii="Times New Roman" w:hAnsi="Times New Roman" w:eastAsia="宋体" w:cs="宋体"/>
                <w:color w:val="auto"/>
                <w:highlight w:val="none"/>
              </w:rPr>
              <w:t>生活污水</w:t>
            </w:r>
            <w:r>
              <w:rPr>
                <w:rFonts w:hint="eastAsia" w:eastAsia="宋体" w:cs="宋体"/>
                <w:color w:val="auto"/>
                <w:highlight w:val="none"/>
                <w:lang w:val="en-US" w:eastAsia="zh-CN"/>
              </w:rPr>
              <w:t>259.2</w:t>
            </w:r>
            <w:r>
              <w:rPr>
                <w:rFonts w:hint="eastAsia" w:ascii="Times New Roman" w:hAnsi="Times New Roman" w:eastAsia="宋体" w:cs="宋体"/>
                <w:color w:val="auto"/>
                <w:highlight w:val="none"/>
              </w:rPr>
              <w:t>m</w:t>
            </w:r>
            <w:r>
              <w:rPr>
                <w:rFonts w:hint="eastAsia" w:ascii="Times New Roman" w:hAnsi="Times New Roman" w:eastAsia="宋体" w:cs="宋体"/>
                <w:color w:val="auto"/>
                <w:highlight w:val="none"/>
                <w:vertAlign w:val="superscript"/>
              </w:rPr>
              <w:t>3</w:t>
            </w:r>
            <w:r>
              <w:rPr>
                <w:rFonts w:hint="eastAsia" w:ascii="Times New Roman" w:hAnsi="Times New Roman" w:eastAsia="宋体" w:cs="宋体"/>
                <w:color w:val="auto"/>
                <w:highlight w:val="none"/>
              </w:rPr>
              <w:t>/</w:t>
            </w:r>
            <w:r>
              <w:rPr>
                <w:rFonts w:hint="eastAsia" w:eastAsia="宋体" w:cs="宋体"/>
                <w:color w:val="auto"/>
                <w:highlight w:val="none"/>
                <w:lang w:val="en-US" w:eastAsia="zh-CN"/>
              </w:rPr>
              <w:t>a</w:t>
            </w:r>
          </w:p>
        </w:tc>
        <w:tc>
          <w:tcPr>
            <w:tcW w:w="931" w:type="pct"/>
            <w:tcBorders>
              <w:tl2br w:val="nil"/>
              <w:tr2bl w:val="nil"/>
            </w:tcBorders>
            <w:noWrap w:val="0"/>
            <w:vAlign w:val="center"/>
          </w:tcPr>
          <w:p w14:paraId="27D0416D">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hint="eastAsia" w:ascii="Times New Roman" w:hAnsi="Times New Roman" w:eastAsia="宋体" w:cs="宋体"/>
                <w:color w:val="auto"/>
                <w:highlight w:val="none"/>
              </w:rPr>
            </w:pPr>
            <w:r>
              <w:rPr>
                <w:rFonts w:ascii="Times New Roman" w:hAnsi="Times New Roman" w:eastAsia="宋体" w:cs="宋体"/>
                <w:color w:val="auto"/>
                <w:highlight w:val="none"/>
              </w:rPr>
              <w:t>进水水质</w:t>
            </w:r>
          </w:p>
          <w:p w14:paraId="35A5EF11">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ascii="Times New Roman" w:hAnsi="Times New Roman" w:eastAsia="宋体" w:cs="宋体"/>
                <w:color w:val="auto"/>
                <w:highlight w:val="none"/>
              </w:rPr>
            </w:pPr>
            <w:r>
              <w:rPr>
                <w:rFonts w:ascii="Times New Roman" w:hAnsi="Times New Roman" w:eastAsia="宋体" w:cs="宋体"/>
                <w:color w:val="auto"/>
                <w:highlight w:val="none"/>
              </w:rPr>
              <w:t>（mg/L）</w:t>
            </w:r>
          </w:p>
        </w:tc>
        <w:tc>
          <w:tcPr>
            <w:tcW w:w="1232" w:type="dxa"/>
            <w:tcBorders>
              <w:tl2br w:val="nil"/>
              <w:tr2bl w:val="nil"/>
            </w:tcBorders>
            <w:noWrap w:val="0"/>
            <w:vAlign w:val="center"/>
          </w:tcPr>
          <w:p w14:paraId="24C5570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350</w:t>
            </w:r>
          </w:p>
        </w:tc>
        <w:tc>
          <w:tcPr>
            <w:tcW w:w="1164" w:type="dxa"/>
            <w:tcBorders>
              <w:tl2br w:val="nil"/>
              <w:tr2bl w:val="nil"/>
            </w:tcBorders>
            <w:noWrap w:val="0"/>
            <w:vAlign w:val="center"/>
          </w:tcPr>
          <w:p w14:paraId="37C98B5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180</w:t>
            </w:r>
          </w:p>
        </w:tc>
        <w:tc>
          <w:tcPr>
            <w:tcW w:w="1177" w:type="dxa"/>
            <w:tcBorders>
              <w:tl2br w:val="nil"/>
              <w:tr2bl w:val="nil"/>
            </w:tcBorders>
            <w:noWrap w:val="0"/>
            <w:vAlign w:val="center"/>
          </w:tcPr>
          <w:p w14:paraId="76FB814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200</w:t>
            </w:r>
          </w:p>
        </w:tc>
        <w:tc>
          <w:tcPr>
            <w:tcW w:w="1065" w:type="dxa"/>
            <w:tcBorders>
              <w:tl2br w:val="nil"/>
              <w:tr2bl w:val="nil"/>
            </w:tcBorders>
            <w:noWrap w:val="0"/>
            <w:vAlign w:val="center"/>
          </w:tcPr>
          <w:p w14:paraId="2512414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30</w:t>
            </w:r>
          </w:p>
        </w:tc>
        <w:tc>
          <w:tcPr>
            <w:tcW w:w="880" w:type="dxa"/>
            <w:tcBorders>
              <w:tl2br w:val="nil"/>
              <w:tr2bl w:val="nil"/>
            </w:tcBorders>
            <w:noWrap w:val="0"/>
            <w:vAlign w:val="center"/>
          </w:tcPr>
          <w:p w14:paraId="0DDD5D8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30</w:t>
            </w:r>
          </w:p>
        </w:tc>
      </w:tr>
      <w:tr w14:paraId="55D212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12" w:hRule="atLeast"/>
          <w:jc w:val="center"/>
        </w:trPr>
        <w:tc>
          <w:tcPr>
            <w:tcW w:w="761" w:type="pct"/>
            <w:vMerge w:val="continue"/>
            <w:tcBorders>
              <w:tl2br w:val="nil"/>
              <w:tr2bl w:val="nil"/>
            </w:tcBorders>
            <w:noWrap w:val="0"/>
            <w:vAlign w:val="center"/>
          </w:tcPr>
          <w:p w14:paraId="7E31BDC2">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ascii="Times New Roman" w:hAnsi="Times New Roman" w:eastAsia="宋体" w:cs="宋体"/>
                <w:color w:val="auto"/>
                <w:highlight w:val="none"/>
              </w:rPr>
            </w:pPr>
          </w:p>
        </w:tc>
        <w:tc>
          <w:tcPr>
            <w:tcW w:w="931" w:type="pct"/>
            <w:tcBorders>
              <w:tl2br w:val="nil"/>
              <w:tr2bl w:val="nil"/>
            </w:tcBorders>
            <w:noWrap w:val="0"/>
            <w:vAlign w:val="center"/>
          </w:tcPr>
          <w:p w14:paraId="7CC0959C">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ascii="Times New Roman" w:hAnsi="Times New Roman" w:eastAsia="宋体" w:cs="宋体"/>
                <w:color w:val="auto"/>
                <w:highlight w:val="none"/>
              </w:rPr>
            </w:pPr>
            <w:r>
              <w:rPr>
                <w:rFonts w:ascii="Times New Roman" w:hAnsi="Times New Roman" w:eastAsia="宋体" w:cs="宋体"/>
                <w:color w:val="auto"/>
                <w:highlight w:val="none"/>
              </w:rPr>
              <w:t>污染物产生量</w:t>
            </w:r>
          </w:p>
          <w:p w14:paraId="3E67C007">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ascii="Times New Roman" w:hAnsi="Times New Roman" w:eastAsia="宋体" w:cs="宋体"/>
                <w:color w:val="auto"/>
                <w:highlight w:val="none"/>
              </w:rPr>
            </w:pPr>
            <w:r>
              <w:rPr>
                <w:rFonts w:ascii="Times New Roman" w:hAnsi="Times New Roman" w:eastAsia="宋体" w:cs="宋体"/>
                <w:color w:val="auto"/>
                <w:highlight w:val="none"/>
              </w:rPr>
              <w:t>（t/a）</w:t>
            </w:r>
          </w:p>
        </w:tc>
        <w:tc>
          <w:tcPr>
            <w:tcW w:w="1232" w:type="dxa"/>
            <w:tcBorders>
              <w:tl2br w:val="nil"/>
              <w:tr2bl w:val="nil"/>
            </w:tcBorders>
            <w:noWrap w:val="0"/>
            <w:vAlign w:val="center"/>
          </w:tcPr>
          <w:p w14:paraId="22EF231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u w:val="none"/>
                <w:lang w:val="en-US" w:eastAsia="zh-CN" w:bidi="ar"/>
              </w:rPr>
              <w:t>0.09</w:t>
            </w:r>
          </w:p>
        </w:tc>
        <w:tc>
          <w:tcPr>
            <w:tcW w:w="1164" w:type="dxa"/>
            <w:tcBorders>
              <w:tl2br w:val="nil"/>
              <w:tr2bl w:val="nil"/>
            </w:tcBorders>
            <w:noWrap w:val="0"/>
            <w:vAlign w:val="center"/>
          </w:tcPr>
          <w:p w14:paraId="7385CDF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u w:val="none"/>
                <w:lang w:val="en-US" w:eastAsia="zh-CN" w:bidi="ar"/>
              </w:rPr>
              <w:t>0.05</w:t>
            </w:r>
          </w:p>
        </w:tc>
        <w:tc>
          <w:tcPr>
            <w:tcW w:w="1177" w:type="dxa"/>
            <w:tcBorders>
              <w:tl2br w:val="nil"/>
              <w:tr2bl w:val="nil"/>
            </w:tcBorders>
            <w:noWrap w:val="0"/>
            <w:vAlign w:val="center"/>
          </w:tcPr>
          <w:p w14:paraId="3CD9585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u w:val="none"/>
                <w:lang w:val="en-US" w:eastAsia="zh-CN" w:bidi="ar"/>
              </w:rPr>
              <w:t>0.05</w:t>
            </w:r>
          </w:p>
        </w:tc>
        <w:tc>
          <w:tcPr>
            <w:tcW w:w="1065" w:type="dxa"/>
            <w:tcBorders>
              <w:tl2br w:val="nil"/>
              <w:tr2bl w:val="nil"/>
            </w:tcBorders>
            <w:noWrap w:val="0"/>
            <w:vAlign w:val="center"/>
          </w:tcPr>
          <w:p w14:paraId="24A592E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u w:val="none"/>
                <w:lang w:val="en-US" w:eastAsia="zh-CN" w:bidi="ar"/>
              </w:rPr>
              <w:t>0.01</w:t>
            </w:r>
          </w:p>
        </w:tc>
        <w:tc>
          <w:tcPr>
            <w:tcW w:w="880" w:type="dxa"/>
            <w:tcBorders>
              <w:tl2br w:val="nil"/>
              <w:tr2bl w:val="nil"/>
            </w:tcBorders>
            <w:noWrap w:val="0"/>
            <w:vAlign w:val="center"/>
          </w:tcPr>
          <w:p w14:paraId="338FB1F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0.01</w:t>
            </w:r>
          </w:p>
        </w:tc>
      </w:tr>
      <w:tr w14:paraId="1CDC8A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12" w:hRule="atLeast"/>
          <w:jc w:val="center"/>
        </w:trPr>
        <w:tc>
          <w:tcPr>
            <w:tcW w:w="761" w:type="pct"/>
            <w:vMerge w:val="restart"/>
            <w:tcBorders>
              <w:tl2br w:val="nil"/>
              <w:tr2bl w:val="nil"/>
            </w:tcBorders>
            <w:noWrap w:val="0"/>
            <w:vAlign w:val="center"/>
          </w:tcPr>
          <w:p w14:paraId="2183E2D6">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hint="default" w:ascii="Times New Roman" w:hAnsi="Times New Roman" w:eastAsia="宋体" w:cs="宋体"/>
                <w:color w:val="auto"/>
                <w:highlight w:val="none"/>
                <w:lang w:val="en-US" w:eastAsia="zh-CN"/>
              </w:rPr>
            </w:pPr>
            <w:r>
              <w:rPr>
                <w:rFonts w:hint="eastAsia" w:eastAsia="宋体" w:cs="宋体"/>
                <w:color w:val="auto"/>
                <w:highlight w:val="none"/>
                <w:lang w:val="en-US" w:eastAsia="zh-CN"/>
              </w:rPr>
              <w:t>清洗废水556</w:t>
            </w:r>
            <w:r>
              <w:rPr>
                <w:rFonts w:hint="eastAsia" w:ascii="Times New Roman" w:hAnsi="Times New Roman" w:eastAsia="宋体" w:cs="宋体"/>
                <w:color w:val="auto"/>
                <w:highlight w:val="none"/>
              </w:rPr>
              <w:t>m</w:t>
            </w:r>
            <w:r>
              <w:rPr>
                <w:rFonts w:hint="eastAsia" w:ascii="Times New Roman" w:hAnsi="Times New Roman" w:eastAsia="宋体" w:cs="宋体"/>
                <w:color w:val="auto"/>
                <w:highlight w:val="none"/>
                <w:vertAlign w:val="superscript"/>
              </w:rPr>
              <w:t>3</w:t>
            </w:r>
            <w:r>
              <w:rPr>
                <w:rFonts w:hint="eastAsia" w:ascii="Times New Roman" w:hAnsi="Times New Roman" w:eastAsia="宋体" w:cs="宋体"/>
                <w:color w:val="auto"/>
                <w:highlight w:val="none"/>
              </w:rPr>
              <w:t>/</w:t>
            </w:r>
            <w:r>
              <w:rPr>
                <w:rFonts w:hint="eastAsia" w:eastAsia="宋体" w:cs="宋体"/>
                <w:color w:val="auto"/>
                <w:highlight w:val="none"/>
                <w:lang w:val="en-US" w:eastAsia="zh-CN"/>
              </w:rPr>
              <w:t>a</w:t>
            </w:r>
          </w:p>
        </w:tc>
        <w:tc>
          <w:tcPr>
            <w:tcW w:w="1554" w:type="dxa"/>
            <w:tcBorders>
              <w:tl2br w:val="nil"/>
              <w:tr2bl w:val="nil"/>
            </w:tcBorders>
            <w:noWrap w:val="0"/>
            <w:vAlign w:val="center"/>
          </w:tcPr>
          <w:p w14:paraId="3B83415E">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hint="eastAsia" w:ascii="Times New Roman" w:hAnsi="Times New Roman" w:eastAsia="宋体" w:cs="宋体"/>
                <w:color w:val="auto"/>
                <w:highlight w:val="none"/>
              </w:rPr>
            </w:pPr>
            <w:r>
              <w:rPr>
                <w:rFonts w:ascii="Times New Roman" w:hAnsi="Times New Roman" w:eastAsia="宋体" w:cs="宋体"/>
                <w:color w:val="auto"/>
                <w:highlight w:val="none"/>
              </w:rPr>
              <w:t>进水水质</w:t>
            </w:r>
          </w:p>
          <w:p w14:paraId="4235CE3E">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宋体"/>
                <w:color w:val="auto"/>
                <w:highlight w:val="none"/>
              </w:rPr>
            </w:pPr>
            <w:r>
              <w:rPr>
                <w:rFonts w:ascii="Times New Roman" w:hAnsi="Times New Roman" w:eastAsia="宋体" w:cs="宋体"/>
                <w:color w:val="auto"/>
                <w:highlight w:val="none"/>
              </w:rPr>
              <w:t>（mg/L）</w:t>
            </w:r>
          </w:p>
        </w:tc>
        <w:tc>
          <w:tcPr>
            <w:tcW w:w="1232" w:type="dxa"/>
            <w:tcBorders>
              <w:tl2br w:val="nil"/>
              <w:tr2bl w:val="nil"/>
            </w:tcBorders>
            <w:noWrap w:val="0"/>
            <w:vAlign w:val="center"/>
          </w:tcPr>
          <w:p w14:paraId="60F484B7">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1500</w:t>
            </w:r>
          </w:p>
        </w:tc>
        <w:tc>
          <w:tcPr>
            <w:tcW w:w="1164" w:type="dxa"/>
            <w:tcBorders>
              <w:tl2br w:val="nil"/>
              <w:tr2bl w:val="nil"/>
            </w:tcBorders>
            <w:noWrap w:val="0"/>
            <w:vAlign w:val="center"/>
          </w:tcPr>
          <w:p w14:paraId="6F756C6B">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360</w:t>
            </w:r>
          </w:p>
        </w:tc>
        <w:tc>
          <w:tcPr>
            <w:tcW w:w="1177" w:type="dxa"/>
            <w:tcBorders>
              <w:tl2br w:val="nil"/>
              <w:tr2bl w:val="nil"/>
            </w:tcBorders>
            <w:noWrap w:val="0"/>
            <w:vAlign w:val="center"/>
          </w:tcPr>
          <w:p w14:paraId="2B1ED3F6">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2400</w:t>
            </w:r>
          </w:p>
        </w:tc>
        <w:tc>
          <w:tcPr>
            <w:tcW w:w="1065" w:type="dxa"/>
            <w:tcBorders>
              <w:tl2br w:val="nil"/>
              <w:tr2bl w:val="nil"/>
            </w:tcBorders>
            <w:noWrap w:val="0"/>
            <w:vAlign w:val="center"/>
          </w:tcPr>
          <w:p w14:paraId="7F3409E3">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5</w:t>
            </w:r>
            <w:r>
              <w:rPr>
                <w:rFonts w:hint="eastAsia" w:ascii="Times New Roman" w:hAnsi="Times New Roman" w:eastAsia="宋体" w:cs="Times New Roman"/>
                <w:i w:val="0"/>
                <w:iCs w:val="0"/>
                <w:snapToGrid w:val="0"/>
                <w:color w:val="auto"/>
                <w:kern w:val="0"/>
                <w:sz w:val="21"/>
                <w:szCs w:val="21"/>
                <w:u w:val="none"/>
                <w:lang w:val="en-US" w:eastAsia="zh-CN" w:bidi="ar"/>
              </w:rPr>
              <w:t>.00</w:t>
            </w:r>
          </w:p>
        </w:tc>
        <w:tc>
          <w:tcPr>
            <w:tcW w:w="880" w:type="dxa"/>
            <w:tcBorders>
              <w:tl2br w:val="nil"/>
              <w:tr2bl w:val="nil"/>
            </w:tcBorders>
            <w:noWrap w:val="0"/>
            <w:vAlign w:val="center"/>
          </w:tcPr>
          <w:p w14:paraId="0E305B9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200</w:t>
            </w:r>
          </w:p>
        </w:tc>
      </w:tr>
      <w:tr w14:paraId="012827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12" w:hRule="atLeast"/>
          <w:jc w:val="center"/>
        </w:trPr>
        <w:tc>
          <w:tcPr>
            <w:tcW w:w="761" w:type="pct"/>
            <w:vMerge w:val="continue"/>
            <w:tcBorders>
              <w:tl2br w:val="nil"/>
              <w:tr2bl w:val="nil"/>
            </w:tcBorders>
            <w:noWrap w:val="0"/>
            <w:vAlign w:val="center"/>
          </w:tcPr>
          <w:p w14:paraId="03DF6CD3">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ascii="Times New Roman" w:hAnsi="Times New Roman" w:eastAsia="宋体" w:cs="宋体"/>
                <w:color w:val="auto"/>
                <w:highlight w:val="none"/>
              </w:rPr>
            </w:pPr>
          </w:p>
        </w:tc>
        <w:tc>
          <w:tcPr>
            <w:tcW w:w="1554" w:type="dxa"/>
            <w:tcBorders>
              <w:tl2br w:val="nil"/>
              <w:tr2bl w:val="nil"/>
            </w:tcBorders>
            <w:noWrap w:val="0"/>
            <w:vAlign w:val="center"/>
          </w:tcPr>
          <w:p w14:paraId="6CAD0A32">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ascii="Times New Roman" w:hAnsi="Times New Roman" w:eastAsia="宋体" w:cs="宋体"/>
                <w:color w:val="auto"/>
                <w:highlight w:val="none"/>
              </w:rPr>
            </w:pPr>
            <w:r>
              <w:rPr>
                <w:rFonts w:ascii="Times New Roman" w:hAnsi="Times New Roman" w:eastAsia="宋体" w:cs="宋体"/>
                <w:color w:val="auto"/>
                <w:highlight w:val="none"/>
              </w:rPr>
              <w:t>污染物产生量</w:t>
            </w:r>
          </w:p>
          <w:p w14:paraId="403FCCD1">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宋体"/>
                <w:color w:val="auto"/>
                <w:highlight w:val="none"/>
              </w:rPr>
            </w:pPr>
            <w:r>
              <w:rPr>
                <w:rFonts w:ascii="Times New Roman" w:hAnsi="Times New Roman" w:eastAsia="宋体" w:cs="宋体"/>
                <w:color w:val="auto"/>
                <w:highlight w:val="none"/>
              </w:rPr>
              <w:t>（t/a）</w:t>
            </w:r>
          </w:p>
        </w:tc>
        <w:tc>
          <w:tcPr>
            <w:tcW w:w="1232" w:type="dxa"/>
            <w:tcBorders>
              <w:tl2br w:val="nil"/>
              <w:tr2bl w:val="nil"/>
            </w:tcBorders>
            <w:noWrap w:val="0"/>
            <w:vAlign w:val="center"/>
          </w:tcPr>
          <w:p w14:paraId="10FEDAD1">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0.83</w:t>
            </w:r>
          </w:p>
        </w:tc>
        <w:tc>
          <w:tcPr>
            <w:tcW w:w="1164" w:type="dxa"/>
            <w:tcBorders>
              <w:tl2br w:val="nil"/>
              <w:tr2bl w:val="nil"/>
            </w:tcBorders>
            <w:noWrap w:val="0"/>
            <w:vAlign w:val="center"/>
          </w:tcPr>
          <w:p w14:paraId="20B76AB8">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0.20</w:t>
            </w:r>
          </w:p>
        </w:tc>
        <w:tc>
          <w:tcPr>
            <w:tcW w:w="1177" w:type="dxa"/>
            <w:tcBorders>
              <w:tl2br w:val="nil"/>
              <w:tr2bl w:val="nil"/>
            </w:tcBorders>
            <w:noWrap w:val="0"/>
            <w:vAlign w:val="center"/>
          </w:tcPr>
          <w:p w14:paraId="28B80A79">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1.33</w:t>
            </w:r>
          </w:p>
        </w:tc>
        <w:tc>
          <w:tcPr>
            <w:tcW w:w="1065" w:type="dxa"/>
            <w:tcBorders>
              <w:tl2br w:val="nil"/>
              <w:tr2bl w:val="nil"/>
            </w:tcBorders>
            <w:noWrap w:val="0"/>
            <w:vAlign w:val="center"/>
          </w:tcPr>
          <w:p w14:paraId="1856FD08">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0.00</w:t>
            </w:r>
          </w:p>
        </w:tc>
        <w:tc>
          <w:tcPr>
            <w:tcW w:w="880" w:type="dxa"/>
            <w:tcBorders>
              <w:tl2br w:val="nil"/>
              <w:tr2bl w:val="nil"/>
            </w:tcBorders>
            <w:noWrap w:val="0"/>
            <w:vAlign w:val="center"/>
          </w:tcPr>
          <w:p w14:paraId="3BD82D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0.11</w:t>
            </w:r>
          </w:p>
        </w:tc>
      </w:tr>
      <w:tr w14:paraId="53D06F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38" w:hRule="atLeast"/>
          <w:jc w:val="center"/>
        </w:trPr>
        <w:tc>
          <w:tcPr>
            <w:tcW w:w="761" w:type="pct"/>
            <w:vMerge w:val="restart"/>
            <w:tcBorders>
              <w:tl2br w:val="nil"/>
              <w:tr2bl w:val="nil"/>
            </w:tcBorders>
            <w:noWrap w:val="0"/>
            <w:vAlign w:val="center"/>
          </w:tcPr>
          <w:p w14:paraId="573E8A5A">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szCs w:val="21"/>
                <w:highlight w:val="none"/>
                <w:lang w:val="en-US" w:eastAsia="zh-CN"/>
              </w:rPr>
              <w:t>生产废水</w:t>
            </w:r>
            <w:r>
              <w:rPr>
                <w:rFonts w:hint="eastAsia" w:eastAsia="宋体" w:cs="宋体"/>
                <w:color w:val="auto"/>
                <w:szCs w:val="21"/>
                <w:highlight w:val="none"/>
                <w:lang w:val="en-US" w:eastAsia="zh-CN"/>
              </w:rPr>
              <w:t>88398</w:t>
            </w:r>
            <w:r>
              <w:rPr>
                <w:rFonts w:hint="eastAsia" w:ascii="Times New Roman" w:hAnsi="Times New Roman" w:eastAsia="宋体" w:cs="宋体"/>
                <w:color w:val="auto"/>
                <w:highlight w:val="none"/>
              </w:rPr>
              <w:t>m</w:t>
            </w:r>
            <w:r>
              <w:rPr>
                <w:rFonts w:hint="eastAsia" w:ascii="Times New Roman" w:hAnsi="Times New Roman" w:eastAsia="宋体" w:cs="宋体"/>
                <w:color w:val="auto"/>
                <w:highlight w:val="none"/>
                <w:vertAlign w:val="superscript"/>
              </w:rPr>
              <w:t>3</w:t>
            </w:r>
            <w:r>
              <w:rPr>
                <w:rFonts w:hint="eastAsia" w:ascii="Times New Roman" w:hAnsi="Times New Roman" w:eastAsia="宋体" w:cs="宋体"/>
                <w:color w:val="auto"/>
                <w:highlight w:val="none"/>
              </w:rPr>
              <w:t>/</w:t>
            </w:r>
            <w:r>
              <w:rPr>
                <w:rFonts w:hint="eastAsia" w:eastAsia="宋体" w:cs="宋体"/>
                <w:color w:val="auto"/>
                <w:highlight w:val="none"/>
                <w:lang w:val="en-US" w:eastAsia="zh-CN"/>
              </w:rPr>
              <w:t>a</w:t>
            </w:r>
          </w:p>
        </w:tc>
        <w:tc>
          <w:tcPr>
            <w:tcW w:w="931" w:type="pct"/>
            <w:tcBorders>
              <w:tl2br w:val="nil"/>
              <w:tr2bl w:val="nil"/>
            </w:tcBorders>
            <w:noWrap w:val="0"/>
            <w:vAlign w:val="center"/>
          </w:tcPr>
          <w:p w14:paraId="7C1E9384">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hint="eastAsia" w:ascii="Times New Roman" w:hAnsi="Times New Roman" w:eastAsia="宋体" w:cs="宋体"/>
                <w:color w:val="auto"/>
                <w:highlight w:val="none"/>
              </w:rPr>
            </w:pPr>
            <w:r>
              <w:rPr>
                <w:rFonts w:ascii="Times New Roman" w:hAnsi="Times New Roman" w:eastAsia="宋体" w:cs="宋体"/>
                <w:color w:val="auto"/>
                <w:highlight w:val="none"/>
              </w:rPr>
              <w:t>进水水质</w:t>
            </w:r>
          </w:p>
          <w:p w14:paraId="73A273EF">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宋体"/>
                <w:color w:val="auto"/>
                <w:highlight w:val="none"/>
              </w:rPr>
            </w:pPr>
            <w:r>
              <w:rPr>
                <w:rFonts w:ascii="Times New Roman" w:hAnsi="Times New Roman" w:eastAsia="宋体" w:cs="宋体"/>
                <w:color w:val="auto"/>
                <w:highlight w:val="none"/>
              </w:rPr>
              <w:t>（mg/L）</w:t>
            </w:r>
          </w:p>
        </w:tc>
        <w:tc>
          <w:tcPr>
            <w:tcW w:w="1232" w:type="dxa"/>
            <w:tcBorders>
              <w:tl2br w:val="nil"/>
              <w:tr2bl w:val="nil"/>
            </w:tcBorders>
            <w:noWrap w:val="0"/>
            <w:vAlign w:val="center"/>
          </w:tcPr>
          <w:p w14:paraId="678B8CE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39723</w:t>
            </w:r>
          </w:p>
        </w:tc>
        <w:tc>
          <w:tcPr>
            <w:tcW w:w="1164" w:type="dxa"/>
            <w:tcBorders>
              <w:tl2br w:val="nil"/>
              <w:tr2bl w:val="nil"/>
            </w:tcBorders>
            <w:noWrap w:val="0"/>
            <w:vAlign w:val="center"/>
          </w:tcPr>
          <w:p w14:paraId="387D61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30367</w:t>
            </w:r>
          </w:p>
        </w:tc>
        <w:tc>
          <w:tcPr>
            <w:tcW w:w="1177" w:type="dxa"/>
            <w:tcBorders>
              <w:tl2br w:val="nil"/>
              <w:tr2bl w:val="nil"/>
            </w:tcBorders>
            <w:noWrap w:val="0"/>
            <w:vAlign w:val="center"/>
          </w:tcPr>
          <w:p w14:paraId="62BAD7D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6233</w:t>
            </w:r>
          </w:p>
        </w:tc>
        <w:tc>
          <w:tcPr>
            <w:tcW w:w="1065" w:type="dxa"/>
            <w:tcBorders>
              <w:tl2br w:val="nil"/>
              <w:tr2bl w:val="nil"/>
            </w:tcBorders>
            <w:noWrap w:val="0"/>
            <w:vAlign w:val="center"/>
          </w:tcPr>
          <w:p w14:paraId="6C20130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265</w:t>
            </w:r>
          </w:p>
        </w:tc>
        <w:tc>
          <w:tcPr>
            <w:tcW w:w="880" w:type="dxa"/>
            <w:tcBorders>
              <w:tl2br w:val="nil"/>
              <w:tr2bl w:val="nil"/>
            </w:tcBorders>
            <w:noWrap w:val="0"/>
            <w:vAlign w:val="center"/>
          </w:tcPr>
          <w:p w14:paraId="64864E6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2413</w:t>
            </w:r>
          </w:p>
        </w:tc>
      </w:tr>
      <w:tr w14:paraId="568118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38" w:hRule="atLeast"/>
          <w:jc w:val="center"/>
        </w:trPr>
        <w:tc>
          <w:tcPr>
            <w:tcW w:w="761" w:type="pct"/>
            <w:vMerge w:val="continue"/>
            <w:tcBorders>
              <w:tl2br w:val="nil"/>
              <w:tr2bl w:val="nil"/>
            </w:tcBorders>
            <w:noWrap w:val="0"/>
            <w:vAlign w:val="center"/>
          </w:tcPr>
          <w:p w14:paraId="4E9D99EC">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ascii="Times New Roman" w:hAnsi="Times New Roman" w:eastAsia="宋体" w:cs="宋体"/>
                <w:color w:val="auto"/>
                <w:highlight w:val="none"/>
              </w:rPr>
            </w:pPr>
          </w:p>
        </w:tc>
        <w:tc>
          <w:tcPr>
            <w:tcW w:w="931" w:type="pct"/>
            <w:tcBorders>
              <w:tl2br w:val="nil"/>
              <w:tr2bl w:val="nil"/>
            </w:tcBorders>
            <w:noWrap w:val="0"/>
            <w:vAlign w:val="center"/>
          </w:tcPr>
          <w:p w14:paraId="083330B0">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宋体"/>
                <w:color w:val="auto"/>
                <w:highlight w:val="none"/>
              </w:rPr>
            </w:pPr>
            <w:r>
              <w:rPr>
                <w:rFonts w:ascii="Times New Roman" w:hAnsi="Times New Roman" w:eastAsia="宋体" w:cs="宋体"/>
                <w:color w:val="auto"/>
                <w:highlight w:val="none"/>
              </w:rPr>
              <w:t>污染物产生量</w:t>
            </w:r>
          </w:p>
          <w:p w14:paraId="171890CD">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宋体"/>
                <w:color w:val="auto"/>
                <w:highlight w:val="none"/>
              </w:rPr>
            </w:pPr>
            <w:r>
              <w:rPr>
                <w:rFonts w:ascii="Times New Roman" w:hAnsi="Times New Roman" w:eastAsia="宋体" w:cs="宋体"/>
                <w:color w:val="auto"/>
                <w:highlight w:val="none"/>
              </w:rPr>
              <w:t>（t/a）</w:t>
            </w:r>
          </w:p>
        </w:tc>
        <w:tc>
          <w:tcPr>
            <w:tcW w:w="1232" w:type="dxa"/>
            <w:tcBorders>
              <w:tl2br w:val="nil"/>
              <w:tr2bl w:val="nil"/>
            </w:tcBorders>
            <w:noWrap w:val="0"/>
            <w:vAlign w:val="center"/>
          </w:tcPr>
          <w:p w14:paraId="0B88F47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snapToGrid w:val="0"/>
                <w:color w:val="auto"/>
                <w:kern w:val="0"/>
                <w:sz w:val="21"/>
                <w:szCs w:val="21"/>
                <w:u w:val="none"/>
                <w:lang w:val="en-US" w:eastAsia="zh-CN" w:bidi="ar"/>
              </w:rPr>
              <w:t>3511.43</w:t>
            </w:r>
          </w:p>
        </w:tc>
        <w:tc>
          <w:tcPr>
            <w:tcW w:w="1164" w:type="dxa"/>
            <w:tcBorders>
              <w:tl2br w:val="nil"/>
              <w:tr2bl w:val="nil"/>
            </w:tcBorders>
            <w:noWrap w:val="0"/>
            <w:vAlign w:val="center"/>
          </w:tcPr>
          <w:p w14:paraId="6723030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u w:val="none"/>
                <w:lang w:val="en-US" w:eastAsia="zh-CN" w:bidi="ar"/>
              </w:rPr>
              <w:t>2684.38</w:t>
            </w:r>
          </w:p>
        </w:tc>
        <w:tc>
          <w:tcPr>
            <w:tcW w:w="1177" w:type="dxa"/>
            <w:tcBorders>
              <w:tl2br w:val="nil"/>
              <w:tr2bl w:val="nil"/>
            </w:tcBorders>
            <w:noWrap w:val="0"/>
            <w:vAlign w:val="center"/>
          </w:tcPr>
          <w:p w14:paraId="1C4196E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u w:val="none"/>
                <w:lang w:val="en-US" w:eastAsia="zh-CN" w:bidi="ar"/>
              </w:rPr>
              <w:t>550.98</w:t>
            </w:r>
          </w:p>
        </w:tc>
        <w:tc>
          <w:tcPr>
            <w:tcW w:w="1065" w:type="dxa"/>
            <w:tcBorders>
              <w:tl2br w:val="nil"/>
              <w:tr2bl w:val="nil"/>
            </w:tcBorders>
            <w:noWrap w:val="0"/>
            <w:vAlign w:val="center"/>
          </w:tcPr>
          <w:p w14:paraId="17BFC8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u w:val="none"/>
                <w:lang w:val="en-US" w:eastAsia="zh-CN" w:bidi="ar"/>
              </w:rPr>
              <w:t>23.43</w:t>
            </w:r>
          </w:p>
        </w:tc>
        <w:tc>
          <w:tcPr>
            <w:tcW w:w="880" w:type="dxa"/>
            <w:tcBorders>
              <w:tl2br w:val="nil"/>
              <w:tr2bl w:val="nil"/>
            </w:tcBorders>
            <w:noWrap w:val="0"/>
            <w:vAlign w:val="center"/>
          </w:tcPr>
          <w:p w14:paraId="24697F7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u w:val="none"/>
                <w:lang w:val="en-US" w:eastAsia="zh-CN" w:bidi="ar"/>
              </w:rPr>
              <w:t>213.30</w:t>
            </w:r>
          </w:p>
        </w:tc>
      </w:tr>
      <w:tr w14:paraId="086084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61" w:type="pct"/>
            <w:vMerge w:val="restart"/>
            <w:tcBorders>
              <w:tl2br w:val="nil"/>
              <w:tr2bl w:val="nil"/>
            </w:tcBorders>
            <w:noWrap w:val="0"/>
            <w:vAlign w:val="center"/>
          </w:tcPr>
          <w:p w14:paraId="5B4FEC8D">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hint="eastAsia" w:ascii="Times New Roman" w:hAnsi="Times New Roman" w:eastAsia="宋体" w:cs="宋体"/>
                <w:color w:val="auto"/>
                <w:szCs w:val="21"/>
                <w:highlight w:val="none"/>
                <w:lang w:val="en-US" w:eastAsia="zh-CN"/>
              </w:rPr>
            </w:pPr>
            <w:r>
              <w:rPr>
                <w:rFonts w:ascii="Times New Roman" w:hAnsi="Times New Roman" w:eastAsia="宋体" w:cs="宋体"/>
                <w:color w:val="auto"/>
                <w:highlight w:val="none"/>
              </w:rPr>
              <w:t>综合废水</w:t>
            </w:r>
            <w:r>
              <w:rPr>
                <w:rFonts w:hint="eastAsia" w:eastAsia="宋体" w:cs="宋体"/>
                <w:color w:val="auto"/>
                <w:szCs w:val="21"/>
                <w:highlight w:val="none"/>
                <w:lang w:val="en-US" w:eastAsia="zh-CN"/>
              </w:rPr>
              <w:t>89213.2</w:t>
            </w:r>
            <w:r>
              <w:rPr>
                <w:rFonts w:ascii="Times New Roman" w:hAnsi="Times New Roman" w:eastAsia="宋体" w:cs="宋体"/>
                <w:color w:val="auto"/>
                <w:szCs w:val="21"/>
                <w:highlight w:val="none"/>
              </w:rPr>
              <w:t>m</w:t>
            </w:r>
            <w:r>
              <w:rPr>
                <w:rFonts w:ascii="Times New Roman" w:hAnsi="Times New Roman" w:eastAsia="宋体" w:cs="宋体"/>
                <w:color w:val="auto"/>
                <w:szCs w:val="21"/>
                <w:highlight w:val="none"/>
                <w:vertAlign w:val="superscript"/>
              </w:rPr>
              <w:t>3</w:t>
            </w:r>
            <w:r>
              <w:rPr>
                <w:rFonts w:ascii="Times New Roman" w:hAnsi="Times New Roman" w:eastAsia="宋体" w:cs="宋体"/>
                <w:color w:val="auto"/>
                <w:szCs w:val="21"/>
                <w:highlight w:val="none"/>
              </w:rPr>
              <w:t>/</w:t>
            </w:r>
            <w:r>
              <w:rPr>
                <w:rFonts w:hint="eastAsia" w:eastAsia="宋体" w:cs="宋体"/>
                <w:color w:val="auto"/>
                <w:szCs w:val="21"/>
                <w:highlight w:val="none"/>
                <w:lang w:val="en-US" w:eastAsia="zh-CN"/>
              </w:rPr>
              <w:t>a</w:t>
            </w:r>
          </w:p>
        </w:tc>
        <w:tc>
          <w:tcPr>
            <w:tcW w:w="931" w:type="pct"/>
            <w:tcBorders>
              <w:tl2br w:val="nil"/>
              <w:tr2bl w:val="nil"/>
            </w:tcBorders>
            <w:noWrap w:val="0"/>
            <w:vAlign w:val="center"/>
          </w:tcPr>
          <w:p w14:paraId="16F72828">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hint="eastAsia" w:ascii="Times New Roman" w:hAnsi="Times New Roman" w:eastAsia="宋体" w:cs="宋体"/>
                <w:color w:val="auto"/>
                <w:highlight w:val="none"/>
              </w:rPr>
            </w:pPr>
            <w:r>
              <w:rPr>
                <w:rFonts w:ascii="Times New Roman" w:hAnsi="Times New Roman" w:eastAsia="宋体" w:cs="宋体"/>
                <w:color w:val="auto"/>
                <w:highlight w:val="none"/>
              </w:rPr>
              <w:t>进水水质</w:t>
            </w:r>
          </w:p>
          <w:p w14:paraId="375CFC9B">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ascii="Times New Roman" w:hAnsi="Times New Roman" w:eastAsia="宋体" w:cs="宋体"/>
                <w:color w:val="auto"/>
                <w:highlight w:val="none"/>
              </w:rPr>
            </w:pPr>
            <w:r>
              <w:rPr>
                <w:rFonts w:ascii="Times New Roman" w:hAnsi="Times New Roman" w:eastAsia="宋体" w:cs="宋体"/>
                <w:color w:val="auto"/>
                <w:highlight w:val="none"/>
              </w:rPr>
              <w:t>（mg/L）</w:t>
            </w:r>
          </w:p>
        </w:tc>
        <w:tc>
          <w:tcPr>
            <w:tcW w:w="1232" w:type="dxa"/>
            <w:tcBorders>
              <w:tl2br w:val="nil"/>
              <w:tr2bl w:val="nil"/>
            </w:tcBorders>
            <w:noWrap w:val="0"/>
            <w:vAlign w:val="center"/>
          </w:tcPr>
          <w:p w14:paraId="7F112E2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39370.39</w:t>
            </w:r>
          </w:p>
        </w:tc>
        <w:tc>
          <w:tcPr>
            <w:tcW w:w="1164" w:type="dxa"/>
            <w:tcBorders>
              <w:tl2br w:val="nil"/>
              <w:tr2bl w:val="nil"/>
            </w:tcBorders>
            <w:noWrap w:val="0"/>
            <w:vAlign w:val="center"/>
          </w:tcPr>
          <w:p w14:paraId="720E865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u w:val="none"/>
                <w:lang w:val="en-US" w:eastAsia="zh-CN" w:bidi="ar"/>
              </w:rPr>
              <w:t>30092.28</w:t>
            </w:r>
          </w:p>
        </w:tc>
        <w:tc>
          <w:tcPr>
            <w:tcW w:w="1177" w:type="dxa"/>
            <w:tcBorders>
              <w:tl2br w:val="nil"/>
              <w:tr2bl w:val="nil"/>
            </w:tcBorders>
            <w:noWrap w:val="0"/>
            <w:vAlign w:val="center"/>
          </w:tcPr>
          <w:p w14:paraId="71FDD3D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snapToGrid w:val="0"/>
                <w:color w:val="auto"/>
                <w:kern w:val="0"/>
                <w:sz w:val="21"/>
                <w:szCs w:val="21"/>
                <w:u w:val="none"/>
                <w:lang w:val="en-US" w:eastAsia="zh-CN" w:bidi="ar"/>
              </w:rPr>
              <w:t>6191.58</w:t>
            </w:r>
          </w:p>
        </w:tc>
        <w:tc>
          <w:tcPr>
            <w:tcW w:w="1065" w:type="dxa"/>
            <w:tcBorders>
              <w:tl2br w:val="nil"/>
              <w:tr2bl w:val="nil"/>
            </w:tcBorders>
            <w:noWrap w:val="0"/>
            <w:vAlign w:val="center"/>
          </w:tcPr>
          <w:p w14:paraId="12D7248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u w:val="none"/>
                <w:lang w:val="en-US" w:eastAsia="zh-CN" w:bidi="ar"/>
              </w:rPr>
              <w:t>262.70</w:t>
            </w:r>
          </w:p>
        </w:tc>
        <w:tc>
          <w:tcPr>
            <w:tcW w:w="880" w:type="dxa"/>
            <w:tcBorders>
              <w:tl2br w:val="nil"/>
              <w:tr2bl w:val="nil"/>
            </w:tcBorders>
            <w:noWrap w:val="0"/>
            <w:vAlign w:val="center"/>
          </w:tcPr>
          <w:p w14:paraId="34F6430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u w:val="none"/>
                <w:lang w:val="en-US" w:eastAsia="zh-CN" w:bidi="ar"/>
              </w:rPr>
              <w:t>2392.28</w:t>
            </w:r>
          </w:p>
        </w:tc>
      </w:tr>
      <w:tr w14:paraId="1A22D9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61" w:type="pct"/>
            <w:vMerge w:val="continue"/>
            <w:tcBorders>
              <w:tl2br w:val="nil"/>
              <w:tr2bl w:val="nil"/>
            </w:tcBorders>
            <w:noWrap w:val="0"/>
            <w:vAlign w:val="center"/>
          </w:tcPr>
          <w:p w14:paraId="6B13C266">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ascii="Times New Roman" w:hAnsi="Times New Roman" w:eastAsia="宋体" w:cs="宋体"/>
                <w:color w:val="auto"/>
                <w:highlight w:val="none"/>
              </w:rPr>
            </w:pPr>
          </w:p>
        </w:tc>
        <w:tc>
          <w:tcPr>
            <w:tcW w:w="931" w:type="pct"/>
            <w:tcBorders>
              <w:tl2br w:val="nil"/>
              <w:tr2bl w:val="nil"/>
            </w:tcBorders>
            <w:noWrap w:val="0"/>
            <w:vAlign w:val="center"/>
          </w:tcPr>
          <w:p w14:paraId="3E95CDD3">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ascii="Times New Roman" w:hAnsi="Times New Roman" w:eastAsia="宋体" w:cs="宋体"/>
                <w:color w:val="auto"/>
                <w:highlight w:val="none"/>
              </w:rPr>
            </w:pPr>
            <w:r>
              <w:rPr>
                <w:rFonts w:ascii="Times New Roman" w:hAnsi="Times New Roman" w:eastAsia="宋体" w:cs="宋体"/>
                <w:color w:val="auto"/>
                <w:highlight w:val="none"/>
              </w:rPr>
              <w:t>污染物产生量</w:t>
            </w:r>
          </w:p>
          <w:p w14:paraId="335809D7">
            <w:pPr>
              <w:pStyle w:val="29"/>
              <w:keepNext w:val="0"/>
              <w:keepLines w:val="0"/>
              <w:pageBreakBefore w:val="0"/>
              <w:widowControl/>
              <w:kinsoku w:val="0"/>
              <w:wordWrap/>
              <w:overflowPunct/>
              <w:topLinePunct w:val="0"/>
              <w:autoSpaceDE w:val="0"/>
              <w:autoSpaceDN w:val="0"/>
              <w:bidi w:val="0"/>
              <w:adjustRightInd w:val="0"/>
              <w:snapToGrid w:val="0"/>
              <w:spacing w:line="240" w:lineRule="auto"/>
              <w:ind w:firstLineChars="0"/>
              <w:jc w:val="center"/>
              <w:rPr>
                <w:rFonts w:ascii="Times New Roman" w:hAnsi="Times New Roman" w:eastAsia="宋体" w:cs="宋体"/>
                <w:color w:val="auto"/>
                <w:highlight w:val="none"/>
              </w:rPr>
            </w:pPr>
            <w:r>
              <w:rPr>
                <w:rFonts w:ascii="Times New Roman" w:hAnsi="Times New Roman" w:eastAsia="宋体" w:cs="宋体"/>
                <w:color w:val="auto"/>
                <w:highlight w:val="none"/>
              </w:rPr>
              <w:t>（t/a）</w:t>
            </w:r>
          </w:p>
        </w:tc>
        <w:tc>
          <w:tcPr>
            <w:tcW w:w="1232" w:type="dxa"/>
            <w:tcBorders>
              <w:tl2br w:val="nil"/>
              <w:tr2bl w:val="nil"/>
            </w:tcBorders>
            <w:noWrap w:val="0"/>
            <w:vAlign w:val="center"/>
          </w:tcPr>
          <w:p w14:paraId="05B97B6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3512.36</w:t>
            </w:r>
          </w:p>
        </w:tc>
        <w:tc>
          <w:tcPr>
            <w:tcW w:w="1164" w:type="dxa"/>
            <w:tcBorders>
              <w:tl2br w:val="nil"/>
              <w:tr2bl w:val="nil"/>
            </w:tcBorders>
            <w:noWrap w:val="0"/>
            <w:vAlign w:val="center"/>
          </w:tcPr>
          <w:p w14:paraId="719B050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u w:val="none"/>
                <w:lang w:val="en-US" w:eastAsia="zh-CN" w:bidi="ar"/>
              </w:rPr>
              <w:t>2684.63</w:t>
            </w:r>
          </w:p>
        </w:tc>
        <w:tc>
          <w:tcPr>
            <w:tcW w:w="1177" w:type="dxa"/>
            <w:tcBorders>
              <w:tl2br w:val="nil"/>
              <w:tr2bl w:val="nil"/>
            </w:tcBorders>
            <w:noWrap w:val="0"/>
            <w:vAlign w:val="center"/>
          </w:tcPr>
          <w:p w14:paraId="06E52E6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snapToGrid w:val="0"/>
                <w:color w:val="auto"/>
                <w:kern w:val="0"/>
                <w:sz w:val="21"/>
                <w:szCs w:val="21"/>
                <w:u w:val="none"/>
                <w:lang w:val="en-US" w:eastAsia="zh-CN" w:bidi="ar"/>
              </w:rPr>
              <w:t>552.37</w:t>
            </w:r>
          </w:p>
        </w:tc>
        <w:tc>
          <w:tcPr>
            <w:tcW w:w="1065" w:type="dxa"/>
            <w:tcBorders>
              <w:tl2br w:val="nil"/>
              <w:tr2bl w:val="nil"/>
            </w:tcBorders>
            <w:noWrap w:val="0"/>
            <w:vAlign w:val="center"/>
          </w:tcPr>
          <w:p w14:paraId="0CADBA1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u w:val="none"/>
                <w:lang w:val="en-US" w:eastAsia="zh-CN" w:bidi="ar"/>
              </w:rPr>
              <w:t>23.44</w:t>
            </w:r>
          </w:p>
        </w:tc>
        <w:tc>
          <w:tcPr>
            <w:tcW w:w="880" w:type="dxa"/>
            <w:tcBorders>
              <w:tl2br w:val="nil"/>
              <w:tr2bl w:val="nil"/>
            </w:tcBorders>
            <w:noWrap w:val="0"/>
            <w:vAlign w:val="center"/>
          </w:tcPr>
          <w:p w14:paraId="65CABE7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u w:val="none"/>
                <w:lang w:val="en-US" w:eastAsia="zh-CN" w:bidi="ar"/>
              </w:rPr>
              <w:t>213.42</w:t>
            </w:r>
          </w:p>
        </w:tc>
      </w:tr>
    </w:tbl>
    <w:p w14:paraId="4A361609">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eastAsia" w:ascii="Times New Roman" w:hAnsi="Times New Roman" w:eastAsia="宋体" w:cs="宋体"/>
          <w:b/>
          <w:bCs/>
          <w:color w:val="auto"/>
          <w:sz w:val="28"/>
          <w:szCs w:val="28"/>
          <w:lang w:val="en-US" w:eastAsia="zh-CN"/>
        </w:rPr>
      </w:pPr>
      <w:bookmarkStart w:id="35" w:name="_Toc28965"/>
      <w:r>
        <w:rPr>
          <w:rFonts w:hint="eastAsia" w:ascii="Times New Roman" w:hAnsi="Times New Roman" w:eastAsia="宋体" w:cs="宋体"/>
          <w:b/>
          <w:bCs/>
          <w:color w:val="auto"/>
          <w:sz w:val="28"/>
          <w:szCs w:val="28"/>
          <w:lang w:val="en-US" w:eastAsia="zh-CN"/>
        </w:rPr>
        <w:t>4.5、沼液还田灌溉系统</w:t>
      </w:r>
      <w:bookmarkEnd w:id="34"/>
      <w:bookmarkEnd w:id="35"/>
    </w:p>
    <w:p w14:paraId="080F437C">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bookmarkStart w:id="36" w:name="_Toc11147"/>
      <w:r>
        <w:rPr>
          <w:rFonts w:hint="eastAsia" w:ascii="Times New Roman" w:hAnsi="Times New Roman" w:eastAsia="宋体" w:cs="宋体"/>
          <w:b/>
          <w:color w:val="auto"/>
          <w:sz w:val="24"/>
          <w:lang w:val="en-US" w:eastAsia="zh-CN"/>
        </w:rPr>
        <w:t>4.5.1、消纳土地情况概述</w:t>
      </w:r>
      <w:bookmarkEnd w:id="36"/>
    </w:p>
    <w:p w14:paraId="394F394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与本项目匹配的消纳用地面积约为1500亩，地势平坦，主要种植玉米作物，农田周边500m范围内没有居民点，且每块土地四周均有土坎，能够有效防止汁水溢流至其他区域，厂界与待还田地块的直线距离约为680米，还田灌溉形式采用小孔微灌。</w:t>
      </w:r>
    </w:p>
    <w:p w14:paraId="6B71A1C0">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bookmarkStart w:id="37" w:name="_Toc21788"/>
      <w:r>
        <w:rPr>
          <w:rFonts w:hint="eastAsia" w:ascii="Times New Roman" w:hAnsi="Times New Roman" w:eastAsia="宋体" w:cs="宋体"/>
          <w:b/>
          <w:color w:val="auto"/>
          <w:sz w:val="24"/>
          <w:lang w:val="en-US" w:eastAsia="zh-CN"/>
        </w:rPr>
        <w:t>4.5.2、沼液沼渣环境影响分析</w:t>
      </w:r>
      <w:bookmarkEnd w:id="37"/>
    </w:p>
    <w:p w14:paraId="59928C06">
      <w:pPr>
        <w:pStyle w:val="7"/>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szCs w:val="24"/>
          <w:lang w:val="en-US" w:eastAsia="zh-CN"/>
        </w:rPr>
      </w:pPr>
      <w:r>
        <w:rPr>
          <w:rFonts w:hint="eastAsia" w:ascii="Times New Roman" w:hAnsi="Times New Roman" w:eastAsia="宋体" w:cs="宋体"/>
          <w:b/>
          <w:color w:val="auto"/>
          <w:sz w:val="24"/>
          <w:szCs w:val="24"/>
          <w:lang w:val="en-US" w:eastAsia="zh-CN"/>
        </w:rPr>
        <w:t>4.5.2.1、土壤影响</w:t>
      </w:r>
    </w:p>
    <w:p w14:paraId="6FB3636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马铃薯加工属于纯物理加工，不添加任何有害的物质，废水中含有丰富的氮磷钾，其“肥”和“水”均是农作物生长所必需的。“三北”地区尤其是“西北”土壤极其贫瘠，肥水还田可以改良土壤，提高土壤有机质，调整土壤结构；且可大幅度增强土壤肥力，减</w:t>
      </w:r>
      <w:r>
        <w:rPr>
          <w:rFonts w:hint="eastAsia" w:ascii="Times New Roman" w:hAnsi="Times New Roman" w:eastAsia="宋体" w:cs="宋体"/>
          <w:snapToGrid w:val="0"/>
          <w:color w:val="auto"/>
          <w:kern w:val="0"/>
          <w:sz w:val="24"/>
          <w:szCs w:val="24"/>
          <w:lang w:val="en-US" w:eastAsia="zh-CN" w:bidi="ar"/>
        </w:rPr>
        <w:t>少化肥用量。</w:t>
      </w:r>
    </w:p>
    <w:p w14:paraId="15A9E667">
      <w:pPr>
        <w:pStyle w:val="7"/>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szCs w:val="24"/>
          <w:lang w:val="en-US" w:eastAsia="zh-CN"/>
        </w:rPr>
      </w:pPr>
      <w:r>
        <w:rPr>
          <w:rFonts w:hint="eastAsia" w:ascii="Times New Roman" w:hAnsi="Times New Roman" w:eastAsia="宋体" w:cs="宋体"/>
          <w:b/>
          <w:color w:val="auto"/>
          <w:sz w:val="24"/>
          <w:szCs w:val="24"/>
          <w:lang w:val="en-US" w:eastAsia="zh-CN"/>
        </w:rPr>
        <w:t>4.5.2.2、水体影响</w:t>
      </w:r>
    </w:p>
    <w:p w14:paraId="5F9B273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项目所在地降雨一般集中在6月～9月，沼液沼渣还田避开雨季，不会因降雨形成水土流失，造成地表水的污染；民乐县地区地下水位普遍较低，大部分地区土壤厚实，不利于水渗透，且肥水还田施用量有限，对地下水的污染可能性较低；因此肥水还田从根本上解决了加工废水污染的问题，实现了废水的资源化，实现“零排放”。</w:t>
      </w:r>
    </w:p>
    <w:p w14:paraId="32F21A91">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szCs w:val="24"/>
          <w:lang w:val="en-US" w:eastAsia="zh-CN"/>
        </w:rPr>
        <w:t>4.5.3、</w:t>
      </w:r>
      <w:r>
        <w:rPr>
          <w:rFonts w:hint="eastAsia" w:ascii="Times New Roman" w:hAnsi="Times New Roman" w:eastAsia="宋体" w:cs="宋体"/>
          <w:b/>
          <w:color w:val="auto"/>
          <w:sz w:val="24"/>
          <w:lang w:val="en-US" w:eastAsia="zh-CN"/>
        </w:rPr>
        <w:t>沼液肥还田工艺流程</w:t>
      </w:r>
    </w:p>
    <w:p w14:paraId="512BC4E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b w:val="0"/>
          <w:bCs w:val="0"/>
          <w:color w:val="auto"/>
          <w:spacing w:val="-5"/>
          <w:sz w:val="24"/>
          <w:szCs w:val="24"/>
          <w:lang w:val="en-US" w:eastAsia="zh-CN"/>
        </w:rPr>
      </w:pPr>
      <w:r>
        <w:rPr>
          <w:rFonts w:hint="eastAsia" w:ascii="Times New Roman" w:hAnsi="Times New Roman" w:eastAsia="宋体" w:cs="宋体"/>
          <w:snapToGrid w:val="0"/>
          <w:color w:val="auto"/>
          <w:kern w:val="0"/>
          <w:sz w:val="24"/>
          <w:szCs w:val="24"/>
          <w:lang w:val="en-US" w:eastAsia="zh-CN" w:bidi="ar"/>
        </w:rPr>
        <w:t>黑膜氧化池发酵后沼液通过密闭管道输送至首部枢纽系统，该系统用于控制和调节沼液肥的流量和压力，在首部枢纽系统中，沼液肥会经过一系列的过滤处理，通过砂石过滤器去除较大的颗粒物，最后通过叠片过滤器进一步去除更细小的杂质，确保灌溉水的清洁，过滤后的沼液通过田间管网均匀地分配至各个灌溉区域，田间管网末端连接灌水器，灌水器负责将沼液肥直接输送到作物根部，用于灌溉作物，提供养分，促进作物生长。使用沼液肥作为肥料，不仅可以提供作物所需的养分，还可以实现资源的循环利用，减少环境污染。同时，通过过滤和灌溉系统的合理设计，可以确保灌溉水的清洁和高效利用。</w:t>
      </w:r>
    </w:p>
    <w:p w14:paraId="34D9011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0" w:firstLineChars="0"/>
        <w:jc w:val="center"/>
        <w:textAlignment w:val="baseline"/>
        <w:rPr>
          <w:rFonts w:hint="default" w:ascii="Times New Roman" w:hAnsi="Times New Roman" w:eastAsia="宋体" w:cs="宋体"/>
          <w:b/>
          <w:bCs w:val="0"/>
          <w:snapToGrid w:val="0"/>
          <w:color w:val="auto"/>
          <w:kern w:val="2"/>
          <w:sz w:val="24"/>
          <w:szCs w:val="24"/>
          <w:lang w:val="en-US" w:eastAsia="zh-CN" w:bidi="ar-SA"/>
        </w:rPr>
      </w:pPr>
      <w:r>
        <w:rPr>
          <w:rFonts w:hint="default" w:ascii="Times New Roman" w:hAnsi="Times New Roman" w:eastAsia="宋体" w:cs="宋体"/>
          <w:b w:val="0"/>
          <w:bCs w:val="0"/>
          <w:color w:val="auto"/>
          <w:spacing w:val="-5"/>
          <w:sz w:val="24"/>
          <w:szCs w:val="24"/>
          <w:lang w:val="en-US" w:eastAsia="zh-CN"/>
        </w:rPr>
        <w:object>
          <v:shape id="_x0000_i1030" o:spt="75" type="#_x0000_t75" style="height:112.1pt;width:415.1pt;" o:ole="t" filled="f" o:preferrelative="t" stroked="t" coordsize="21600,21600">
            <v:path/>
            <v:fill on="f" focussize="0,0"/>
            <v:stroke color="#000000" joinstyle="miter"/>
            <v:imagedata r:id="rId48" o:title=""/>
            <o:lock v:ext="edit" aspectratio="f"/>
            <w10:wrap type="none"/>
            <w10:anchorlock/>
          </v:shape>
          <o:OLEObject Type="Embed" ProgID="Visio.Drawing.11" ShapeID="_x0000_i1030" DrawAspect="Content" ObjectID="_1468075730" r:id="rId47">
            <o:LockedField>false</o:LockedField>
          </o:OLEObject>
        </w:object>
      </w:r>
      <w:r>
        <w:rPr>
          <w:rFonts w:hint="eastAsia" w:ascii="Times New Roman" w:hAnsi="Times New Roman" w:eastAsia="宋体" w:cs="宋体"/>
          <w:b/>
          <w:bCs w:val="0"/>
          <w:snapToGrid w:val="0"/>
          <w:color w:val="auto"/>
          <w:kern w:val="2"/>
          <w:sz w:val="24"/>
          <w:szCs w:val="24"/>
          <w:lang w:val="en-US" w:eastAsia="zh-CN" w:bidi="ar-SA"/>
        </w:rPr>
        <w:t>图4-7   沼液还田工艺流程图</w:t>
      </w:r>
    </w:p>
    <w:p w14:paraId="5C4E846A">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bookmarkStart w:id="38" w:name="_Toc1892"/>
      <w:r>
        <w:rPr>
          <w:rFonts w:hint="eastAsia" w:ascii="Times New Roman" w:hAnsi="Times New Roman" w:eastAsia="宋体" w:cs="宋体"/>
          <w:b/>
          <w:color w:val="auto"/>
          <w:sz w:val="24"/>
          <w:lang w:val="en-US" w:eastAsia="zh-CN"/>
        </w:rPr>
        <w:t>4.5.4、管网设计</w:t>
      </w:r>
      <w:bookmarkEnd w:id="38"/>
    </w:p>
    <w:p w14:paraId="3269A68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1、本次输水管网采用：HDPE160*0.8/1.0/1.25mpa、HDPE110*0.8/1.0/1.25mpa给水管以及HDPE90*0.8/1.0MPa给水管。</w:t>
      </w:r>
    </w:p>
    <w:p w14:paraId="55F4E55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2、该项目地下管网系统采用三级管网、明管铺设的设计方式。</w:t>
      </w:r>
    </w:p>
    <w:p w14:paraId="12B5EF8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（1）主管：采用HDPE160*1.25MPa/1.0MPa/0.8MPa给水管。</w:t>
      </w:r>
    </w:p>
    <w:p w14:paraId="1034176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（2）二级主管：采用HDPE160*0.8/1.0/1.25mpa、HDPE90*1.0MPa/0.8Mpa以及HDPE110*1.0/0.8MPa给水管</w:t>
      </w:r>
    </w:p>
    <w:p w14:paraId="14A5519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（3）三级支管：采用小孔出流专用管。</w:t>
      </w:r>
    </w:p>
    <w:p w14:paraId="44A52BA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（4）设备选用</w:t>
      </w:r>
    </w:p>
    <w:p w14:paraId="4BEF450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①优质国产小孔出流专用管以及小孔出流紊流器。</w:t>
      </w:r>
    </w:p>
    <w:p w14:paraId="1CCC880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②选用优质国产铸铁取水栓DE75。</w:t>
      </w:r>
    </w:p>
    <w:p w14:paraId="2277086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3、为了保证系统的安全性，在管网系统相对高点及灌区高点安装自动进、排排气阀，停泵时使空气进入管网系统，防止管路出现负压；启动水泵时将空气从管网中排除，避免管路气阻。</w:t>
      </w:r>
    </w:p>
    <w:p w14:paraId="0168306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4、</w:t>
      </w:r>
      <w:r>
        <w:rPr>
          <w:rFonts w:hint="default" w:ascii="Times New Roman" w:hAnsi="Times New Roman" w:eastAsia="宋体" w:cs="宋体"/>
          <w:snapToGrid w:val="0"/>
          <w:color w:val="auto"/>
          <w:kern w:val="0"/>
          <w:sz w:val="24"/>
          <w:szCs w:val="24"/>
          <w:lang w:val="en-US" w:eastAsia="zh-CN" w:bidi="ar"/>
        </w:rPr>
        <w:t>输送管网要连接紧密、密封性好</w:t>
      </w:r>
      <w:r>
        <w:rPr>
          <w:rFonts w:hint="eastAsia" w:ascii="Times New Roman" w:hAnsi="Times New Roman" w:eastAsia="宋体" w:cs="宋体"/>
          <w:snapToGrid w:val="0"/>
          <w:color w:val="auto"/>
          <w:kern w:val="0"/>
          <w:sz w:val="24"/>
          <w:szCs w:val="24"/>
          <w:lang w:val="en-US" w:eastAsia="zh-CN" w:bidi="ar"/>
        </w:rPr>
        <w:t>，</w:t>
      </w:r>
      <w:r>
        <w:rPr>
          <w:rFonts w:hint="default" w:ascii="Times New Roman" w:hAnsi="Times New Roman" w:eastAsia="宋体" w:cs="宋体"/>
          <w:snapToGrid w:val="0"/>
          <w:color w:val="auto"/>
          <w:kern w:val="0"/>
          <w:sz w:val="24"/>
          <w:szCs w:val="24"/>
          <w:lang w:val="en-US" w:eastAsia="zh-CN" w:bidi="ar"/>
        </w:rPr>
        <w:t>管道材质应具备一定的防腐、承压能力。田间分水池容积要与地块施水量相匹配</w:t>
      </w:r>
      <w:r>
        <w:rPr>
          <w:rFonts w:hint="eastAsia" w:ascii="Times New Roman" w:hAnsi="Times New Roman" w:eastAsia="宋体" w:cs="宋体"/>
          <w:snapToGrid w:val="0"/>
          <w:color w:val="auto"/>
          <w:kern w:val="0"/>
          <w:sz w:val="24"/>
          <w:szCs w:val="24"/>
          <w:lang w:val="en-US" w:eastAsia="zh-CN" w:bidi="ar"/>
        </w:rPr>
        <w:t>，</w:t>
      </w:r>
      <w:r>
        <w:rPr>
          <w:rFonts w:hint="default" w:ascii="Times New Roman" w:hAnsi="Times New Roman" w:eastAsia="宋体" w:cs="宋体"/>
          <w:snapToGrid w:val="0"/>
          <w:color w:val="auto"/>
          <w:kern w:val="0"/>
          <w:sz w:val="24"/>
          <w:szCs w:val="24"/>
          <w:lang w:val="en-US" w:eastAsia="zh-CN" w:bidi="ar"/>
        </w:rPr>
        <w:t>做到防溢、防渗。还田管道出口处安装流量计</w:t>
      </w:r>
      <w:r>
        <w:rPr>
          <w:rFonts w:hint="eastAsia" w:ascii="Times New Roman" w:hAnsi="Times New Roman" w:eastAsia="宋体" w:cs="宋体"/>
          <w:snapToGrid w:val="0"/>
          <w:color w:val="auto"/>
          <w:kern w:val="0"/>
          <w:sz w:val="24"/>
          <w:szCs w:val="24"/>
          <w:lang w:val="en-US" w:eastAsia="zh-CN" w:bidi="ar"/>
        </w:rPr>
        <w:t>，</w:t>
      </w:r>
      <w:r>
        <w:rPr>
          <w:rFonts w:hint="default" w:ascii="Times New Roman" w:hAnsi="Times New Roman" w:eastAsia="宋体" w:cs="宋体"/>
          <w:snapToGrid w:val="0"/>
          <w:color w:val="auto"/>
          <w:kern w:val="0"/>
          <w:sz w:val="24"/>
          <w:szCs w:val="24"/>
          <w:lang w:val="en-US" w:eastAsia="zh-CN" w:bidi="ar"/>
        </w:rPr>
        <w:t>还田耕地下游建设应急事故池或缓冲带。马铃薯淀粉加工汁水施用时应避开雨季</w:t>
      </w:r>
      <w:r>
        <w:rPr>
          <w:rFonts w:hint="eastAsia" w:ascii="Times New Roman" w:hAnsi="Times New Roman" w:eastAsia="宋体" w:cs="宋体"/>
          <w:snapToGrid w:val="0"/>
          <w:color w:val="auto"/>
          <w:kern w:val="0"/>
          <w:sz w:val="24"/>
          <w:szCs w:val="24"/>
          <w:lang w:val="en-US" w:eastAsia="zh-CN" w:bidi="ar"/>
        </w:rPr>
        <w:t>，</w:t>
      </w:r>
      <w:r>
        <w:rPr>
          <w:rFonts w:hint="default" w:ascii="Times New Roman" w:hAnsi="Times New Roman" w:eastAsia="宋体" w:cs="宋体"/>
          <w:snapToGrid w:val="0"/>
          <w:color w:val="auto"/>
          <w:kern w:val="0"/>
          <w:sz w:val="24"/>
          <w:szCs w:val="24"/>
          <w:lang w:val="en-US" w:eastAsia="zh-CN" w:bidi="ar"/>
        </w:rPr>
        <w:t>施入裸露耕地后应及时翻耕。</w:t>
      </w:r>
      <w:r>
        <w:rPr>
          <w:rFonts w:hint="eastAsia" w:ascii="Times New Roman" w:hAnsi="Times New Roman" w:eastAsia="宋体" w:cs="宋体"/>
          <w:snapToGrid w:val="0"/>
          <w:color w:val="auto"/>
          <w:kern w:val="0"/>
          <w:sz w:val="24"/>
          <w:szCs w:val="24"/>
          <w:lang w:val="en-US" w:eastAsia="zh-CN" w:bidi="ar"/>
        </w:rPr>
        <w:t>本项目</w:t>
      </w:r>
      <w:r>
        <w:rPr>
          <w:rFonts w:hint="default" w:ascii="Times New Roman" w:hAnsi="Times New Roman" w:eastAsia="宋体" w:cs="宋体"/>
          <w:snapToGrid w:val="0"/>
          <w:color w:val="auto"/>
          <w:kern w:val="0"/>
          <w:sz w:val="24"/>
          <w:szCs w:val="24"/>
          <w:lang w:val="en-US" w:eastAsia="zh-CN" w:bidi="ar"/>
        </w:rPr>
        <w:t>马铃薯淀粉加工汁水还田利用采用微灌方式</w:t>
      </w:r>
      <w:r>
        <w:rPr>
          <w:rFonts w:hint="eastAsia" w:ascii="Times New Roman" w:hAnsi="Times New Roman" w:eastAsia="宋体" w:cs="宋体"/>
          <w:snapToGrid w:val="0"/>
          <w:color w:val="auto"/>
          <w:kern w:val="0"/>
          <w:sz w:val="24"/>
          <w:szCs w:val="24"/>
          <w:lang w:val="en-US" w:eastAsia="zh-CN" w:bidi="ar"/>
        </w:rPr>
        <w:t>进行，</w:t>
      </w:r>
      <w:r>
        <w:rPr>
          <w:rFonts w:hint="default" w:ascii="Times New Roman" w:hAnsi="Times New Roman" w:eastAsia="宋体" w:cs="宋体"/>
          <w:snapToGrid w:val="0"/>
          <w:color w:val="auto"/>
          <w:kern w:val="0"/>
          <w:sz w:val="24"/>
          <w:szCs w:val="24"/>
          <w:lang w:val="en-US" w:eastAsia="zh-CN" w:bidi="ar"/>
        </w:rPr>
        <w:t>禁止汁水漫灌。</w:t>
      </w:r>
    </w:p>
    <w:p w14:paraId="09AAA932">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eastAsia" w:ascii="Times New Roman" w:hAnsi="Times New Roman" w:eastAsia="宋体" w:cs="宋体"/>
          <w:b/>
          <w:bCs/>
          <w:color w:val="auto"/>
          <w:sz w:val="28"/>
          <w:szCs w:val="28"/>
          <w:lang w:val="en-US" w:eastAsia="zh-CN"/>
        </w:rPr>
      </w:pPr>
      <w:bookmarkStart w:id="39" w:name="_Toc2546"/>
      <w:bookmarkStart w:id="40" w:name="_Toc24891"/>
      <w:r>
        <w:rPr>
          <w:rFonts w:hint="eastAsia" w:ascii="Times New Roman" w:hAnsi="Times New Roman" w:eastAsia="宋体" w:cs="宋体"/>
          <w:b/>
          <w:bCs/>
          <w:color w:val="auto"/>
          <w:sz w:val="28"/>
          <w:szCs w:val="28"/>
          <w:lang w:val="en-US" w:eastAsia="zh-CN"/>
        </w:rPr>
        <w:t>4.6、沼气脱硫处理</w:t>
      </w:r>
      <w:bookmarkEnd w:id="39"/>
      <w:bookmarkEnd w:id="40"/>
    </w:p>
    <w:p w14:paraId="6AB1867C">
      <w:pPr>
        <w:pStyle w:val="27"/>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8" w:firstLineChars="200"/>
        <w:jc w:val="both"/>
        <w:textAlignment w:val="baseline"/>
        <w:rPr>
          <w:rFonts w:hint="eastAsia" w:ascii="Times New Roman" w:hAnsi="Times New Roman" w:eastAsia="宋体" w:cs="宋体"/>
          <w:b w:val="0"/>
          <w:bCs w:val="0"/>
          <w:color w:val="auto"/>
          <w:sz w:val="24"/>
          <w:lang w:val="en-US" w:eastAsia="zh-CN"/>
        </w:rPr>
      </w:pPr>
      <w:bookmarkStart w:id="41" w:name="_Toc5619"/>
      <w:r>
        <w:rPr>
          <w:rFonts w:ascii="Times New Roman" w:hAnsi="Times New Roman" w:eastAsia="宋体" w:cs="宋体"/>
          <w:color w:val="auto"/>
          <w:spacing w:val="-8"/>
          <w:sz w:val="24"/>
          <w:szCs w:val="24"/>
        </w:rPr>
        <w:t>黑膜厌氧发酵产生的沼气含饱和水蒸气的高湿度混合气体，</w:t>
      </w:r>
      <w:r>
        <w:rPr>
          <w:rFonts w:ascii="Times New Roman" w:hAnsi="Times New Roman" w:eastAsia="宋体" w:cs="宋体"/>
          <w:color w:val="auto"/>
          <w:spacing w:val="-3"/>
          <w:sz w:val="24"/>
          <w:szCs w:val="24"/>
        </w:rPr>
        <w:t>除含有气体燃料CH</w:t>
      </w:r>
      <w:r>
        <w:rPr>
          <w:rFonts w:ascii="Times New Roman" w:hAnsi="Times New Roman" w:eastAsia="宋体" w:cs="宋体"/>
          <w:color w:val="auto"/>
          <w:spacing w:val="-3"/>
          <w:position w:val="-1"/>
          <w:sz w:val="15"/>
          <w:szCs w:val="15"/>
        </w:rPr>
        <w:t>4</w:t>
      </w:r>
      <w:r>
        <w:rPr>
          <w:rFonts w:ascii="Times New Roman" w:hAnsi="Times New Roman" w:eastAsia="宋体" w:cs="宋体"/>
          <w:color w:val="auto"/>
          <w:spacing w:val="-3"/>
          <w:sz w:val="24"/>
          <w:szCs w:val="24"/>
        </w:rPr>
        <w:t>和惰性气体CO</w:t>
      </w:r>
      <w:r>
        <w:rPr>
          <w:rFonts w:ascii="Times New Roman" w:hAnsi="Times New Roman" w:eastAsia="宋体" w:cs="宋体"/>
          <w:color w:val="auto"/>
          <w:spacing w:val="-3"/>
          <w:position w:val="-1"/>
          <w:sz w:val="15"/>
          <w:szCs w:val="15"/>
        </w:rPr>
        <w:t>2</w:t>
      </w:r>
      <w:r>
        <w:rPr>
          <w:rFonts w:ascii="Times New Roman" w:hAnsi="Times New Roman" w:eastAsia="宋体" w:cs="宋体"/>
          <w:color w:val="auto"/>
          <w:spacing w:val="-3"/>
          <w:sz w:val="24"/>
          <w:szCs w:val="24"/>
        </w:rPr>
        <w:t>外，还含有H</w:t>
      </w:r>
      <w:r>
        <w:rPr>
          <w:rFonts w:ascii="Times New Roman" w:hAnsi="Times New Roman" w:eastAsia="宋体" w:cs="宋体"/>
          <w:color w:val="auto"/>
          <w:spacing w:val="-3"/>
          <w:position w:val="-1"/>
          <w:sz w:val="15"/>
          <w:szCs w:val="15"/>
        </w:rPr>
        <w:t>2</w:t>
      </w:r>
      <w:r>
        <w:rPr>
          <w:rFonts w:ascii="Times New Roman" w:hAnsi="Times New Roman" w:eastAsia="宋体" w:cs="宋体"/>
          <w:color w:val="auto"/>
          <w:spacing w:val="-3"/>
          <w:sz w:val="24"/>
          <w:szCs w:val="24"/>
        </w:rPr>
        <w:t>S和NH</w:t>
      </w:r>
      <w:r>
        <w:rPr>
          <w:rFonts w:ascii="Times New Roman" w:hAnsi="Times New Roman" w:eastAsia="宋体" w:cs="宋体"/>
          <w:color w:val="auto"/>
          <w:spacing w:val="-3"/>
          <w:position w:val="-1"/>
          <w:sz w:val="15"/>
          <w:szCs w:val="15"/>
        </w:rPr>
        <w:t>3</w:t>
      </w:r>
      <w:r>
        <w:rPr>
          <w:rFonts w:ascii="Times New Roman" w:hAnsi="Times New Roman" w:eastAsia="宋体" w:cs="宋体"/>
          <w:color w:val="auto"/>
          <w:spacing w:val="-3"/>
          <w:sz w:val="24"/>
          <w:szCs w:val="24"/>
        </w:rPr>
        <w:t>，新生成的沼气</w:t>
      </w:r>
      <w:r>
        <w:rPr>
          <w:rFonts w:ascii="Times New Roman" w:hAnsi="Times New Roman" w:eastAsia="宋体" w:cs="宋体"/>
          <w:color w:val="auto"/>
          <w:spacing w:val="-1"/>
          <w:sz w:val="24"/>
          <w:szCs w:val="24"/>
        </w:rPr>
        <w:t>不宜直接做燃料，还需进行气水分离、脱硫等净化处理。</w:t>
      </w:r>
      <w:r>
        <w:rPr>
          <w:rFonts w:hint="default" w:ascii="Times New Roman" w:hAnsi="Times New Roman" w:eastAsia="宋体" w:cs="宋体"/>
          <w:b w:val="0"/>
          <w:bCs w:val="0"/>
          <w:color w:val="auto"/>
          <w:sz w:val="24"/>
          <w:lang w:val="en-US" w:eastAsia="zh-CN"/>
        </w:rPr>
        <w:t>沼气经净化处理后，</w:t>
      </w:r>
      <w:r>
        <w:rPr>
          <w:rFonts w:hint="eastAsia" w:ascii="Times New Roman" w:hAnsi="Times New Roman" w:eastAsia="宋体" w:cs="宋体"/>
          <w:b w:val="0"/>
          <w:bCs w:val="0"/>
          <w:color w:val="auto"/>
          <w:sz w:val="24"/>
          <w:lang w:val="en-US" w:eastAsia="zh-CN"/>
        </w:rPr>
        <w:t>采用火炬燃烧。</w:t>
      </w:r>
    </w:p>
    <w:p w14:paraId="3FAC7864">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4.6.1、干法脱硫工艺的基本原理</w:t>
      </w:r>
      <w:bookmarkEnd w:id="41"/>
    </w:p>
    <w:p w14:paraId="4114583B">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right="0" w:rightChars="0"/>
        <w:jc w:val="both"/>
        <w:textAlignment w:val="baseline"/>
        <w:rPr>
          <w:rFonts w:ascii="Times New Roman" w:hAnsi="Times New Roman" w:eastAsia="宋体" w:cs="宋体"/>
          <w:color w:val="auto"/>
          <w:sz w:val="24"/>
          <w:szCs w:val="24"/>
        </w:rPr>
      </w:pPr>
      <w:bookmarkStart w:id="42" w:name="_Toc5992"/>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1</w:t>
      </w:r>
      <w:r>
        <w:rPr>
          <w:rFonts w:hint="eastAsia" w:ascii="Times New Roman" w:hAnsi="Times New Roman" w:eastAsia="宋体" w:cs="宋体"/>
          <w:color w:val="auto"/>
          <w:spacing w:val="-3"/>
          <w:sz w:val="24"/>
          <w:szCs w:val="24"/>
          <w:lang w:eastAsia="zh-CN"/>
        </w:rPr>
        <w:t>）</w:t>
      </w:r>
      <w:r>
        <w:rPr>
          <w:rFonts w:ascii="Times New Roman" w:hAnsi="Times New Roman" w:eastAsia="宋体" w:cs="宋体"/>
          <w:color w:val="auto"/>
          <w:spacing w:val="-3"/>
          <w:sz w:val="24"/>
          <w:szCs w:val="24"/>
        </w:rPr>
        <w:t>气水分离</w:t>
      </w:r>
    </w:p>
    <w:p w14:paraId="100ABB80">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76" w:firstLineChars="200"/>
        <w:jc w:val="both"/>
        <w:textAlignment w:val="baseline"/>
        <w:rPr>
          <w:rFonts w:ascii="Times New Roman" w:hAnsi="Times New Roman" w:eastAsia="宋体" w:cs="宋体"/>
          <w:color w:val="auto"/>
          <w:sz w:val="24"/>
          <w:szCs w:val="24"/>
        </w:rPr>
      </w:pPr>
      <w:r>
        <w:rPr>
          <w:rFonts w:ascii="Times New Roman" w:hAnsi="Times New Roman" w:eastAsia="宋体" w:cs="宋体"/>
          <w:color w:val="auto"/>
          <w:spacing w:val="-1"/>
          <w:sz w:val="24"/>
          <w:szCs w:val="24"/>
        </w:rPr>
        <w:t>沼气中含有大量</w:t>
      </w:r>
      <w:r>
        <w:rPr>
          <w:rFonts w:hint="eastAsia" w:ascii="Times New Roman" w:hAnsi="Times New Roman" w:eastAsia="宋体" w:cs="宋体"/>
          <w:color w:val="auto"/>
          <w:spacing w:val="-1"/>
          <w:sz w:val="24"/>
          <w:szCs w:val="24"/>
          <w:lang w:eastAsia="zh-CN"/>
        </w:rPr>
        <w:t>水蒸气</w:t>
      </w:r>
      <w:r>
        <w:rPr>
          <w:rFonts w:ascii="Times New Roman" w:hAnsi="Times New Roman" w:eastAsia="宋体" w:cs="宋体"/>
          <w:color w:val="auto"/>
          <w:spacing w:val="-1"/>
          <w:sz w:val="24"/>
          <w:szCs w:val="24"/>
        </w:rPr>
        <w:t>，而每一种脱硫剂在运行中都有最佳含水量，只</w:t>
      </w:r>
      <w:r>
        <w:rPr>
          <w:rFonts w:ascii="Times New Roman" w:hAnsi="Times New Roman" w:eastAsia="宋体" w:cs="宋体"/>
          <w:color w:val="auto"/>
          <w:sz w:val="24"/>
          <w:szCs w:val="24"/>
        </w:rPr>
        <w:t>有在该条件下脱硫才具有较高的活性。气水分离</w:t>
      </w:r>
      <w:r>
        <w:rPr>
          <w:rFonts w:ascii="Times New Roman" w:hAnsi="Times New Roman" w:eastAsia="宋体" w:cs="宋体"/>
          <w:color w:val="auto"/>
          <w:spacing w:val="-1"/>
          <w:sz w:val="24"/>
          <w:szCs w:val="24"/>
        </w:rPr>
        <w:t>器的作用就是将沼气中的水</w:t>
      </w:r>
      <w:r>
        <w:rPr>
          <w:rFonts w:ascii="Times New Roman" w:hAnsi="Times New Roman" w:eastAsia="宋体" w:cs="宋体"/>
          <w:color w:val="auto"/>
          <w:sz w:val="24"/>
          <w:szCs w:val="24"/>
        </w:rPr>
        <w:t>分，降至脱硫剂所需要的含水量，经脱水后的沼</w:t>
      </w:r>
      <w:r>
        <w:rPr>
          <w:rFonts w:ascii="Times New Roman" w:hAnsi="Times New Roman" w:eastAsia="宋体" w:cs="宋体"/>
          <w:color w:val="auto"/>
          <w:spacing w:val="-1"/>
          <w:sz w:val="24"/>
          <w:szCs w:val="24"/>
        </w:rPr>
        <w:t>气进入脱硫装置，废水回流</w:t>
      </w:r>
      <w:r>
        <w:rPr>
          <w:rFonts w:ascii="Times New Roman" w:hAnsi="Times New Roman" w:eastAsia="宋体" w:cs="宋体"/>
          <w:color w:val="auto"/>
          <w:spacing w:val="-2"/>
          <w:sz w:val="24"/>
          <w:szCs w:val="24"/>
        </w:rPr>
        <w:t>至黑膜厌氧发酵。</w:t>
      </w:r>
    </w:p>
    <w:p w14:paraId="4B5081EE">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right="0" w:rightChars="0"/>
        <w:jc w:val="both"/>
        <w:textAlignment w:val="baseline"/>
        <w:rPr>
          <w:rFonts w:ascii="Times New Roman" w:hAnsi="Times New Roman" w:eastAsia="宋体" w:cs="宋体"/>
          <w:color w:val="auto"/>
          <w:sz w:val="24"/>
          <w:szCs w:val="24"/>
        </w:rPr>
      </w:pPr>
      <w:r>
        <w:rPr>
          <w:rFonts w:hint="eastAsia" w:ascii="Times New Roman" w:hAnsi="Times New Roman" w:eastAsia="宋体" w:cs="宋体"/>
          <w:color w:val="auto"/>
          <w:spacing w:val="-5"/>
          <w:sz w:val="24"/>
          <w:szCs w:val="24"/>
          <w:lang w:eastAsia="zh-CN"/>
        </w:rPr>
        <w:t>（</w:t>
      </w:r>
      <w:r>
        <w:rPr>
          <w:rFonts w:hint="eastAsia" w:ascii="Times New Roman" w:hAnsi="Times New Roman" w:eastAsia="宋体" w:cs="宋体"/>
          <w:color w:val="auto"/>
          <w:spacing w:val="-5"/>
          <w:sz w:val="24"/>
          <w:szCs w:val="24"/>
          <w:lang w:val="en-US" w:eastAsia="zh-CN"/>
        </w:rPr>
        <w:t>2</w:t>
      </w:r>
      <w:r>
        <w:rPr>
          <w:rFonts w:hint="eastAsia" w:ascii="Times New Roman" w:hAnsi="Times New Roman" w:eastAsia="宋体" w:cs="宋体"/>
          <w:color w:val="auto"/>
          <w:spacing w:val="-5"/>
          <w:sz w:val="24"/>
          <w:szCs w:val="24"/>
          <w:lang w:eastAsia="zh-CN"/>
        </w:rPr>
        <w:t>）</w:t>
      </w:r>
      <w:r>
        <w:rPr>
          <w:rFonts w:ascii="Times New Roman" w:hAnsi="Times New Roman" w:eastAsia="宋体" w:cs="宋体"/>
          <w:color w:val="auto"/>
          <w:spacing w:val="-5"/>
          <w:sz w:val="24"/>
          <w:szCs w:val="24"/>
        </w:rPr>
        <w:t>脱硫</w:t>
      </w:r>
    </w:p>
    <w:p w14:paraId="202097F6">
      <w:pPr>
        <w:pStyle w:val="27"/>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76" w:firstLineChars="200"/>
        <w:jc w:val="both"/>
        <w:textAlignment w:val="baseline"/>
        <w:rPr>
          <w:rFonts w:ascii="Times New Roman" w:hAnsi="Times New Roman" w:eastAsia="宋体" w:cs="宋体"/>
          <w:color w:val="auto"/>
          <w:sz w:val="24"/>
          <w:szCs w:val="24"/>
        </w:rPr>
      </w:pPr>
      <w:r>
        <w:rPr>
          <w:rFonts w:ascii="Times New Roman" w:hAnsi="Times New Roman" w:eastAsia="宋体" w:cs="宋体"/>
          <w:color w:val="auto"/>
          <w:spacing w:val="-1"/>
          <w:sz w:val="24"/>
          <w:szCs w:val="24"/>
        </w:rPr>
        <w:t>采用干法脱硫，即在圆柱状脱硫塔内装填一定</w:t>
      </w:r>
      <w:r>
        <w:rPr>
          <w:rFonts w:hint="eastAsia" w:ascii="Times New Roman" w:hAnsi="Times New Roman" w:eastAsia="宋体" w:cs="宋体"/>
          <w:color w:val="auto"/>
          <w:spacing w:val="-1"/>
          <w:sz w:val="24"/>
          <w:szCs w:val="24"/>
          <w:lang w:val="en-US" w:eastAsia="zh-CN"/>
        </w:rPr>
        <w:t>量的</w:t>
      </w:r>
      <w:r>
        <w:rPr>
          <w:rFonts w:ascii="Times New Roman" w:hAnsi="Times New Roman" w:eastAsia="宋体" w:cs="宋体"/>
          <w:color w:val="auto"/>
          <w:spacing w:val="-2"/>
          <w:sz w:val="24"/>
          <w:szCs w:val="24"/>
        </w:rPr>
        <w:t>脱硫剂</w:t>
      </w:r>
      <w:r>
        <w:rPr>
          <w:rFonts w:hint="eastAsia" w:ascii="Times New Roman" w:hAnsi="Times New Roman" w:eastAsia="宋体" w:cs="宋体"/>
          <w:color w:val="auto"/>
          <w:spacing w:val="-2"/>
          <w:sz w:val="24"/>
          <w:szCs w:val="24"/>
          <w:lang w:eastAsia="zh-CN"/>
        </w:rPr>
        <w:t>（</w:t>
      </w:r>
      <w:r>
        <w:rPr>
          <w:rFonts w:ascii="Times New Roman" w:hAnsi="Times New Roman" w:eastAsia="宋体" w:cs="宋体"/>
          <w:color w:val="auto"/>
          <w:spacing w:val="-2"/>
          <w:sz w:val="24"/>
          <w:szCs w:val="24"/>
        </w:rPr>
        <w:t>圆柱状氧化</w:t>
      </w:r>
      <w:r>
        <w:rPr>
          <w:rFonts w:ascii="Times New Roman" w:hAnsi="Times New Roman" w:eastAsia="宋体" w:cs="宋体"/>
          <w:color w:val="auto"/>
          <w:spacing w:val="1"/>
          <w:sz w:val="24"/>
          <w:szCs w:val="24"/>
        </w:rPr>
        <w:t>铁</w:t>
      </w:r>
      <w:r>
        <w:rPr>
          <w:rFonts w:hint="eastAsia" w:ascii="Times New Roman" w:hAnsi="Times New Roman" w:eastAsia="宋体" w:cs="宋体"/>
          <w:color w:val="auto"/>
          <w:spacing w:val="-2"/>
          <w:sz w:val="24"/>
          <w:szCs w:val="24"/>
          <w:lang w:eastAsia="zh-CN"/>
        </w:rPr>
        <w:t>）</w:t>
      </w:r>
      <w:r>
        <w:rPr>
          <w:rFonts w:ascii="Times New Roman" w:hAnsi="Times New Roman" w:eastAsia="宋体" w:cs="宋体"/>
          <w:color w:val="auto"/>
          <w:spacing w:val="1"/>
          <w:sz w:val="24"/>
          <w:szCs w:val="24"/>
        </w:rPr>
        <w:t>，沼气自下而上通过脱硫剂，H</w:t>
      </w:r>
      <w:r>
        <w:rPr>
          <w:rFonts w:ascii="Times New Roman" w:hAnsi="Times New Roman" w:eastAsia="宋体" w:cs="宋体"/>
          <w:color w:val="auto"/>
          <w:spacing w:val="1"/>
          <w:position w:val="-1"/>
          <w:sz w:val="24"/>
          <w:szCs w:val="24"/>
          <w:vertAlign w:val="subscript"/>
        </w:rPr>
        <w:t>2</w:t>
      </w:r>
      <w:r>
        <w:rPr>
          <w:rFonts w:ascii="Times New Roman" w:hAnsi="Times New Roman" w:eastAsia="宋体" w:cs="宋体"/>
          <w:color w:val="auto"/>
          <w:spacing w:val="1"/>
          <w:sz w:val="24"/>
          <w:szCs w:val="24"/>
        </w:rPr>
        <w:t>S被去除，实现</w:t>
      </w:r>
      <w:r>
        <w:rPr>
          <w:rFonts w:ascii="Times New Roman" w:hAnsi="Times New Roman" w:eastAsia="宋体" w:cs="宋体"/>
          <w:color w:val="auto"/>
          <w:sz w:val="24"/>
          <w:szCs w:val="24"/>
        </w:rPr>
        <w:t>脱硫过程。脱硫原理分为</w:t>
      </w:r>
      <w:r>
        <w:rPr>
          <w:rFonts w:ascii="Times New Roman" w:hAnsi="Times New Roman" w:eastAsia="宋体" w:cs="宋体"/>
          <w:color w:val="auto"/>
          <w:spacing w:val="-1"/>
          <w:sz w:val="24"/>
          <w:szCs w:val="24"/>
        </w:rPr>
        <w:t>氧化反应和还原再生反应两部分，具体如下：</w:t>
      </w:r>
    </w:p>
    <w:p w14:paraId="120C6969">
      <w:pPr>
        <w:pStyle w:val="27"/>
        <w:keepNext w:val="0"/>
        <w:keepLines w:val="0"/>
        <w:pageBreakBefore w:val="0"/>
        <w:widowControl/>
        <w:kinsoku w:val="0"/>
        <w:wordWrap/>
        <w:overflowPunct/>
        <w:topLinePunct w:val="0"/>
        <w:autoSpaceDE w:val="0"/>
        <w:autoSpaceDN w:val="0"/>
        <w:bidi w:val="0"/>
        <w:adjustRightInd w:val="0"/>
        <w:snapToGrid/>
        <w:spacing w:line="360" w:lineRule="auto"/>
        <w:ind w:right="42" w:rightChars="20"/>
        <w:jc w:val="center"/>
        <w:textAlignment w:val="baseline"/>
        <w:rPr>
          <w:rFonts w:ascii="Times New Roman" w:hAnsi="Times New Roman" w:eastAsia="宋体" w:cs="宋体"/>
          <w:color w:val="auto"/>
          <w:position w:val="2"/>
          <w:sz w:val="24"/>
          <w:szCs w:val="24"/>
        </w:rPr>
      </w:pPr>
      <w:r>
        <w:rPr>
          <w:rFonts w:ascii="Times New Roman" w:hAnsi="Times New Roman" w:eastAsia="宋体" w:cs="宋体"/>
          <w:color w:val="auto"/>
          <w:position w:val="2"/>
          <w:sz w:val="24"/>
          <w:szCs w:val="24"/>
        </w:rPr>
        <w:t>Fe</w:t>
      </w:r>
      <w:r>
        <w:rPr>
          <w:rFonts w:ascii="Times New Roman" w:hAnsi="Times New Roman" w:eastAsia="宋体" w:cs="宋体"/>
          <w:color w:val="auto"/>
          <w:position w:val="2"/>
          <w:sz w:val="24"/>
          <w:szCs w:val="24"/>
          <w:vertAlign w:val="subscript"/>
        </w:rPr>
        <w:t>2</w:t>
      </w:r>
      <w:r>
        <w:rPr>
          <w:rFonts w:ascii="Times New Roman" w:hAnsi="Times New Roman" w:eastAsia="宋体" w:cs="宋体"/>
          <w:color w:val="auto"/>
          <w:position w:val="2"/>
          <w:sz w:val="24"/>
          <w:szCs w:val="24"/>
        </w:rPr>
        <w:t>O</w:t>
      </w:r>
      <w:r>
        <w:rPr>
          <w:rFonts w:ascii="Times New Roman" w:hAnsi="Times New Roman" w:eastAsia="宋体" w:cs="宋体"/>
          <w:color w:val="auto"/>
          <w:position w:val="1"/>
          <w:sz w:val="24"/>
          <w:szCs w:val="24"/>
          <w:vertAlign w:val="subscript"/>
        </w:rPr>
        <w:t>3</w:t>
      </w:r>
      <w:r>
        <w:rPr>
          <w:rFonts w:ascii="Times New Roman" w:hAnsi="Times New Roman" w:eastAsia="宋体" w:cs="宋体"/>
          <w:color w:val="auto"/>
          <w:position w:val="2"/>
          <w:sz w:val="24"/>
          <w:szCs w:val="24"/>
        </w:rPr>
        <w:t>·H</w:t>
      </w:r>
      <w:r>
        <w:rPr>
          <w:rFonts w:ascii="Times New Roman" w:hAnsi="Times New Roman" w:eastAsia="宋体" w:cs="宋体"/>
          <w:color w:val="auto"/>
          <w:position w:val="1"/>
          <w:sz w:val="24"/>
          <w:szCs w:val="24"/>
          <w:vertAlign w:val="subscript"/>
        </w:rPr>
        <w:t>2</w:t>
      </w:r>
      <w:r>
        <w:rPr>
          <w:rFonts w:ascii="Times New Roman" w:hAnsi="Times New Roman" w:eastAsia="宋体" w:cs="宋体"/>
          <w:color w:val="auto"/>
          <w:position w:val="2"/>
          <w:sz w:val="24"/>
          <w:szCs w:val="24"/>
        </w:rPr>
        <w:t>O+3H</w:t>
      </w:r>
      <w:r>
        <w:rPr>
          <w:rFonts w:ascii="Times New Roman" w:hAnsi="Times New Roman" w:eastAsia="宋体" w:cs="宋体"/>
          <w:color w:val="auto"/>
          <w:position w:val="1"/>
          <w:sz w:val="24"/>
          <w:szCs w:val="24"/>
          <w:vertAlign w:val="subscript"/>
        </w:rPr>
        <w:t>2</w:t>
      </w:r>
      <w:r>
        <w:rPr>
          <w:rFonts w:ascii="Times New Roman" w:hAnsi="Times New Roman" w:eastAsia="宋体" w:cs="宋体"/>
          <w:color w:val="auto"/>
          <w:position w:val="2"/>
          <w:sz w:val="24"/>
          <w:szCs w:val="24"/>
        </w:rPr>
        <w:t>S=Fe</w:t>
      </w:r>
      <w:r>
        <w:rPr>
          <w:rFonts w:ascii="Times New Roman" w:hAnsi="Times New Roman" w:eastAsia="宋体" w:cs="宋体"/>
          <w:color w:val="auto"/>
          <w:position w:val="2"/>
          <w:sz w:val="24"/>
          <w:szCs w:val="24"/>
          <w:vertAlign w:val="subscript"/>
        </w:rPr>
        <w:t>2</w:t>
      </w:r>
      <w:r>
        <w:rPr>
          <w:rFonts w:ascii="Times New Roman" w:hAnsi="Times New Roman" w:eastAsia="宋体" w:cs="宋体"/>
          <w:color w:val="auto"/>
          <w:position w:val="2"/>
          <w:sz w:val="24"/>
          <w:szCs w:val="24"/>
        </w:rPr>
        <w:t>S</w:t>
      </w:r>
      <w:r>
        <w:rPr>
          <w:rFonts w:ascii="Times New Roman" w:hAnsi="Times New Roman" w:eastAsia="宋体" w:cs="宋体"/>
          <w:color w:val="auto"/>
          <w:position w:val="1"/>
          <w:sz w:val="24"/>
          <w:szCs w:val="24"/>
          <w:vertAlign w:val="subscript"/>
        </w:rPr>
        <w:t>3</w:t>
      </w:r>
      <w:r>
        <w:rPr>
          <w:rFonts w:ascii="Times New Roman" w:hAnsi="Times New Roman" w:eastAsia="宋体" w:cs="宋体"/>
          <w:color w:val="auto"/>
          <w:position w:val="2"/>
          <w:sz w:val="24"/>
          <w:szCs w:val="24"/>
        </w:rPr>
        <w:t>·H</w:t>
      </w:r>
      <w:r>
        <w:rPr>
          <w:rFonts w:ascii="Times New Roman" w:hAnsi="Times New Roman" w:eastAsia="宋体" w:cs="宋体"/>
          <w:color w:val="auto"/>
          <w:position w:val="1"/>
          <w:sz w:val="24"/>
          <w:szCs w:val="24"/>
          <w:vertAlign w:val="subscript"/>
        </w:rPr>
        <w:t>2</w:t>
      </w:r>
      <w:r>
        <w:rPr>
          <w:rFonts w:ascii="Times New Roman" w:hAnsi="Times New Roman" w:eastAsia="宋体" w:cs="宋体"/>
          <w:color w:val="auto"/>
          <w:position w:val="2"/>
          <w:sz w:val="24"/>
          <w:szCs w:val="24"/>
        </w:rPr>
        <w:t>O+3H</w:t>
      </w:r>
      <w:r>
        <w:rPr>
          <w:rFonts w:ascii="Times New Roman" w:hAnsi="Times New Roman" w:eastAsia="宋体" w:cs="宋体"/>
          <w:color w:val="auto"/>
          <w:position w:val="1"/>
          <w:sz w:val="24"/>
          <w:szCs w:val="24"/>
          <w:vertAlign w:val="subscript"/>
        </w:rPr>
        <w:t>2</w:t>
      </w:r>
      <w:r>
        <w:rPr>
          <w:rFonts w:ascii="Times New Roman" w:hAnsi="Times New Roman" w:eastAsia="宋体" w:cs="宋体"/>
          <w:color w:val="auto"/>
          <w:position w:val="2"/>
          <w:sz w:val="24"/>
          <w:szCs w:val="24"/>
        </w:rPr>
        <w:t>O</w:t>
      </w:r>
    </w:p>
    <w:p w14:paraId="3494A44A">
      <w:pPr>
        <w:pStyle w:val="27"/>
        <w:keepNext w:val="0"/>
        <w:keepLines w:val="0"/>
        <w:pageBreakBefore w:val="0"/>
        <w:widowControl/>
        <w:kinsoku w:val="0"/>
        <w:wordWrap/>
        <w:overflowPunct/>
        <w:topLinePunct w:val="0"/>
        <w:autoSpaceDE w:val="0"/>
        <w:autoSpaceDN w:val="0"/>
        <w:bidi w:val="0"/>
        <w:adjustRightInd w:val="0"/>
        <w:spacing w:line="360" w:lineRule="auto"/>
        <w:ind w:left="42" w:leftChars="20" w:right="42" w:rightChars="20"/>
        <w:jc w:val="center"/>
        <w:textAlignment w:val="baseline"/>
        <w:rPr>
          <w:rFonts w:ascii="Times New Roman" w:hAnsi="Times New Roman" w:eastAsia="宋体" w:cs="宋体"/>
          <w:color w:val="auto"/>
          <w:sz w:val="24"/>
          <w:szCs w:val="24"/>
        </w:rPr>
      </w:pPr>
      <w:r>
        <w:rPr>
          <w:rFonts w:ascii="Times New Roman" w:hAnsi="Times New Roman" w:eastAsia="宋体" w:cs="宋体"/>
          <w:color w:val="auto"/>
          <w:spacing w:val="-1"/>
          <w:sz w:val="24"/>
          <w:szCs w:val="24"/>
        </w:rPr>
        <w:t>2Fe</w:t>
      </w:r>
      <w:r>
        <w:rPr>
          <w:rFonts w:ascii="Times New Roman" w:hAnsi="Times New Roman" w:eastAsia="宋体" w:cs="宋体"/>
          <w:color w:val="auto"/>
          <w:spacing w:val="-1"/>
          <w:sz w:val="24"/>
          <w:szCs w:val="24"/>
          <w:vertAlign w:val="subscript"/>
        </w:rPr>
        <w:t>2</w:t>
      </w:r>
      <w:r>
        <w:rPr>
          <w:rFonts w:ascii="Times New Roman" w:hAnsi="Times New Roman" w:eastAsia="宋体" w:cs="宋体"/>
          <w:color w:val="auto"/>
          <w:spacing w:val="-1"/>
          <w:sz w:val="24"/>
          <w:szCs w:val="24"/>
        </w:rPr>
        <w:t>S</w:t>
      </w:r>
      <w:r>
        <w:rPr>
          <w:rFonts w:ascii="Times New Roman" w:hAnsi="Times New Roman" w:eastAsia="宋体" w:cs="宋体"/>
          <w:color w:val="auto"/>
          <w:spacing w:val="-1"/>
          <w:position w:val="-1"/>
          <w:sz w:val="15"/>
          <w:szCs w:val="15"/>
        </w:rPr>
        <w:t>3</w:t>
      </w:r>
      <w:r>
        <w:rPr>
          <w:rFonts w:ascii="Times New Roman" w:hAnsi="Times New Roman" w:eastAsia="宋体" w:cs="宋体"/>
          <w:color w:val="auto"/>
          <w:spacing w:val="-1"/>
          <w:sz w:val="24"/>
          <w:szCs w:val="24"/>
        </w:rPr>
        <w:t>·H</w:t>
      </w:r>
      <w:r>
        <w:rPr>
          <w:rFonts w:ascii="Times New Roman" w:hAnsi="Times New Roman" w:eastAsia="宋体" w:cs="宋体"/>
          <w:color w:val="auto"/>
          <w:spacing w:val="-1"/>
          <w:position w:val="-1"/>
          <w:sz w:val="15"/>
          <w:szCs w:val="15"/>
        </w:rPr>
        <w:t>2</w:t>
      </w:r>
      <w:r>
        <w:rPr>
          <w:rFonts w:ascii="Times New Roman" w:hAnsi="Times New Roman" w:eastAsia="宋体" w:cs="宋体"/>
          <w:color w:val="auto"/>
          <w:spacing w:val="-1"/>
          <w:sz w:val="24"/>
          <w:szCs w:val="24"/>
        </w:rPr>
        <w:t>O+3O</w:t>
      </w:r>
      <w:r>
        <w:rPr>
          <w:rFonts w:ascii="Times New Roman" w:hAnsi="Times New Roman" w:eastAsia="宋体" w:cs="宋体"/>
          <w:color w:val="auto"/>
          <w:spacing w:val="-1"/>
          <w:position w:val="-1"/>
          <w:sz w:val="15"/>
          <w:szCs w:val="15"/>
        </w:rPr>
        <w:t>2</w:t>
      </w:r>
      <w:r>
        <w:rPr>
          <w:rFonts w:ascii="Times New Roman" w:hAnsi="Times New Roman" w:eastAsia="宋体" w:cs="宋体"/>
          <w:color w:val="auto"/>
          <w:spacing w:val="-1"/>
          <w:sz w:val="24"/>
          <w:szCs w:val="24"/>
        </w:rPr>
        <w:t>＝2Fe</w:t>
      </w:r>
      <w:r>
        <w:rPr>
          <w:rFonts w:ascii="Times New Roman" w:hAnsi="Times New Roman" w:eastAsia="宋体" w:cs="宋体"/>
          <w:color w:val="auto"/>
          <w:spacing w:val="-1"/>
          <w:sz w:val="24"/>
          <w:szCs w:val="24"/>
          <w:vertAlign w:val="subscript"/>
        </w:rPr>
        <w:t>2</w:t>
      </w:r>
      <w:r>
        <w:rPr>
          <w:rFonts w:ascii="Times New Roman" w:hAnsi="Times New Roman" w:eastAsia="宋体" w:cs="宋体"/>
          <w:color w:val="auto"/>
          <w:spacing w:val="-1"/>
          <w:sz w:val="24"/>
          <w:szCs w:val="24"/>
        </w:rPr>
        <w:t>O</w:t>
      </w:r>
      <w:r>
        <w:rPr>
          <w:rFonts w:ascii="Times New Roman" w:hAnsi="Times New Roman" w:eastAsia="宋体" w:cs="宋体"/>
          <w:color w:val="auto"/>
          <w:spacing w:val="-1"/>
          <w:position w:val="-1"/>
          <w:sz w:val="24"/>
          <w:szCs w:val="24"/>
          <w:vertAlign w:val="subscript"/>
        </w:rPr>
        <w:t>3</w:t>
      </w:r>
      <w:r>
        <w:rPr>
          <w:rFonts w:ascii="Times New Roman" w:hAnsi="Times New Roman" w:eastAsia="宋体" w:cs="宋体"/>
          <w:color w:val="auto"/>
          <w:spacing w:val="-1"/>
          <w:sz w:val="24"/>
          <w:szCs w:val="24"/>
        </w:rPr>
        <w:t>·H</w:t>
      </w:r>
      <w:r>
        <w:rPr>
          <w:rFonts w:ascii="Times New Roman" w:hAnsi="Times New Roman" w:eastAsia="宋体" w:cs="宋体"/>
          <w:color w:val="auto"/>
          <w:spacing w:val="-1"/>
          <w:position w:val="-1"/>
          <w:sz w:val="24"/>
          <w:szCs w:val="24"/>
          <w:vertAlign w:val="subscript"/>
        </w:rPr>
        <w:t>2</w:t>
      </w:r>
      <w:r>
        <w:rPr>
          <w:rFonts w:ascii="Times New Roman" w:hAnsi="Times New Roman" w:eastAsia="宋体" w:cs="宋体"/>
          <w:color w:val="auto"/>
          <w:spacing w:val="-1"/>
          <w:sz w:val="24"/>
          <w:szCs w:val="24"/>
        </w:rPr>
        <w:t>O+6S</w:t>
      </w:r>
    </w:p>
    <w:p w14:paraId="61580026">
      <w:pPr>
        <w:pStyle w:val="27"/>
        <w:keepNext w:val="0"/>
        <w:keepLines w:val="0"/>
        <w:pageBreakBefore w:val="0"/>
        <w:widowControl/>
        <w:kinsoku w:val="0"/>
        <w:wordWrap/>
        <w:overflowPunct/>
        <w:topLinePunct w:val="0"/>
        <w:autoSpaceDE w:val="0"/>
        <w:autoSpaceDN w:val="0"/>
        <w:bidi w:val="0"/>
        <w:adjustRightInd w:val="0"/>
        <w:snapToGrid w:val="0"/>
        <w:spacing w:line="360" w:lineRule="auto"/>
        <w:ind w:left="42" w:leftChars="20" w:right="42" w:rightChars="20" w:firstLine="476" w:firstLineChars="200"/>
        <w:jc w:val="both"/>
        <w:textAlignment w:val="baseline"/>
        <w:rPr>
          <w:rFonts w:ascii="Times New Roman" w:hAnsi="Times New Roman" w:eastAsia="宋体" w:cs="宋体"/>
          <w:color w:val="auto"/>
          <w:sz w:val="24"/>
          <w:szCs w:val="24"/>
        </w:rPr>
      </w:pPr>
      <w:r>
        <w:rPr>
          <w:rFonts w:ascii="Times New Roman" w:hAnsi="Times New Roman" w:eastAsia="宋体" w:cs="宋体"/>
          <w:color w:val="auto"/>
          <w:spacing w:val="-1"/>
          <w:sz w:val="24"/>
          <w:szCs w:val="24"/>
        </w:rPr>
        <w:t>综合以上</w:t>
      </w:r>
      <w:r>
        <w:rPr>
          <w:rFonts w:hint="eastAsia" w:ascii="Times New Roman" w:hAnsi="Times New Roman" w:eastAsia="宋体" w:cs="宋体"/>
          <w:color w:val="auto"/>
          <w:spacing w:val="-1"/>
          <w:sz w:val="24"/>
          <w:szCs w:val="24"/>
          <w:lang w:eastAsia="zh-CN"/>
        </w:rPr>
        <w:t>两个</w:t>
      </w:r>
      <w:r>
        <w:rPr>
          <w:rFonts w:ascii="Times New Roman" w:hAnsi="Times New Roman" w:eastAsia="宋体" w:cs="宋体"/>
          <w:color w:val="auto"/>
          <w:spacing w:val="-1"/>
          <w:sz w:val="24"/>
          <w:szCs w:val="24"/>
        </w:rPr>
        <w:t>反应式，沼气脱硫反应式如下：</w:t>
      </w:r>
    </w:p>
    <w:p w14:paraId="34C71391">
      <w:pPr>
        <w:pStyle w:val="27"/>
        <w:keepNext w:val="0"/>
        <w:keepLines w:val="0"/>
        <w:pageBreakBefore w:val="0"/>
        <w:widowControl/>
        <w:kinsoku w:val="0"/>
        <w:wordWrap/>
        <w:overflowPunct/>
        <w:topLinePunct w:val="0"/>
        <w:autoSpaceDE w:val="0"/>
        <w:autoSpaceDN w:val="0"/>
        <w:bidi w:val="0"/>
        <w:adjustRightInd w:val="0"/>
        <w:spacing w:line="360" w:lineRule="auto"/>
        <w:ind w:left="42" w:leftChars="20" w:right="42" w:rightChars="20"/>
        <w:jc w:val="center"/>
        <w:textAlignment w:val="baseline"/>
        <w:rPr>
          <w:rFonts w:ascii="Times New Roman" w:hAnsi="Times New Roman" w:eastAsia="宋体" w:cs="宋体"/>
          <w:color w:val="auto"/>
          <w:sz w:val="24"/>
          <w:szCs w:val="24"/>
        </w:rPr>
      </w:pPr>
      <w:r>
        <w:rPr>
          <w:rFonts w:ascii="Times New Roman" w:hAnsi="Times New Roman" w:eastAsia="宋体" w:cs="宋体"/>
          <w:color w:val="auto"/>
          <w:spacing w:val="-1"/>
          <w:position w:val="3"/>
          <w:sz w:val="24"/>
          <w:szCs w:val="24"/>
        </w:rPr>
        <w:t>H</w:t>
      </w:r>
      <w:r>
        <w:rPr>
          <w:rFonts w:ascii="Times New Roman" w:hAnsi="Times New Roman" w:eastAsia="宋体" w:cs="宋体"/>
          <w:color w:val="auto"/>
          <w:spacing w:val="-1"/>
          <w:position w:val="2"/>
          <w:sz w:val="24"/>
          <w:szCs w:val="24"/>
          <w:vertAlign w:val="subscript"/>
        </w:rPr>
        <w:t>2</w:t>
      </w:r>
      <w:r>
        <w:rPr>
          <w:rFonts w:ascii="Times New Roman" w:hAnsi="Times New Roman" w:eastAsia="宋体" w:cs="宋体"/>
          <w:color w:val="auto"/>
          <w:spacing w:val="-1"/>
          <w:position w:val="3"/>
          <w:sz w:val="24"/>
          <w:szCs w:val="24"/>
        </w:rPr>
        <w:t>S+1/2O</w:t>
      </w:r>
      <w:r>
        <w:rPr>
          <w:rFonts w:ascii="Times New Roman" w:hAnsi="Times New Roman" w:eastAsia="宋体" w:cs="宋体"/>
          <w:color w:val="auto"/>
          <w:spacing w:val="-1"/>
          <w:position w:val="2"/>
          <w:sz w:val="24"/>
          <w:szCs w:val="24"/>
          <w:vertAlign w:val="subscript"/>
        </w:rPr>
        <w:t>2</w:t>
      </w:r>
      <w:r>
        <w:rPr>
          <w:rFonts w:ascii="Times New Roman" w:hAnsi="Times New Roman" w:eastAsia="宋体" w:cs="宋体"/>
          <w:color w:val="auto"/>
          <w:spacing w:val="-1"/>
          <w:position w:val="3"/>
          <w:sz w:val="24"/>
          <w:szCs w:val="24"/>
        </w:rPr>
        <w:t>＝S+H</w:t>
      </w:r>
      <w:r>
        <w:rPr>
          <w:rFonts w:ascii="Times New Roman" w:hAnsi="Times New Roman" w:eastAsia="宋体" w:cs="宋体"/>
          <w:color w:val="auto"/>
          <w:spacing w:val="-1"/>
          <w:position w:val="2"/>
          <w:sz w:val="24"/>
          <w:szCs w:val="24"/>
          <w:vertAlign w:val="subscript"/>
        </w:rPr>
        <w:t>2</w:t>
      </w:r>
      <w:r>
        <w:rPr>
          <w:rFonts w:ascii="Times New Roman" w:hAnsi="Times New Roman" w:eastAsia="宋体" w:cs="宋体"/>
          <w:color w:val="auto"/>
          <w:spacing w:val="-1"/>
          <w:position w:val="3"/>
          <w:sz w:val="24"/>
          <w:szCs w:val="24"/>
        </w:rPr>
        <w:t>O</w:t>
      </w:r>
      <w:r>
        <w:rPr>
          <w:rFonts w:hint="eastAsia" w:ascii="Times New Roman" w:hAnsi="Times New Roman" w:eastAsia="宋体" w:cs="宋体"/>
          <w:color w:val="auto"/>
          <w:spacing w:val="-1"/>
          <w:position w:val="3"/>
          <w:sz w:val="24"/>
          <w:szCs w:val="24"/>
          <w:lang w:eastAsia="zh-CN"/>
        </w:rPr>
        <w:t>（</w:t>
      </w:r>
      <w:r>
        <w:rPr>
          <w:rFonts w:ascii="Times New Roman" w:hAnsi="Times New Roman" w:eastAsia="宋体" w:cs="宋体"/>
          <w:color w:val="auto"/>
          <w:spacing w:val="-1"/>
          <w:position w:val="3"/>
          <w:sz w:val="24"/>
          <w:szCs w:val="24"/>
        </w:rPr>
        <w:t>反应条件是Fe</w:t>
      </w:r>
      <w:r>
        <w:rPr>
          <w:rFonts w:ascii="Times New Roman" w:hAnsi="Times New Roman" w:eastAsia="宋体" w:cs="宋体"/>
          <w:color w:val="auto"/>
          <w:spacing w:val="-1"/>
          <w:position w:val="3"/>
          <w:sz w:val="24"/>
          <w:szCs w:val="24"/>
          <w:vertAlign w:val="subscript"/>
        </w:rPr>
        <w:t>2</w:t>
      </w:r>
      <w:r>
        <w:rPr>
          <w:rFonts w:ascii="Times New Roman" w:hAnsi="Times New Roman" w:eastAsia="宋体" w:cs="宋体"/>
          <w:color w:val="auto"/>
          <w:spacing w:val="-1"/>
          <w:position w:val="3"/>
          <w:sz w:val="24"/>
          <w:szCs w:val="24"/>
        </w:rPr>
        <w:t>O</w:t>
      </w:r>
      <w:r>
        <w:rPr>
          <w:rFonts w:ascii="Times New Roman" w:hAnsi="Times New Roman" w:eastAsia="宋体" w:cs="宋体"/>
          <w:color w:val="auto"/>
          <w:spacing w:val="-1"/>
          <w:position w:val="2"/>
          <w:sz w:val="24"/>
          <w:szCs w:val="24"/>
          <w:vertAlign w:val="subscript"/>
        </w:rPr>
        <w:t>3</w:t>
      </w:r>
      <w:r>
        <w:rPr>
          <w:rFonts w:ascii="Times New Roman" w:hAnsi="Times New Roman" w:eastAsia="宋体" w:cs="宋体"/>
          <w:color w:val="auto"/>
          <w:spacing w:val="-1"/>
          <w:position w:val="3"/>
          <w:sz w:val="24"/>
          <w:szCs w:val="24"/>
        </w:rPr>
        <w:t>·H</w:t>
      </w:r>
      <w:r>
        <w:rPr>
          <w:rFonts w:ascii="Times New Roman" w:hAnsi="Times New Roman" w:eastAsia="宋体" w:cs="宋体"/>
          <w:color w:val="auto"/>
          <w:spacing w:val="-1"/>
          <w:position w:val="2"/>
          <w:sz w:val="24"/>
          <w:szCs w:val="24"/>
          <w:vertAlign w:val="subscript"/>
        </w:rPr>
        <w:t>2</w:t>
      </w:r>
      <w:r>
        <w:rPr>
          <w:rFonts w:ascii="Times New Roman" w:hAnsi="Times New Roman" w:eastAsia="宋体" w:cs="宋体"/>
          <w:color w:val="auto"/>
          <w:spacing w:val="-1"/>
          <w:position w:val="3"/>
          <w:sz w:val="24"/>
          <w:szCs w:val="24"/>
        </w:rPr>
        <w:t>O</w:t>
      </w:r>
      <w:r>
        <w:rPr>
          <w:rFonts w:hint="eastAsia" w:ascii="Times New Roman" w:hAnsi="Times New Roman" w:eastAsia="宋体" w:cs="宋体"/>
          <w:color w:val="auto"/>
          <w:spacing w:val="-1"/>
          <w:position w:val="3"/>
          <w:sz w:val="24"/>
          <w:szCs w:val="24"/>
          <w:lang w:eastAsia="zh-CN"/>
        </w:rPr>
        <w:t>）</w:t>
      </w:r>
    </w:p>
    <w:p w14:paraId="25EC6B93">
      <w:pPr>
        <w:pStyle w:val="27"/>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64" w:firstLineChars="200"/>
        <w:jc w:val="both"/>
        <w:textAlignment w:val="baseline"/>
        <w:rPr>
          <w:rFonts w:hint="default" w:ascii="Times New Roman" w:hAnsi="Times New Roman" w:eastAsia="宋体" w:cs="宋体"/>
          <w:color w:val="auto"/>
          <w:position w:val="2"/>
          <w:sz w:val="24"/>
          <w:szCs w:val="24"/>
          <w:lang w:val="en-US" w:eastAsia="zh-CN"/>
        </w:rPr>
      </w:pPr>
      <w:r>
        <w:rPr>
          <w:rFonts w:ascii="Times New Roman" w:hAnsi="Times New Roman" w:eastAsia="宋体" w:cs="宋体"/>
          <w:color w:val="auto"/>
          <w:spacing w:val="-4"/>
          <w:sz w:val="24"/>
          <w:szCs w:val="24"/>
        </w:rPr>
        <w:t>脱硫剂吸收一定</w:t>
      </w:r>
      <w:r>
        <w:rPr>
          <w:rFonts w:hint="eastAsia" w:ascii="Times New Roman" w:hAnsi="Times New Roman" w:eastAsia="宋体" w:cs="宋体"/>
          <w:color w:val="auto"/>
          <w:spacing w:val="-4"/>
          <w:sz w:val="24"/>
          <w:szCs w:val="24"/>
          <w:lang w:val="en-US" w:eastAsia="zh-CN"/>
        </w:rPr>
        <w:t>量的</w:t>
      </w:r>
      <w:r>
        <w:rPr>
          <w:rFonts w:ascii="Times New Roman" w:hAnsi="Times New Roman" w:eastAsia="宋体" w:cs="宋体"/>
          <w:color w:val="auto"/>
          <w:spacing w:val="-4"/>
          <w:sz w:val="24"/>
          <w:szCs w:val="24"/>
        </w:rPr>
        <w:t>H</w:t>
      </w:r>
      <w:r>
        <w:rPr>
          <w:rFonts w:ascii="Times New Roman" w:hAnsi="Times New Roman" w:eastAsia="宋体" w:cs="宋体"/>
          <w:color w:val="auto"/>
          <w:spacing w:val="-4"/>
          <w:position w:val="-1"/>
          <w:sz w:val="24"/>
          <w:szCs w:val="24"/>
          <w:vertAlign w:val="subscript"/>
        </w:rPr>
        <w:t>2</w:t>
      </w:r>
      <w:r>
        <w:rPr>
          <w:rFonts w:ascii="Times New Roman" w:hAnsi="Times New Roman" w:eastAsia="宋体" w:cs="宋体"/>
          <w:color w:val="auto"/>
          <w:spacing w:val="-4"/>
          <w:sz w:val="24"/>
          <w:szCs w:val="24"/>
        </w:rPr>
        <w:t>S失效后，通入空气，空气中的O</w:t>
      </w:r>
      <w:r>
        <w:rPr>
          <w:rFonts w:ascii="Times New Roman" w:hAnsi="Times New Roman" w:eastAsia="宋体" w:cs="宋体"/>
          <w:color w:val="auto"/>
          <w:spacing w:val="-4"/>
          <w:position w:val="-1"/>
          <w:sz w:val="24"/>
          <w:szCs w:val="24"/>
          <w:vertAlign w:val="subscript"/>
        </w:rPr>
        <w:t>2</w:t>
      </w:r>
      <w:r>
        <w:rPr>
          <w:rFonts w:ascii="Times New Roman" w:hAnsi="Times New Roman" w:eastAsia="宋体" w:cs="宋体"/>
          <w:color w:val="auto"/>
          <w:spacing w:val="-4"/>
          <w:sz w:val="24"/>
          <w:szCs w:val="24"/>
        </w:rPr>
        <w:t>将失效的脱硫剂还</w:t>
      </w:r>
      <w:r>
        <w:rPr>
          <w:rFonts w:ascii="Times New Roman" w:hAnsi="Times New Roman" w:eastAsia="宋体" w:cs="宋体"/>
          <w:color w:val="auto"/>
          <w:spacing w:val="-3"/>
          <w:sz w:val="24"/>
          <w:szCs w:val="24"/>
        </w:rPr>
        <w:t>原再生成Fe</w:t>
      </w:r>
      <w:r>
        <w:rPr>
          <w:rFonts w:ascii="Times New Roman" w:hAnsi="Times New Roman" w:eastAsia="宋体" w:cs="宋体"/>
          <w:color w:val="auto"/>
          <w:spacing w:val="-3"/>
          <w:sz w:val="24"/>
          <w:szCs w:val="24"/>
          <w:vertAlign w:val="subscript"/>
        </w:rPr>
        <w:t>2</w:t>
      </w:r>
      <w:r>
        <w:rPr>
          <w:rFonts w:ascii="Times New Roman" w:hAnsi="Times New Roman" w:eastAsia="宋体" w:cs="宋体"/>
          <w:color w:val="auto"/>
          <w:spacing w:val="-3"/>
          <w:sz w:val="24"/>
          <w:szCs w:val="24"/>
        </w:rPr>
        <w:t>O</w:t>
      </w:r>
      <w:r>
        <w:rPr>
          <w:rFonts w:ascii="Times New Roman" w:hAnsi="Times New Roman" w:eastAsia="宋体" w:cs="宋体"/>
          <w:color w:val="auto"/>
          <w:spacing w:val="-3"/>
          <w:position w:val="-1"/>
          <w:sz w:val="24"/>
          <w:szCs w:val="24"/>
          <w:vertAlign w:val="subscript"/>
        </w:rPr>
        <w:t>3</w:t>
      </w:r>
      <w:r>
        <w:rPr>
          <w:rFonts w:ascii="Times New Roman" w:hAnsi="Times New Roman" w:eastAsia="宋体" w:cs="宋体"/>
          <w:color w:val="auto"/>
          <w:spacing w:val="-3"/>
          <w:sz w:val="24"/>
          <w:szCs w:val="24"/>
        </w:rPr>
        <w:t>，并产生单质硫。沼气脱硫剂需定期更换，废脱硫剂</w:t>
      </w:r>
      <w:r>
        <w:rPr>
          <w:rFonts w:ascii="Times New Roman" w:hAnsi="Times New Roman" w:eastAsia="宋体" w:cs="宋体"/>
          <w:color w:val="auto"/>
          <w:spacing w:val="-4"/>
          <w:sz w:val="24"/>
          <w:szCs w:val="24"/>
        </w:rPr>
        <w:t>由脱硫剂</w:t>
      </w:r>
      <w:r>
        <w:rPr>
          <w:rFonts w:ascii="Times New Roman" w:hAnsi="Times New Roman" w:eastAsia="宋体" w:cs="宋体"/>
          <w:color w:val="auto"/>
          <w:spacing w:val="-2"/>
          <w:sz w:val="24"/>
          <w:szCs w:val="24"/>
        </w:rPr>
        <w:t>生产厂家回收再生处理。</w:t>
      </w:r>
    </w:p>
    <w:p w14:paraId="00DC718C">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4.6.2、沼气产量计算</w:t>
      </w:r>
      <w:bookmarkEnd w:id="42"/>
    </w:p>
    <w:p w14:paraId="5BD3525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根据农业农村部沼气科学研究所给出的《沼气产量计算及热值换算方法大全》，沼气产量＝废水浓度（kgCOD/m</w:t>
      </w:r>
      <w:r>
        <w:rPr>
          <w:rFonts w:hint="eastAsia" w:ascii="Times New Roman" w:hAnsi="Times New Roman" w:eastAsia="宋体" w:cs="宋体"/>
          <w:snapToGrid w:val="0"/>
          <w:color w:val="auto"/>
          <w:kern w:val="0"/>
          <w:sz w:val="24"/>
          <w:szCs w:val="24"/>
          <w:vertAlign w:val="superscript"/>
          <w:lang w:val="en-US" w:eastAsia="zh-CN" w:bidi="ar"/>
        </w:rPr>
        <w:t>3</w:t>
      </w:r>
      <w:r>
        <w:rPr>
          <w:rFonts w:hint="eastAsia" w:ascii="Times New Roman" w:hAnsi="Times New Roman" w:eastAsia="宋体" w:cs="宋体"/>
          <w:snapToGrid w:val="0"/>
          <w:color w:val="auto"/>
          <w:kern w:val="0"/>
          <w:sz w:val="24"/>
          <w:szCs w:val="24"/>
          <w:lang w:val="en-US" w:eastAsia="zh-CN" w:bidi="ar"/>
        </w:rPr>
        <w:t>）×设备去除率（%）×废水日排放量（m</w:t>
      </w:r>
      <w:r>
        <w:rPr>
          <w:rFonts w:hint="eastAsia" w:ascii="Times New Roman" w:hAnsi="Times New Roman" w:eastAsia="宋体" w:cs="宋体"/>
          <w:snapToGrid w:val="0"/>
          <w:color w:val="auto"/>
          <w:kern w:val="0"/>
          <w:sz w:val="24"/>
          <w:szCs w:val="24"/>
          <w:vertAlign w:val="superscript"/>
          <w:lang w:val="en-US" w:eastAsia="zh-CN" w:bidi="ar"/>
        </w:rPr>
        <w:t>3</w:t>
      </w:r>
      <w:r>
        <w:rPr>
          <w:rFonts w:hint="eastAsia" w:ascii="Times New Roman" w:hAnsi="Times New Roman" w:eastAsia="宋体" w:cs="宋体"/>
          <w:snapToGrid w:val="0"/>
          <w:color w:val="auto"/>
          <w:kern w:val="0"/>
          <w:sz w:val="24"/>
          <w:szCs w:val="24"/>
          <w:lang w:val="en-US" w:eastAsia="zh-CN" w:bidi="ar"/>
        </w:rPr>
        <w:t>/d）×产沼气率。</w:t>
      </w:r>
    </w:p>
    <w:p w14:paraId="3B40E6F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其中，产沼气率为0.7m</w:t>
      </w:r>
      <w:r>
        <w:rPr>
          <w:rFonts w:hint="eastAsia" w:ascii="Times New Roman" w:hAnsi="Times New Roman" w:eastAsia="宋体" w:cs="宋体"/>
          <w:snapToGrid w:val="0"/>
          <w:color w:val="auto"/>
          <w:kern w:val="0"/>
          <w:sz w:val="24"/>
          <w:szCs w:val="24"/>
          <w:vertAlign w:val="superscript"/>
          <w:lang w:val="en-US" w:eastAsia="zh-CN" w:bidi="ar"/>
        </w:rPr>
        <w:t>3</w:t>
      </w:r>
      <w:r>
        <w:rPr>
          <w:rFonts w:hint="eastAsia" w:ascii="Times New Roman" w:hAnsi="Times New Roman" w:eastAsia="宋体" w:cs="宋体"/>
          <w:snapToGrid w:val="0"/>
          <w:color w:val="auto"/>
          <w:kern w:val="0"/>
          <w:sz w:val="24"/>
          <w:szCs w:val="24"/>
          <w:lang w:val="en-US" w:eastAsia="zh-CN" w:bidi="ar"/>
        </w:rPr>
        <w:t>/kgCOD（理论值）。</w:t>
      </w:r>
    </w:p>
    <w:p w14:paraId="41FBF6F4">
      <w:pPr>
        <w:pStyle w:val="30"/>
        <w:spacing w:line="240" w:lineRule="auto"/>
        <w:ind w:firstLine="198" w:firstLineChars="82"/>
        <w:jc w:val="center"/>
        <w:rPr>
          <w:rFonts w:hint="eastAsia" w:ascii="Times New Roman" w:hAnsi="Times New Roman" w:eastAsia="宋体" w:cs="宋体"/>
          <w:b/>
          <w:bCs w:val="0"/>
          <w:color w:val="auto"/>
          <w:lang w:val="en-US" w:eastAsia="zh-CN"/>
        </w:rPr>
      </w:pPr>
      <w:bookmarkStart w:id="43" w:name="_Toc11717"/>
      <w:r>
        <w:rPr>
          <w:rFonts w:hint="eastAsia" w:ascii="Times New Roman" w:hAnsi="Times New Roman" w:eastAsia="宋体" w:cs="宋体"/>
          <w:b/>
          <w:bCs w:val="0"/>
          <w:color w:val="auto"/>
          <w:lang w:val="en-US" w:eastAsia="zh-CN"/>
        </w:rPr>
        <w:t>表4-9   沼气产量计算表</w:t>
      </w:r>
      <w:bookmarkEnd w:id="43"/>
    </w:p>
    <w:tbl>
      <w:tblPr>
        <w:tblStyle w:val="2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00"/>
        <w:gridCol w:w="2274"/>
        <w:gridCol w:w="2211"/>
        <w:gridCol w:w="2236"/>
      </w:tblGrid>
      <w:tr w14:paraId="07490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jc w:val="center"/>
        </w:trPr>
        <w:tc>
          <w:tcPr>
            <w:tcW w:w="961" w:type="pct"/>
            <w:tcBorders>
              <w:top w:val="single" w:color="000000" w:sz="10" w:space="0"/>
              <w:left w:val="single" w:color="000000" w:sz="10" w:space="0"/>
            </w:tcBorders>
            <w:shd w:val="clear" w:color="auto" w:fill="auto"/>
            <w:noWrap w:val="0"/>
            <w:vAlign w:val="center"/>
          </w:tcPr>
          <w:p w14:paraId="604947C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COD/（mg/L</w:t>
            </w:r>
            <w:r>
              <w:rPr>
                <w:rFonts w:hint="eastAsia" w:ascii="Times New Roman" w:hAnsi="Times New Roman" w:eastAsia="宋体" w:cs="宋体"/>
                <w:b/>
                <w:bCs/>
                <w:color w:val="auto"/>
                <w:sz w:val="21"/>
                <w:lang w:eastAsia="zh-CN"/>
              </w:rPr>
              <w:t>)</w:t>
            </w:r>
          </w:p>
        </w:tc>
        <w:tc>
          <w:tcPr>
            <w:tcW w:w="1366" w:type="pct"/>
            <w:tcBorders>
              <w:top w:val="single" w:color="000000" w:sz="4" w:space="0"/>
            </w:tcBorders>
            <w:shd w:val="clear" w:color="auto" w:fill="auto"/>
            <w:noWrap w:val="0"/>
            <w:vAlign w:val="center"/>
          </w:tcPr>
          <w:p w14:paraId="454E776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产气率（m</w:t>
            </w:r>
            <w:r>
              <w:rPr>
                <w:rFonts w:hint="eastAsia" w:ascii="Times New Roman" w:hAnsi="Times New Roman" w:eastAsia="宋体" w:cs="宋体"/>
                <w:b/>
                <w:bCs/>
                <w:color w:val="auto"/>
                <w:sz w:val="21"/>
                <w:vertAlign w:val="superscript"/>
                <w:lang w:val="en-US" w:eastAsia="zh-CN"/>
              </w:rPr>
              <w:t>3</w:t>
            </w:r>
            <w:r>
              <w:rPr>
                <w:rFonts w:ascii="Times New Roman" w:hAnsi="Times New Roman" w:eastAsia="宋体" w:cs="宋体"/>
                <w:b/>
                <w:bCs/>
                <w:color w:val="auto"/>
                <w:sz w:val="21"/>
              </w:rPr>
              <w:t>/kgCOD）</w:t>
            </w:r>
          </w:p>
        </w:tc>
        <w:tc>
          <w:tcPr>
            <w:tcW w:w="1328" w:type="pct"/>
            <w:tcBorders>
              <w:top w:val="single" w:color="000000" w:sz="4" w:space="0"/>
            </w:tcBorders>
            <w:shd w:val="clear" w:color="auto" w:fill="auto"/>
            <w:noWrap w:val="0"/>
            <w:vAlign w:val="center"/>
          </w:tcPr>
          <w:p w14:paraId="5F77432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COD</w:t>
            </w:r>
            <w:r>
              <w:rPr>
                <w:rFonts w:hint="eastAsia" w:ascii="Times New Roman" w:hAnsi="Times New Roman" w:eastAsia="宋体" w:cs="宋体"/>
                <w:b/>
                <w:bCs/>
                <w:color w:val="auto"/>
                <w:sz w:val="21"/>
                <w:lang w:val="en-US" w:eastAsia="zh-CN"/>
              </w:rPr>
              <w:t>去除</w:t>
            </w:r>
            <w:r>
              <w:rPr>
                <w:rFonts w:ascii="Times New Roman" w:hAnsi="Times New Roman" w:eastAsia="宋体" w:cs="宋体"/>
                <w:b/>
                <w:bCs/>
                <w:color w:val="auto"/>
                <w:sz w:val="21"/>
              </w:rPr>
              <w:t>率（%）</w:t>
            </w:r>
          </w:p>
        </w:tc>
        <w:tc>
          <w:tcPr>
            <w:tcW w:w="1343" w:type="pct"/>
            <w:tcBorders>
              <w:top w:val="single" w:color="000000" w:sz="10" w:space="0"/>
              <w:right w:val="single" w:color="000000" w:sz="4" w:space="0"/>
            </w:tcBorders>
            <w:shd w:val="clear" w:color="auto" w:fill="auto"/>
            <w:noWrap w:val="0"/>
            <w:vAlign w:val="center"/>
          </w:tcPr>
          <w:p w14:paraId="10EF256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污水沼气产量</w:t>
            </w:r>
            <w:r>
              <w:rPr>
                <w:rFonts w:hint="eastAsia" w:ascii="Times New Roman" w:hAnsi="Times New Roman" w:eastAsia="宋体" w:cs="宋体"/>
                <w:b/>
                <w:bCs/>
                <w:color w:val="auto"/>
                <w:sz w:val="21"/>
                <w:lang w:eastAsia="zh-CN"/>
              </w:rPr>
              <w:t>（</w:t>
            </w:r>
            <w:r>
              <w:rPr>
                <w:rFonts w:ascii="Times New Roman" w:hAnsi="Times New Roman" w:eastAsia="宋体" w:cs="宋体"/>
                <w:b/>
                <w:bCs/>
                <w:color w:val="auto"/>
                <w:sz w:val="21"/>
              </w:rPr>
              <w:t>m</w:t>
            </w:r>
            <w:r>
              <w:rPr>
                <w:rFonts w:hint="eastAsia" w:ascii="Times New Roman" w:hAnsi="Times New Roman" w:eastAsia="宋体" w:cs="宋体"/>
                <w:b/>
                <w:bCs/>
                <w:color w:val="auto"/>
                <w:sz w:val="21"/>
                <w:vertAlign w:val="superscript"/>
                <w:lang w:val="en-US" w:eastAsia="zh-CN"/>
              </w:rPr>
              <w:t>3</w:t>
            </w:r>
            <w:r>
              <w:rPr>
                <w:rFonts w:ascii="Times New Roman" w:hAnsi="Times New Roman" w:eastAsia="宋体" w:cs="宋体"/>
                <w:b/>
                <w:bCs/>
                <w:color w:val="auto"/>
                <w:sz w:val="21"/>
              </w:rPr>
              <w:t>/d)</w:t>
            </w:r>
          </w:p>
        </w:tc>
      </w:tr>
      <w:tr w14:paraId="2BCC6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jc w:val="center"/>
        </w:trPr>
        <w:tc>
          <w:tcPr>
            <w:tcW w:w="961" w:type="pct"/>
            <w:tcBorders>
              <w:left w:val="single" w:color="000000" w:sz="10" w:space="0"/>
              <w:bottom w:val="single" w:color="000000" w:sz="4" w:space="0"/>
            </w:tcBorders>
            <w:shd w:val="clear" w:color="auto" w:fill="auto"/>
            <w:noWrap w:val="0"/>
            <w:vAlign w:val="center"/>
          </w:tcPr>
          <w:p w14:paraId="7508EF4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39723</w:t>
            </w:r>
          </w:p>
        </w:tc>
        <w:tc>
          <w:tcPr>
            <w:tcW w:w="1366" w:type="pct"/>
            <w:tcBorders>
              <w:bottom w:val="single" w:color="000000" w:sz="4" w:space="0"/>
            </w:tcBorders>
            <w:shd w:val="clear" w:color="auto" w:fill="auto"/>
            <w:noWrap w:val="0"/>
            <w:vAlign w:val="center"/>
          </w:tcPr>
          <w:p w14:paraId="1EE3168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0.7</w:t>
            </w:r>
          </w:p>
        </w:tc>
        <w:tc>
          <w:tcPr>
            <w:tcW w:w="1328" w:type="pct"/>
            <w:tcBorders>
              <w:bottom w:val="single" w:color="000000" w:sz="4" w:space="0"/>
            </w:tcBorders>
            <w:shd w:val="clear" w:color="auto" w:fill="auto"/>
            <w:noWrap w:val="0"/>
            <w:vAlign w:val="center"/>
          </w:tcPr>
          <w:p w14:paraId="0FC7D93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85%</w:t>
            </w:r>
          </w:p>
        </w:tc>
        <w:tc>
          <w:tcPr>
            <w:tcW w:w="1343" w:type="pct"/>
            <w:tcBorders>
              <w:bottom w:val="single" w:color="000000" w:sz="4" w:space="0"/>
              <w:right w:val="single" w:color="000000" w:sz="4" w:space="0"/>
            </w:tcBorders>
            <w:shd w:val="clear" w:color="auto" w:fill="auto"/>
            <w:noWrap w:val="0"/>
            <w:vAlign w:val="center"/>
          </w:tcPr>
          <w:p w14:paraId="5048C3B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11641</w:t>
            </w:r>
          </w:p>
        </w:tc>
      </w:tr>
    </w:tbl>
    <w:p w14:paraId="056E20B3">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44" w:name="_Toc6644"/>
      <w:bookmarkStart w:id="45" w:name="_Toc19870"/>
      <w:r>
        <w:rPr>
          <w:rFonts w:hint="eastAsia" w:ascii="Times New Roman" w:hAnsi="Times New Roman" w:eastAsia="宋体" w:cs="宋体"/>
          <w:b/>
          <w:bCs/>
          <w:color w:val="auto"/>
          <w:sz w:val="28"/>
          <w:szCs w:val="28"/>
          <w:lang w:val="en-US" w:eastAsia="zh-CN"/>
        </w:rPr>
        <w:t>4.7、清洗废水预计处理效果分析</w:t>
      </w:r>
      <w:bookmarkEnd w:id="44"/>
      <w:bookmarkEnd w:id="45"/>
    </w:p>
    <w:p w14:paraId="2FAB8634">
      <w:pPr>
        <w:pStyle w:val="30"/>
        <w:spacing w:line="240" w:lineRule="auto"/>
        <w:ind w:firstLine="198" w:firstLineChars="82"/>
        <w:jc w:val="center"/>
        <w:rPr>
          <w:rFonts w:hint="eastAsia" w:ascii="Times New Roman" w:hAnsi="Times New Roman" w:eastAsia="宋体" w:cs="宋体"/>
          <w:b/>
          <w:bCs w:val="0"/>
          <w:color w:val="auto"/>
        </w:rPr>
      </w:pPr>
      <w:r>
        <w:rPr>
          <w:rFonts w:hint="eastAsia" w:ascii="Times New Roman" w:hAnsi="Times New Roman" w:eastAsia="宋体" w:cs="宋体"/>
          <w:b/>
          <w:bCs w:val="0"/>
          <w:color w:val="auto"/>
        </w:rPr>
        <w:t>表</w:t>
      </w:r>
      <w:r>
        <w:rPr>
          <w:rFonts w:hint="eastAsia" w:ascii="Times New Roman" w:hAnsi="Times New Roman" w:eastAsia="宋体" w:cs="宋体"/>
          <w:b/>
          <w:bCs w:val="0"/>
          <w:color w:val="auto"/>
          <w:lang w:val="en-US" w:eastAsia="zh-CN"/>
        </w:rPr>
        <w:t xml:space="preserve">4-10   </w:t>
      </w:r>
      <w:r>
        <w:rPr>
          <w:rFonts w:hint="eastAsia" w:ascii="Times New Roman" w:hAnsi="Times New Roman" w:eastAsia="宋体" w:cs="宋体"/>
          <w:b/>
          <w:bCs w:val="0"/>
          <w:color w:val="auto"/>
        </w:rPr>
        <w:t>清洗废水预计处理效果分析表</w:t>
      </w:r>
    </w:p>
    <w:tbl>
      <w:tblPr>
        <w:tblStyle w:val="26"/>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43"/>
        <w:gridCol w:w="1028"/>
        <w:gridCol w:w="1041"/>
        <w:gridCol w:w="978"/>
        <w:gridCol w:w="1064"/>
        <w:gridCol w:w="948"/>
        <w:gridCol w:w="960"/>
        <w:gridCol w:w="960"/>
      </w:tblGrid>
      <w:tr w14:paraId="5A363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807" w:type="pct"/>
            <w:shd w:val="clear" w:color="auto" w:fill="auto"/>
            <w:noWrap w:val="0"/>
            <w:vAlign w:val="center"/>
          </w:tcPr>
          <w:p w14:paraId="3F6D929D">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eastAsia" w:ascii="Times New Roman" w:hAnsi="Times New Roman" w:eastAsia="宋体" w:cs="宋体"/>
                <w:b/>
                <w:bCs/>
                <w:color w:val="auto"/>
                <w:sz w:val="21"/>
                <w:lang w:val="en-US" w:eastAsia="zh-CN"/>
              </w:rPr>
            </w:pPr>
            <w:r>
              <w:rPr>
                <w:rFonts w:ascii="Times New Roman" w:hAnsi="Times New Roman" w:eastAsia="宋体" w:cs="宋体"/>
                <w:b/>
                <w:bCs/>
                <w:color w:val="auto"/>
                <w:sz w:val="21"/>
              </w:rPr>
              <w:t>工艺</w:t>
            </w:r>
            <w:r>
              <w:rPr>
                <w:rFonts w:hint="eastAsia" w:ascii="Times New Roman" w:hAnsi="Times New Roman" w:eastAsia="宋体" w:cs="宋体"/>
                <w:b/>
                <w:bCs/>
                <w:color w:val="auto"/>
                <w:sz w:val="21"/>
                <w:lang w:val="en-US" w:eastAsia="zh-CN"/>
              </w:rPr>
              <w:t>段</w:t>
            </w:r>
          </w:p>
        </w:tc>
        <w:tc>
          <w:tcPr>
            <w:tcW w:w="617" w:type="pct"/>
            <w:shd w:val="clear" w:color="auto" w:fill="auto"/>
            <w:noWrap w:val="0"/>
            <w:vAlign w:val="center"/>
          </w:tcPr>
          <w:p w14:paraId="5CCEC14D">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ascii="Times New Roman" w:hAnsi="Times New Roman" w:eastAsia="宋体" w:cs="宋体"/>
                <w:b/>
                <w:bCs/>
                <w:color w:val="auto"/>
                <w:sz w:val="21"/>
              </w:rPr>
            </w:pPr>
            <w:r>
              <w:rPr>
                <w:rFonts w:hint="eastAsia" w:ascii="Times New Roman" w:hAnsi="Times New Roman" w:eastAsia="宋体" w:cs="宋体"/>
                <w:b/>
                <w:bCs/>
                <w:color w:val="auto"/>
                <w:sz w:val="21"/>
                <w:lang w:val="en-US" w:eastAsia="zh-CN"/>
              </w:rPr>
              <w:t>废</w:t>
            </w:r>
            <w:r>
              <w:rPr>
                <w:rFonts w:ascii="Times New Roman" w:hAnsi="Times New Roman" w:eastAsia="宋体" w:cs="宋体"/>
                <w:b/>
                <w:bCs/>
                <w:color w:val="auto"/>
                <w:sz w:val="21"/>
              </w:rPr>
              <w:t>水量</w:t>
            </w:r>
          </w:p>
        </w:tc>
        <w:tc>
          <w:tcPr>
            <w:tcW w:w="625" w:type="pct"/>
            <w:shd w:val="clear" w:color="auto" w:fill="auto"/>
            <w:noWrap w:val="0"/>
            <w:vAlign w:val="center"/>
          </w:tcPr>
          <w:p w14:paraId="5D2BE402">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项目</w:t>
            </w:r>
          </w:p>
        </w:tc>
        <w:tc>
          <w:tcPr>
            <w:tcW w:w="587" w:type="pct"/>
            <w:shd w:val="clear" w:color="auto" w:fill="auto"/>
            <w:noWrap w:val="0"/>
            <w:vAlign w:val="center"/>
          </w:tcPr>
          <w:p w14:paraId="1FD56B98">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eastAsia" w:ascii="Times New Roman" w:hAnsi="Times New Roman" w:eastAsia="宋体" w:cs="宋体"/>
                <w:b/>
                <w:bCs/>
                <w:color w:val="auto"/>
                <w:sz w:val="21"/>
                <w:lang w:val="en-US" w:eastAsia="zh-CN"/>
              </w:rPr>
            </w:pPr>
            <w:r>
              <w:rPr>
                <w:rFonts w:ascii="Times New Roman" w:hAnsi="Times New Roman" w:eastAsia="宋体" w:cs="宋体"/>
                <w:b/>
                <w:bCs/>
                <w:color w:val="auto"/>
                <w:sz w:val="21"/>
              </w:rPr>
              <w:t>COD</w:t>
            </w:r>
            <w:r>
              <w:rPr>
                <w:rFonts w:hint="eastAsia" w:ascii="Times New Roman" w:hAnsi="Times New Roman" w:eastAsia="宋体" w:cs="宋体"/>
                <w:b/>
                <w:bCs/>
                <w:color w:val="auto"/>
                <w:sz w:val="21"/>
                <w:vertAlign w:val="subscript"/>
                <w:lang w:val="en-US" w:eastAsia="zh-CN"/>
              </w:rPr>
              <w:t>cr</w:t>
            </w:r>
          </w:p>
          <w:p w14:paraId="6207D846">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（mg/L</w:t>
            </w:r>
            <w:r>
              <w:rPr>
                <w:rFonts w:hint="eastAsia" w:ascii="Times New Roman" w:hAnsi="Times New Roman" w:eastAsia="宋体" w:cs="宋体"/>
                <w:b/>
                <w:bCs/>
                <w:color w:val="auto"/>
                <w:sz w:val="21"/>
                <w:lang w:eastAsia="zh-CN"/>
              </w:rPr>
              <w:t>)</w:t>
            </w:r>
          </w:p>
        </w:tc>
        <w:tc>
          <w:tcPr>
            <w:tcW w:w="639" w:type="pct"/>
            <w:shd w:val="clear" w:color="auto" w:fill="auto"/>
            <w:noWrap w:val="0"/>
            <w:vAlign w:val="center"/>
          </w:tcPr>
          <w:p w14:paraId="386FBFE5">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eastAsia" w:ascii="Times New Roman" w:hAnsi="Times New Roman" w:eastAsia="宋体" w:cs="宋体"/>
                <w:b/>
                <w:bCs/>
                <w:color w:val="auto"/>
                <w:sz w:val="21"/>
                <w:lang w:val="en-US" w:eastAsia="zh-CN"/>
              </w:rPr>
            </w:pPr>
            <w:r>
              <w:rPr>
                <w:rFonts w:ascii="Times New Roman" w:hAnsi="Times New Roman" w:eastAsia="宋体" w:cs="宋体"/>
                <w:b/>
                <w:bCs/>
                <w:color w:val="auto"/>
                <w:sz w:val="21"/>
              </w:rPr>
              <w:t>BOD</w:t>
            </w:r>
            <w:r>
              <w:rPr>
                <w:rFonts w:hint="eastAsia" w:ascii="Times New Roman" w:hAnsi="Times New Roman" w:eastAsia="宋体" w:cs="宋体"/>
                <w:b/>
                <w:bCs/>
                <w:color w:val="auto"/>
                <w:sz w:val="21"/>
                <w:vertAlign w:val="subscript"/>
                <w:lang w:val="en-US" w:eastAsia="zh-CN"/>
              </w:rPr>
              <w:t>5</w:t>
            </w:r>
          </w:p>
          <w:p w14:paraId="1339EE98">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（mg/L</w:t>
            </w:r>
            <w:r>
              <w:rPr>
                <w:rFonts w:hint="eastAsia" w:ascii="Times New Roman" w:hAnsi="Times New Roman" w:eastAsia="宋体" w:cs="宋体"/>
                <w:b/>
                <w:bCs/>
                <w:color w:val="auto"/>
                <w:sz w:val="21"/>
                <w:lang w:eastAsia="zh-CN"/>
              </w:rPr>
              <w:t>)</w:t>
            </w:r>
          </w:p>
        </w:tc>
        <w:tc>
          <w:tcPr>
            <w:tcW w:w="569" w:type="pct"/>
            <w:shd w:val="clear" w:color="auto" w:fill="auto"/>
            <w:noWrap w:val="0"/>
            <w:vAlign w:val="center"/>
          </w:tcPr>
          <w:p w14:paraId="639AE0D4">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SS</w:t>
            </w:r>
          </w:p>
          <w:p w14:paraId="6AB5D3F6">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（mg/L</w:t>
            </w:r>
            <w:r>
              <w:rPr>
                <w:rFonts w:hint="eastAsia" w:ascii="Times New Roman" w:hAnsi="Times New Roman" w:eastAsia="宋体" w:cs="宋体"/>
                <w:b/>
                <w:bCs/>
                <w:color w:val="auto"/>
                <w:sz w:val="21"/>
                <w:lang w:eastAsia="zh-CN"/>
              </w:rPr>
              <w:t>)</w:t>
            </w:r>
          </w:p>
        </w:tc>
        <w:tc>
          <w:tcPr>
            <w:tcW w:w="576" w:type="pct"/>
            <w:shd w:val="clear" w:color="auto" w:fill="auto"/>
            <w:noWrap w:val="0"/>
            <w:vAlign w:val="center"/>
          </w:tcPr>
          <w:p w14:paraId="01AEFAC2">
            <w:pPr>
              <w:pStyle w:val="29"/>
              <w:keepNext w:val="0"/>
              <w:keepLines w:val="0"/>
              <w:pageBreakBefore w:val="0"/>
              <w:widowControl/>
              <w:kinsoku w:val="0"/>
              <w:wordWrap/>
              <w:overflowPunct/>
              <w:topLinePunct w:val="0"/>
              <w:autoSpaceDE w:val="0"/>
              <w:autoSpaceDN w:val="0"/>
              <w:bidi w:val="0"/>
              <w:adjustRightInd w:val="0"/>
              <w:snapToGrid w:val="0"/>
              <w:spacing w:line="240" w:lineRule="auto"/>
              <w:ind w:rightChars="0" w:firstLine="0" w:firstLineChars="0"/>
              <w:jc w:val="center"/>
              <w:textAlignment w:val="baseline"/>
              <w:rPr>
                <w:rFonts w:ascii="Times New Roman" w:hAnsi="Times New Roman" w:eastAsia="宋体" w:cs="宋体"/>
                <w:b/>
                <w:bCs/>
                <w:color w:val="auto"/>
                <w:szCs w:val="21"/>
                <w:highlight w:val="none"/>
              </w:rPr>
            </w:pPr>
            <w:r>
              <w:rPr>
                <w:rFonts w:ascii="Times New Roman" w:hAnsi="Times New Roman" w:eastAsia="宋体" w:cs="宋体"/>
                <w:b/>
                <w:bCs/>
                <w:color w:val="auto"/>
                <w:szCs w:val="21"/>
                <w:highlight w:val="none"/>
              </w:rPr>
              <w:t>氨氮</w:t>
            </w:r>
          </w:p>
          <w:p w14:paraId="34B4B88A">
            <w:pPr>
              <w:pStyle w:val="29"/>
              <w:keepNext w:val="0"/>
              <w:keepLines w:val="0"/>
              <w:pageBreakBefore w:val="0"/>
              <w:widowControl/>
              <w:kinsoku w:val="0"/>
              <w:wordWrap/>
              <w:overflowPunct/>
              <w:topLinePunct w:val="0"/>
              <w:autoSpaceDE w:val="0"/>
              <w:autoSpaceDN w:val="0"/>
              <w:bidi w:val="0"/>
              <w:adjustRightInd w:val="0"/>
              <w:snapToGrid w:val="0"/>
              <w:spacing w:line="240" w:lineRule="auto"/>
              <w:ind w:rightChars="0" w:firstLine="0" w:firstLineChars="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（mg/L</w:t>
            </w:r>
            <w:r>
              <w:rPr>
                <w:rFonts w:hint="eastAsia" w:ascii="Times New Roman" w:hAnsi="Times New Roman" w:eastAsia="宋体" w:cs="宋体"/>
                <w:b/>
                <w:bCs/>
                <w:color w:val="auto"/>
                <w:sz w:val="21"/>
                <w:lang w:eastAsia="zh-CN"/>
              </w:rPr>
              <w:t>)</w:t>
            </w:r>
          </w:p>
        </w:tc>
        <w:tc>
          <w:tcPr>
            <w:tcW w:w="576" w:type="pct"/>
            <w:shd w:val="clear" w:color="auto" w:fill="auto"/>
            <w:noWrap w:val="0"/>
            <w:vAlign w:val="center"/>
          </w:tcPr>
          <w:p w14:paraId="0F42A8B5">
            <w:pPr>
              <w:pStyle w:val="29"/>
              <w:keepNext w:val="0"/>
              <w:keepLines w:val="0"/>
              <w:pageBreakBefore w:val="0"/>
              <w:widowControl/>
              <w:kinsoku w:val="0"/>
              <w:wordWrap/>
              <w:overflowPunct/>
              <w:topLinePunct w:val="0"/>
              <w:autoSpaceDE w:val="0"/>
              <w:autoSpaceDN w:val="0"/>
              <w:bidi w:val="0"/>
              <w:adjustRightInd w:val="0"/>
              <w:snapToGrid w:val="0"/>
              <w:spacing w:line="240" w:lineRule="auto"/>
              <w:ind w:rightChars="0" w:firstLine="0" w:firstLineChars="0"/>
              <w:jc w:val="center"/>
              <w:textAlignment w:val="baseline"/>
              <w:rPr>
                <w:rFonts w:ascii="Times New Roman" w:hAnsi="Times New Roman" w:eastAsia="宋体" w:cs="宋体"/>
                <w:b/>
                <w:bCs/>
                <w:color w:val="auto"/>
                <w:sz w:val="21"/>
              </w:rPr>
            </w:pPr>
            <w:r>
              <w:rPr>
                <w:rFonts w:hint="eastAsia" w:ascii="Times New Roman" w:hAnsi="Times New Roman" w:eastAsia="宋体" w:cs="宋体"/>
                <w:b/>
                <w:bCs/>
                <w:color w:val="auto"/>
                <w:szCs w:val="21"/>
                <w:highlight w:val="none"/>
                <w:lang w:val="en-US" w:eastAsia="zh-CN"/>
              </w:rPr>
              <w:t>TN</w:t>
            </w:r>
            <w:r>
              <w:rPr>
                <w:rFonts w:ascii="Times New Roman" w:hAnsi="Times New Roman" w:eastAsia="宋体" w:cs="宋体"/>
                <w:b/>
                <w:bCs/>
                <w:color w:val="auto"/>
                <w:sz w:val="21"/>
              </w:rPr>
              <w:t>（mg/L</w:t>
            </w:r>
            <w:r>
              <w:rPr>
                <w:rFonts w:hint="eastAsia" w:ascii="Times New Roman" w:hAnsi="Times New Roman" w:eastAsia="宋体" w:cs="宋体"/>
                <w:b/>
                <w:bCs/>
                <w:color w:val="auto"/>
                <w:sz w:val="21"/>
                <w:lang w:eastAsia="zh-CN"/>
              </w:rPr>
              <w:t>)</w:t>
            </w:r>
          </w:p>
        </w:tc>
      </w:tr>
      <w:tr w14:paraId="441DD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 w:hRule="atLeast"/>
        </w:trPr>
        <w:tc>
          <w:tcPr>
            <w:tcW w:w="807" w:type="pct"/>
            <w:vMerge w:val="restart"/>
            <w:shd w:val="clear" w:color="auto" w:fill="auto"/>
            <w:noWrap w:val="0"/>
            <w:vAlign w:val="center"/>
          </w:tcPr>
          <w:p w14:paraId="5F321F4C">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ascii="Times New Roman" w:hAnsi="Times New Roman" w:eastAsia="宋体" w:cs="宋体"/>
                <w:color w:val="auto"/>
                <w:sz w:val="21"/>
              </w:rPr>
            </w:pPr>
            <w:r>
              <w:rPr>
                <w:rFonts w:hint="eastAsia" w:ascii="Times New Roman" w:hAnsi="Times New Roman" w:eastAsia="宋体" w:cs="宋体"/>
                <w:color w:val="auto"/>
                <w:sz w:val="21"/>
                <w:lang w:val="en-US" w:eastAsia="zh-CN"/>
              </w:rPr>
              <w:t>机械格栅、循环</w:t>
            </w:r>
            <w:r>
              <w:rPr>
                <w:rFonts w:ascii="Times New Roman" w:hAnsi="Times New Roman" w:eastAsia="宋体" w:cs="宋体"/>
                <w:color w:val="auto"/>
                <w:sz w:val="21"/>
              </w:rPr>
              <w:t>沉淀池</w:t>
            </w:r>
          </w:p>
        </w:tc>
        <w:tc>
          <w:tcPr>
            <w:tcW w:w="617" w:type="pct"/>
            <w:vMerge w:val="restart"/>
            <w:shd w:val="clear" w:color="auto" w:fill="auto"/>
            <w:noWrap w:val="0"/>
            <w:vAlign w:val="center"/>
          </w:tcPr>
          <w:p w14:paraId="51C95405">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556</w:t>
            </w:r>
            <w:r>
              <w:rPr>
                <w:rFonts w:ascii="Times New Roman" w:hAnsi="Times New Roman" w:eastAsia="宋体" w:cs="宋体"/>
                <w:color w:val="auto"/>
                <w:sz w:val="21"/>
              </w:rPr>
              <w:t>m</w:t>
            </w:r>
            <w:r>
              <w:rPr>
                <w:rFonts w:hint="eastAsia" w:ascii="Times New Roman" w:hAnsi="Times New Roman" w:eastAsia="宋体" w:cs="宋体"/>
                <w:color w:val="auto"/>
                <w:sz w:val="21"/>
                <w:vertAlign w:val="superscript"/>
                <w:lang w:val="en-US" w:eastAsia="zh-CN"/>
              </w:rPr>
              <w:t>3</w:t>
            </w:r>
            <w:r>
              <w:rPr>
                <w:rFonts w:ascii="Times New Roman" w:hAnsi="Times New Roman" w:eastAsia="宋体" w:cs="宋体"/>
                <w:color w:val="auto"/>
                <w:sz w:val="21"/>
              </w:rPr>
              <w:t>/</w:t>
            </w:r>
            <w:r>
              <w:rPr>
                <w:rFonts w:hint="eastAsia" w:ascii="Times New Roman" w:hAnsi="Times New Roman" w:eastAsia="宋体" w:cs="宋体"/>
                <w:color w:val="auto"/>
                <w:sz w:val="21"/>
                <w:lang w:val="en-US" w:eastAsia="zh-CN"/>
              </w:rPr>
              <w:t>a</w:t>
            </w:r>
          </w:p>
        </w:tc>
        <w:tc>
          <w:tcPr>
            <w:tcW w:w="625" w:type="pct"/>
            <w:shd w:val="clear" w:color="auto" w:fill="auto"/>
            <w:noWrap w:val="0"/>
            <w:vAlign w:val="center"/>
          </w:tcPr>
          <w:p w14:paraId="22086C99">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进水</w:t>
            </w:r>
          </w:p>
        </w:tc>
        <w:tc>
          <w:tcPr>
            <w:tcW w:w="587" w:type="pct"/>
            <w:shd w:val="clear" w:color="auto" w:fill="auto"/>
            <w:noWrap w:val="0"/>
            <w:vAlign w:val="center"/>
          </w:tcPr>
          <w:p w14:paraId="373B3E84">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1500</w:t>
            </w:r>
          </w:p>
        </w:tc>
        <w:tc>
          <w:tcPr>
            <w:tcW w:w="639" w:type="pct"/>
            <w:shd w:val="clear" w:color="auto" w:fill="auto"/>
            <w:noWrap w:val="0"/>
            <w:vAlign w:val="center"/>
          </w:tcPr>
          <w:p w14:paraId="1807F5D8">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360</w:t>
            </w:r>
          </w:p>
        </w:tc>
        <w:tc>
          <w:tcPr>
            <w:tcW w:w="569" w:type="pct"/>
            <w:shd w:val="clear" w:color="auto" w:fill="auto"/>
            <w:noWrap w:val="0"/>
            <w:vAlign w:val="center"/>
          </w:tcPr>
          <w:p w14:paraId="2F91DEAE">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2400</w:t>
            </w:r>
          </w:p>
        </w:tc>
        <w:tc>
          <w:tcPr>
            <w:tcW w:w="576" w:type="pct"/>
            <w:shd w:val="clear" w:color="auto" w:fill="auto"/>
            <w:noWrap w:val="0"/>
            <w:vAlign w:val="center"/>
          </w:tcPr>
          <w:p w14:paraId="5FD12BEC">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5</w:t>
            </w:r>
          </w:p>
        </w:tc>
        <w:tc>
          <w:tcPr>
            <w:tcW w:w="576" w:type="pct"/>
            <w:shd w:val="clear" w:color="auto" w:fill="auto"/>
            <w:noWrap w:val="0"/>
            <w:vAlign w:val="center"/>
          </w:tcPr>
          <w:p w14:paraId="6564B6CD">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200</w:t>
            </w:r>
          </w:p>
        </w:tc>
      </w:tr>
      <w:tr w14:paraId="335DD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07" w:type="pct"/>
            <w:vMerge w:val="continue"/>
            <w:shd w:val="clear" w:color="auto" w:fill="auto"/>
            <w:noWrap w:val="0"/>
            <w:vAlign w:val="center"/>
          </w:tcPr>
          <w:p w14:paraId="141011C7">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eastAsia" w:ascii="Times New Roman" w:hAnsi="Times New Roman" w:eastAsia="宋体" w:cs="宋体"/>
                <w:color w:val="auto"/>
                <w:sz w:val="21"/>
                <w:lang w:val="en-US" w:eastAsia="zh-CN"/>
              </w:rPr>
            </w:pPr>
            <w:bookmarkStart w:id="46" w:name="_Toc8306"/>
          </w:p>
        </w:tc>
        <w:tc>
          <w:tcPr>
            <w:tcW w:w="617" w:type="pct"/>
            <w:vMerge w:val="continue"/>
            <w:shd w:val="clear" w:color="auto" w:fill="auto"/>
            <w:noWrap w:val="0"/>
            <w:vAlign w:val="center"/>
          </w:tcPr>
          <w:p w14:paraId="5ABAB656">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eastAsia" w:ascii="Times New Roman" w:hAnsi="Times New Roman" w:eastAsia="宋体" w:cs="宋体"/>
                <w:color w:val="auto"/>
                <w:sz w:val="21"/>
                <w:lang w:val="en-US" w:eastAsia="zh-CN"/>
              </w:rPr>
            </w:pPr>
          </w:p>
        </w:tc>
        <w:tc>
          <w:tcPr>
            <w:tcW w:w="625" w:type="pct"/>
            <w:shd w:val="clear" w:color="auto" w:fill="auto"/>
            <w:noWrap w:val="0"/>
            <w:vAlign w:val="center"/>
          </w:tcPr>
          <w:p w14:paraId="0FE20840">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出水</w:t>
            </w:r>
          </w:p>
        </w:tc>
        <w:tc>
          <w:tcPr>
            <w:tcW w:w="587" w:type="pct"/>
            <w:shd w:val="clear" w:color="auto" w:fill="auto"/>
            <w:noWrap w:val="0"/>
            <w:vAlign w:val="center"/>
          </w:tcPr>
          <w:p w14:paraId="20818882">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1500</w:t>
            </w:r>
          </w:p>
        </w:tc>
        <w:tc>
          <w:tcPr>
            <w:tcW w:w="639" w:type="pct"/>
            <w:shd w:val="clear" w:color="auto" w:fill="auto"/>
            <w:noWrap w:val="0"/>
            <w:vAlign w:val="center"/>
          </w:tcPr>
          <w:p w14:paraId="6BD82E44">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360</w:t>
            </w:r>
          </w:p>
        </w:tc>
        <w:tc>
          <w:tcPr>
            <w:tcW w:w="569" w:type="pct"/>
            <w:shd w:val="clear" w:color="auto" w:fill="auto"/>
            <w:noWrap w:val="0"/>
            <w:vAlign w:val="center"/>
          </w:tcPr>
          <w:p w14:paraId="70545F71">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1200</w:t>
            </w:r>
          </w:p>
        </w:tc>
        <w:tc>
          <w:tcPr>
            <w:tcW w:w="576" w:type="pct"/>
            <w:shd w:val="clear" w:color="auto" w:fill="auto"/>
            <w:noWrap w:val="0"/>
            <w:vAlign w:val="center"/>
          </w:tcPr>
          <w:p w14:paraId="769CB40A">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4.75</w:t>
            </w:r>
          </w:p>
        </w:tc>
        <w:tc>
          <w:tcPr>
            <w:tcW w:w="576" w:type="pct"/>
            <w:shd w:val="clear" w:color="auto" w:fill="auto"/>
            <w:noWrap w:val="0"/>
            <w:vAlign w:val="center"/>
          </w:tcPr>
          <w:p w14:paraId="1F37C5D0">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200</w:t>
            </w:r>
          </w:p>
        </w:tc>
      </w:tr>
      <w:tr w14:paraId="376A6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 w:hRule="atLeast"/>
        </w:trPr>
        <w:tc>
          <w:tcPr>
            <w:tcW w:w="807" w:type="pct"/>
            <w:vMerge w:val="continue"/>
            <w:shd w:val="clear" w:color="auto" w:fill="auto"/>
            <w:noWrap w:val="0"/>
            <w:vAlign w:val="center"/>
          </w:tcPr>
          <w:p w14:paraId="49139036">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eastAsia" w:ascii="Times New Roman" w:hAnsi="Times New Roman" w:eastAsia="宋体" w:cs="宋体"/>
                <w:color w:val="auto"/>
                <w:sz w:val="21"/>
                <w:lang w:val="en-US" w:eastAsia="zh-CN"/>
              </w:rPr>
            </w:pPr>
          </w:p>
        </w:tc>
        <w:tc>
          <w:tcPr>
            <w:tcW w:w="617" w:type="pct"/>
            <w:vMerge w:val="continue"/>
            <w:shd w:val="clear" w:color="auto" w:fill="auto"/>
            <w:noWrap w:val="0"/>
            <w:vAlign w:val="center"/>
          </w:tcPr>
          <w:p w14:paraId="6BCB40AA">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eastAsia" w:ascii="Times New Roman" w:hAnsi="Times New Roman" w:eastAsia="宋体" w:cs="宋体"/>
                <w:color w:val="auto"/>
                <w:sz w:val="21"/>
                <w:lang w:val="en-US" w:eastAsia="zh-CN"/>
              </w:rPr>
            </w:pPr>
          </w:p>
        </w:tc>
        <w:tc>
          <w:tcPr>
            <w:tcW w:w="625" w:type="pct"/>
            <w:shd w:val="clear" w:color="auto" w:fill="auto"/>
            <w:noWrap w:val="0"/>
            <w:vAlign w:val="center"/>
          </w:tcPr>
          <w:p w14:paraId="0E182EF8">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去除率%</w:t>
            </w:r>
          </w:p>
        </w:tc>
        <w:tc>
          <w:tcPr>
            <w:tcW w:w="587" w:type="pct"/>
            <w:shd w:val="clear" w:color="auto" w:fill="auto"/>
            <w:noWrap w:val="0"/>
            <w:vAlign w:val="center"/>
          </w:tcPr>
          <w:p w14:paraId="1FFEAA31">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0</w:t>
            </w:r>
          </w:p>
        </w:tc>
        <w:tc>
          <w:tcPr>
            <w:tcW w:w="639" w:type="pct"/>
            <w:shd w:val="clear" w:color="auto" w:fill="auto"/>
            <w:noWrap w:val="0"/>
            <w:vAlign w:val="center"/>
          </w:tcPr>
          <w:p w14:paraId="57812403">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0</w:t>
            </w:r>
          </w:p>
        </w:tc>
        <w:tc>
          <w:tcPr>
            <w:tcW w:w="569" w:type="pct"/>
            <w:shd w:val="clear" w:color="auto" w:fill="auto"/>
            <w:noWrap w:val="0"/>
            <w:vAlign w:val="center"/>
          </w:tcPr>
          <w:p w14:paraId="3CC082E4">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50</w:t>
            </w:r>
          </w:p>
        </w:tc>
        <w:tc>
          <w:tcPr>
            <w:tcW w:w="576" w:type="pct"/>
            <w:shd w:val="clear" w:color="auto" w:fill="auto"/>
            <w:noWrap w:val="0"/>
            <w:vAlign w:val="center"/>
          </w:tcPr>
          <w:p w14:paraId="10E4440C">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5</w:t>
            </w:r>
          </w:p>
        </w:tc>
        <w:tc>
          <w:tcPr>
            <w:tcW w:w="576" w:type="pct"/>
            <w:shd w:val="clear" w:color="auto" w:fill="auto"/>
            <w:noWrap w:val="0"/>
            <w:vAlign w:val="center"/>
          </w:tcPr>
          <w:p w14:paraId="3F835896">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0</w:t>
            </w:r>
          </w:p>
        </w:tc>
      </w:tr>
    </w:tbl>
    <w:p w14:paraId="565C2154">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47" w:name="_Toc19595"/>
      <w:r>
        <w:rPr>
          <w:rFonts w:hint="eastAsia" w:ascii="Times New Roman" w:hAnsi="Times New Roman" w:eastAsia="宋体" w:cs="宋体"/>
          <w:b/>
          <w:bCs/>
          <w:color w:val="auto"/>
          <w:sz w:val="28"/>
          <w:szCs w:val="28"/>
          <w:lang w:val="en-US" w:eastAsia="zh-CN"/>
        </w:rPr>
        <w:t>4.8、生产废水预计处理效果分析</w:t>
      </w:r>
      <w:bookmarkEnd w:id="46"/>
      <w:bookmarkEnd w:id="47"/>
    </w:p>
    <w:p w14:paraId="0ECD746C">
      <w:pPr>
        <w:pStyle w:val="30"/>
        <w:spacing w:line="240" w:lineRule="auto"/>
        <w:ind w:firstLine="198" w:firstLineChars="82"/>
        <w:jc w:val="center"/>
        <w:rPr>
          <w:rFonts w:hint="eastAsia" w:ascii="Times New Roman" w:hAnsi="Times New Roman" w:eastAsia="宋体" w:cs="宋体"/>
          <w:b/>
          <w:bCs w:val="0"/>
          <w:color w:val="auto"/>
        </w:rPr>
      </w:pPr>
      <w:r>
        <w:rPr>
          <w:rFonts w:hint="eastAsia" w:ascii="Times New Roman" w:hAnsi="Times New Roman" w:eastAsia="宋体" w:cs="宋体"/>
          <w:b/>
          <w:bCs w:val="0"/>
          <w:color w:val="auto"/>
        </w:rPr>
        <w:t>表</w:t>
      </w:r>
      <w:r>
        <w:rPr>
          <w:rFonts w:hint="eastAsia" w:ascii="Times New Roman" w:hAnsi="Times New Roman" w:eastAsia="宋体" w:cs="宋体"/>
          <w:b/>
          <w:bCs w:val="0"/>
          <w:color w:val="auto"/>
          <w:lang w:val="en-US" w:eastAsia="zh-CN"/>
        </w:rPr>
        <w:t xml:space="preserve">4-11   </w:t>
      </w:r>
      <w:r>
        <w:rPr>
          <w:rFonts w:hint="eastAsia" w:ascii="Times New Roman" w:hAnsi="Times New Roman" w:eastAsia="宋体" w:cs="宋体"/>
          <w:b/>
          <w:bCs w:val="0"/>
          <w:color w:val="auto"/>
        </w:rPr>
        <w:t>生产废水预计处理效果分析表</w:t>
      </w:r>
    </w:p>
    <w:tbl>
      <w:tblPr>
        <w:tblStyle w:val="26"/>
        <w:tblW w:w="501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1187"/>
        <w:gridCol w:w="1074"/>
        <w:gridCol w:w="915"/>
        <w:gridCol w:w="859"/>
        <w:gridCol w:w="937"/>
        <w:gridCol w:w="830"/>
        <w:gridCol w:w="840"/>
        <w:gridCol w:w="844"/>
        <w:gridCol w:w="844"/>
      </w:tblGrid>
      <w:tr w14:paraId="14D15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9" w:hRule="atLeast"/>
        </w:trPr>
        <w:tc>
          <w:tcPr>
            <w:tcW w:w="712" w:type="pct"/>
            <w:shd w:val="clear" w:color="auto" w:fill="auto"/>
            <w:noWrap w:val="0"/>
            <w:vAlign w:val="center"/>
          </w:tcPr>
          <w:p w14:paraId="12050E1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工艺段</w:t>
            </w:r>
          </w:p>
        </w:tc>
        <w:tc>
          <w:tcPr>
            <w:tcW w:w="644" w:type="pct"/>
            <w:shd w:val="clear" w:color="auto" w:fill="auto"/>
            <w:noWrap w:val="0"/>
            <w:vAlign w:val="center"/>
          </w:tcPr>
          <w:p w14:paraId="6E68114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bCs/>
                <w:color w:val="auto"/>
                <w:sz w:val="21"/>
              </w:rPr>
            </w:pPr>
            <w:r>
              <w:rPr>
                <w:rFonts w:hint="eastAsia" w:ascii="Times New Roman" w:hAnsi="Times New Roman" w:eastAsia="宋体" w:cs="宋体"/>
                <w:b/>
                <w:bCs/>
                <w:color w:val="auto"/>
                <w:sz w:val="21"/>
                <w:lang w:val="en-US" w:eastAsia="zh-CN"/>
              </w:rPr>
              <w:t>废</w:t>
            </w:r>
            <w:r>
              <w:rPr>
                <w:rFonts w:ascii="Times New Roman" w:hAnsi="Times New Roman" w:eastAsia="宋体" w:cs="宋体"/>
                <w:b/>
                <w:bCs/>
                <w:color w:val="auto"/>
                <w:sz w:val="21"/>
              </w:rPr>
              <w:t>水量</w:t>
            </w:r>
          </w:p>
        </w:tc>
        <w:tc>
          <w:tcPr>
            <w:tcW w:w="549" w:type="pct"/>
            <w:shd w:val="clear" w:color="auto" w:fill="auto"/>
            <w:noWrap w:val="0"/>
            <w:vAlign w:val="center"/>
          </w:tcPr>
          <w:p w14:paraId="28F67B5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项目</w:t>
            </w:r>
          </w:p>
        </w:tc>
        <w:tc>
          <w:tcPr>
            <w:tcW w:w="515" w:type="pct"/>
            <w:shd w:val="clear" w:color="auto" w:fill="auto"/>
            <w:noWrap w:val="0"/>
            <w:vAlign w:val="center"/>
          </w:tcPr>
          <w:p w14:paraId="04C15A17">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eastAsia" w:ascii="Times New Roman" w:hAnsi="Times New Roman" w:eastAsia="宋体" w:cs="宋体"/>
                <w:b/>
                <w:bCs/>
                <w:color w:val="auto"/>
                <w:sz w:val="21"/>
                <w:lang w:val="en-US" w:eastAsia="zh-CN"/>
              </w:rPr>
            </w:pPr>
            <w:r>
              <w:rPr>
                <w:rFonts w:ascii="Times New Roman" w:hAnsi="Times New Roman" w:eastAsia="宋体" w:cs="宋体"/>
                <w:b/>
                <w:bCs/>
                <w:color w:val="auto"/>
                <w:sz w:val="21"/>
              </w:rPr>
              <w:t>COD</w:t>
            </w:r>
            <w:r>
              <w:rPr>
                <w:rFonts w:hint="eastAsia" w:ascii="Times New Roman" w:hAnsi="Times New Roman" w:eastAsia="宋体" w:cs="宋体"/>
                <w:b/>
                <w:bCs/>
                <w:color w:val="auto"/>
                <w:sz w:val="21"/>
                <w:vertAlign w:val="subscript"/>
                <w:lang w:val="en-US" w:eastAsia="zh-CN"/>
              </w:rPr>
              <w:t>cr</w:t>
            </w:r>
          </w:p>
          <w:p w14:paraId="3F5E8F9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（mg/L</w:t>
            </w:r>
            <w:r>
              <w:rPr>
                <w:rFonts w:hint="eastAsia" w:ascii="Times New Roman" w:hAnsi="Times New Roman" w:eastAsia="宋体" w:cs="宋体"/>
                <w:b/>
                <w:bCs/>
                <w:color w:val="auto"/>
                <w:sz w:val="21"/>
                <w:lang w:eastAsia="zh-CN"/>
              </w:rPr>
              <w:t>)</w:t>
            </w:r>
          </w:p>
        </w:tc>
        <w:tc>
          <w:tcPr>
            <w:tcW w:w="562" w:type="pct"/>
            <w:shd w:val="clear" w:color="auto" w:fill="auto"/>
            <w:noWrap w:val="0"/>
            <w:vAlign w:val="center"/>
          </w:tcPr>
          <w:p w14:paraId="6E027A12">
            <w:pPr>
              <w:keepNext w:val="0"/>
              <w:keepLines w:val="0"/>
              <w:pageBreakBefore w:val="0"/>
              <w:widowControl/>
              <w:kinsoku w:val="0"/>
              <w:wordWrap/>
              <w:overflowPunct/>
              <w:topLinePunct w:val="0"/>
              <w:autoSpaceDE w:val="0"/>
              <w:autoSpaceDN w:val="0"/>
              <w:bidi w:val="0"/>
              <w:adjustRightInd w:val="0"/>
              <w:snapToGrid w:val="0"/>
              <w:ind w:rightChars="0"/>
              <w:jc w:val="center"/>
              <w:textAlignment w:val="baseline"/>
              <w:rPr>
                <w:rFonts w:hint="eastAsia" w:ascii="Times New Roman" w:hAnsi="Times New Roman" w:eastAsia="宋体" w:cs="宋体"/>
                <w:b/>
                <w:bCs/>
                <w:color w:val="auto"/>
                <w:sz w:val="21"/>
                <w:lang w:val="en-US" w:eastAsia="zh-CN"/>
              </w:rPr>
            </w:pPr>
            <w:r>
              <w:rPr>
                <w:rFonts w:ascii="Times New Roman" w:hAnsi="Times New Roman" w:eastAsia="宋体" w:cs="宋体"/>
                <w:b/>
                <w:bCs/>
                <w:color w:val="auto"/>
                <w:sz w:val="21"/>
              </w:rPr>
              <w:t>BOD</w:t>
            </w:r>
            <w:r>
              <w:rPr>
                <w:rFonts w:hint="eastAsia" w:ascii="Times New Roman" w:hAnsi="Times New Roman" w:eastAsia="宋体" w:cs="宋体"/>
                <w:b/>
                <w:bCs/>
                <w:color w:val="auto"/>
                <w:sz w:val="21"/>
                <w:vertAlign w:val="subscript"/>
                <w:lang w:val="en-US" w:eastAsia="zh-CN"/>
              </w:rPr>
              <w:t>5</w:t>
            </w:r>
          </w:p>
          <w:p w14:paraId="299409E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（mg/L</w:t>
            </w:r>
            <w:r>
              <w:rPr>
                <w:rFonts w:hint="eastAsia" w:ascii="Times New Roman" w:hAnsi="Times New Roman" w:eastAsia="宋体" w:cs="宋体"/>
                <w:b/>
                <w:bCs/>
                <w:color w:val="auto"/>
                <w:sz w:val="21"/>
                <w:lang w:eastAsia="zh-CN"/>
              </w:rPr>
              <w:t>)</w:t>
            </w:r>
          </w:p>
        </w:tc>
        <w:tc>
          <w:tcPr>
            <w:tcW w:w="498" w:type="pct"/>
            <w:shd w:val="clear" w:color="auto" w:fill="auto"/>
            <w:noWrap w:val="0"/>
            <w:vAlign w:val="center"/>
          </w:tcPr>
          <w:p w14:paraId="2946084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SS</w:t>
            </w:r>
          </w:p>
          <w:p w14:paraId="6189FE3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（mg/L</w:t>
            </w:r>
            <w:r>
              <w:rPr>
                <w:rFonts w:hint="eastAsia" w:ascii="Times New Roman" w:hAnsi="Times New Roman" w:eastAsia="宋体" w:cs="宋体"/>
                <w:b/>
                <w:bCs/>
                <w:color w:val="auto"/>
                <w:sz w:val="21"/>
                <w:lang w:eastAsia="zh-CN"/>
              </w:rPr>
              <w:t>)</w:t>
            </w:r>
          </w:p>
        </w:tc>
        <w:tc>
          <w:tcPr>
            <w:tcW w:w="504" w:type="pct"/>
            <w:shd w:val="clear" w:color="auto" w:fill="auto"/>
            <w:noWrap w:val="0"/>
            <w:vAlign w:val="center"/>
          </w:tcPr>
          <w:p w14:paraId="5E654595">
            <w:pPr>
              <w:pStyle w:val="29"/>
              <w:keepNext w:val="0"/>
              <w:keepLines w:val="0"/>
              <w:pageBreakBefore w:val="0"/>
              <w:widowControl/>
              <w:kinsoku w:val="0"/>
              <w:wordWrap/>
              <w:overflowPunct/>
              <w:topLinePunct w:val="0"/>
              <w:autoSpaceDE w:val="0"/>
              <w:autoSpaceDN w:val="0"/>
              <w:bidi w:val="0"/>
              <w:adjustRightInd w:val="0"/>
              <w:snapToGrid w:val="0"/>
              <w:spacing w:line="240" w:lineRule="auto"/>
              <w:ind w:rightChars="0" w:firstLine="0" w:firstLineChars="0"/>
              <w:jc w:val="center"/>
              <w:textAlignment w:val="baseline"/>
              <w:rPr>
                <w:rFonts w:ascii="Times New Roman" w:hAnsi="Times New Roman" w:eastAsia="宋体" w:cs="宋体"/>
                <w:b/>
                <w:bCs/>
                <w:color w:val="auto"/>
                <w:szCs w:val="21"/>
                <w:highlight w:val="none"/>
              </w:rPr>
            </w:pPr>
            <w:r>
              <w:rPr>
                <w:rFonts w:ascii="Times New Roman" w:hAnsi="Times New Roman" w:eastAsia="宋体" w:cs="宋体"/>
                <w:b/>
                <w:bCs/>
                <w:color w:val="auto"/>
                <w:szCs w:val="21"/>
                <w:highlight w:val="none"/>
              </w:rPr>
              <w:t>氨氮</w:t>
            </w:r>
          </w:p>
          <w:p w14:paraId="78BC07AB">
            <w:pPr>
              <w:pStyle w:val="29"/>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ascii="Times New Roman" w:hAnsi="Times New Roman" w:eastAsia="宋体" w:cs="宋体"/>
                <w:b/>
                <w:bCs/>
                <w:snapToGrid w:val="0"/>
                <w:color w:val="auto"/>
                <w:kern w:val="2"/>
                <w:sz w:val="21"/>
                <w:szCs w:val="20"/>
                <w:lang w:val="en-US" w:eastAsia="en-US" w:bidi="ar-SA"/>
              </w:rPr>
            </w:pPr>
            <w:r>
              <w:rPr>
                <w:rFonts w:ascii="Times New Roman" w:hAnsi="Times New Roman" w:eastAsia="宋体" w:cs="宋体"/>
                <w:b/>
                <w:bCs/>
                <w:color w:val="auto"/>
                <w:sz w:val="21"/>
              </w:rPr>
              <w:t>（mg/L</w:t>
            </w:r>
            <w:r>
              <w:rPr>
                <w:rFonts w:hint="eastAsia" w:ascii="Times New Roman" w:hAnsi="Times New Roman" w:eastAsia="宋体" w:cs="宋体"/>
                <w:b/>
                <w:bCs/>
                <w:color w:val="auto"/>
                <w:sz w:val="21"/>
                <w:lang w:eastAsia="zh-CN"/>
              </w:rPr>
              <w:t>)</w:t>
            </w:r>
          </w:p>
        </w:tc>
        <w:tc>
          <w:tcPr>
            <w:tcW w:w="506" w:type="pct"/>
            <w:shd w:val="clear" w:color="auto" w:fill="auto"/>
            <w:noWrap w:val="0"/>
            <w:vAlign w:val="center"/>
          </w:tcPr>
          <w:p w14:paraId="0F66D37D">
            <w:pPr>
              <w:pStyle w:val="29"/>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imes New Roman" w:hAnsi="Times New Roman" w:eastAsia="宋体" w:cs="宋体"/>
                <w:b/>
                <w:bCs/>
                <w:color w:val="auto"/>
                <w:szCs w:val="21"/>
                <w:highlight w:val="none"/>
                <w:lang w:val="en-US" w:eastAsia="zh-CN"/>
              </w:rPr>
            </w:pPr>
            <w:r>
              <w:rPr>
                <w:rFonts w:hint="eastAsia" w:ascii="Times New Roman" w:hAnsi="Times New Roman" w:eastAsia="宋体" w:cs="宋体"/>
                <w:b/>
                <w:bCs/>
                <w:color w:val="auto"/>
                <w:szCs w:val="21"/>
                <w:highlight w:val="none"/>
                <w:lang w:val="en-US" w:eastAsia="zh-CN"/>
              </w:rPr>
              <w:t>TN</w:t>
            </w:r>
          </w:p>
          <w:p w14:paraId="5CB3ABF4">
            <w:pPr>
              <w:pStyle w:val="29"/>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ascii="Times New Roman" w:hAnsi="Times New Roman" w:eastAsia="宋体" w:cs="宋体"/>
                <w:b/>
                <w:bCs/>
                <w:snapToGrid w:val="0"/>
                <w:color w:val="auto"/>
                <w:kern w:val="2"/>
                <w:sz w:val="21"/>
                <w:szCs w:val="20"/>
                <w:lang w:val="en-US" w:eastAsia="en-US" w:bidi="ar-SA"/>
              </w:rPr>
            </w:pPr>
            <w:r>
              <w:rPr>
                <w:rFonts w:ascii="Times New Roman" w:hAnsi="Times New Roman" w:eastAsia="宋体" w:cs="宋体"/>
                <w:b/>
                <w:bCs/>
                <w:color w:val="auto"/>
                <w:sz w:val="21"/>
              </w:rPr>
              <w:t>（mg/L</w:t>
            </w:r>
            <w:r>
              <w:rPr>
                <w:rFonts w:hint="eastAsia" w:ascii="Times New Roman" w:hAnsi="Times New Roman" w:eastAsia="宋体" w:cs="宋体"/>
                <w:b/>
                <w:bCs/>
                <w:color w:val="auto"/>
                <w:sz w:val="21"/>
                <w:lang w:eastAsia="zh-CN"/>
              </w:rPr>
              <w:t>)</w:t>
            </w:r>
          </w:p>
        </w:tc>
        <w:tc>
          <w:tcPr>
            <w:tcW w:w="506" w:type="pct"/>
            <w:shd w:val="clear" w:color="auto" w:fill="auto"/>
            <w:noWrap w:val="0"/>
            <w:vAlign w:val="center"/>
          </w:tcPr>
          <w:p w14:paraId="5D8B15B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bCs/>
                <w:color w:val="auto"/>
                <w:sz w:val="21"/>
              </w:rPr>
            </w:pPr>
            <w:r>
              <w:rPr>
                <w:rFonts w:ascii="Times New Roman" w:hAnsi="Times New Roman" w:eastAsia="宋体" w:cs="宋体"/>
                <w:b/>
                <w:bCs/>
                <w:color w:val="auto"/>
                <w:sz w:val="21"/>
              </w:rPr>
              <w:t>PH</w:t>
            </w:r>
          </w:p>
        </w:tc>
      </w:tr>
      <w:tr w14:paraId="22592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12" w:type="pct"/>
            <w:vMerge w:val="restart"/>
            <w:shd w:val="clear" w:color="auto" w:fill="auto"/>
            <w:noWrap w:val="0"/>
            <w:vAlign w:val="center"/>
          </w:tcPr>
          <w:p w14:paraId="1BB6FCA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r>
              <w:rPr>
                <w:rFonts w:ascii="Times New Roman" w:hAnsi="Times New Roman" w:eastAsia="宋体" w:cs="宋体"/>
                <w:b w:val="0"/>
                <w:bCs w:val="0"/>
                <w:color w:val="auto"/>
                <w:sz w:val="21"/>
              </w:rPr>
              <w:t>调节池</w:t>
            </w:r>
          </w:p>
        </w:tc>
        <w:tc>
          <w:tcPr>
            <w:tcW w:w="644" w:type="pct"/>
            <w:vMerge w:val="restart"/>
            <w:shd w:val="clear" w:color="auto" w:fill="auto"/>
            <w:noWrap w:val="0"/>
            <w:vAlign w:val="center"/>
          </w:tcPr>
          <w:p w14:paraId="0D6DA85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r>
              <w:rPr>
                <w:rFonts w:hint="eastAsia" w:ascii="Times New Roman" w:hAnsi="Times New Roman" w:eastAsia="宋体" w:cs="宋体"/>
                <w:b w:val="0"/>
                <w:bCs w:val="0"/>
                <w:color w:val="auto"/>
                <w:sz w:val="21"/>
              </w:rPr>
              <w:t>89213.2</w:t>
            </w:r>
            <w:r>
              <w:rPr>
                <w:rFonts w:ascii="Times New Roman" w:hAnsi="Times New Roman" w:eastAsia="宋体" w:cs="宋体"/>
                <w:b w:val="0"/>
                <w:bCs w:val="0"/>
                <w:color w:val="auto"/>
                <w:sz w:val="21"/>
              </w:rPr>
              <w:t>m</w:t>
            </w:r>
            <w:r>
              <w:rPr>
                <w:rFonts w:hint="eastAsia" w:ascii="Times New Roman" w:hAnsi="Times New Roman" w:eastAsia="宋体" w:cs="宋体"/>
                <w:color w:val="auto"/>
                <w:sz w:val="21"/>
                <w:vertAlign w:val="superscript"/>
                <w:lang w:val="en-US" w:eastAsia="zh-CN"/>
              </w:rPr>
              <w:t>3</w:t>
            </w:r>
            <w:r>
              <w:rPr>
                <w:rFonts w:ascii="Times New Roman" w:hAnsi="Times New Roman" w:eastAsia="宋体" w:cs="宋体"/>
                <w:color w:val="auto"/>
                <w:sz w:val="21"/>
              </w:rPr>
              <w:t>/</w:t>
            </w:r>
            <w:r>
              <w:rPr>
                <w:rFonts w:hint="eastAsia" w:ascii="Times New Roman" w:hAnsi="Times New Roman" w:eastAsia="宋体" w:cs="宋体"/>
                <w:color w:val="auto"/>
                <w:sz w:val="21"/>
                <w:lang w:val="en-US" w:eastAsia="zh-CN"/>
              </w:rPr>
              <w:t>a</w:t>
            </w:r>
          </w:p>
        </w:tc>
        <w:tc>
          <w:tcPr>
            <w:tcW w:w="549" w:type="pct"/>
            <w:shd w:val="clear" w:color="auto" w:fill="auto"/>
            <w:noWrap w:val="0"/>
            <w:vAlign w:val="center"/>
          </w:tcPr>
          <w:p w14:paraId="10F4B48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r>
              <w:rPr>
                <w:rFonts w:ascii="Times New Roman" w:hAnsi="Times New Roman" w:eastAsia="宋体" w:cs="宋体"/>
                <w:b w:val="0"/>
                <w:bCs w:val="0"/>
                <w:color w:val="auto"/>
                <w:sz w:val="21"/>
              </w:rPr>
              <w:t>进水</w:t>
            </w:r>
          </w:p>
        </w:tc>
        <w:tc>
          <w:tcPr>
            <w:tcW w:w="515" w:type="pct"/>
            <w:shd w:val="clear" w:color="auto" w:fill="auto"/>
            <w:noWrap w:val="0"/>
            <w:vAlign w:val="center"/>
          </w:tcPr>
          <w:p w14:paraId="30C0009C">
            <w:pPr>
              <w:keepNext w:val="0"/>
              <w:keepLines w:val="0"/>
              <w:widowControl/>
              <w:suppressLineNumbers w:val="0"/>
              <w:jc w:val="center"/>
              <w:textAlignment w:val="center"/>
              <w:rPr>
                <w:rFonts w:ascii="Times New Roman" w:hAnsi="Times New Roman" w:eastAsia="宋体" w:cs="宋体"/>
                <w:b w:val="0"/>
                <w:bCs w:val="0"/>
                <w:color w:val="auto"/>
                <w:sz w:val="21"/>
              </w:rPr>
            </w:pPr>
            <w:r>
              <w:rPr>
                <w:rFonts w:hint="default" w:ascii="Times New Roman" w:hAnsi="Times New Roman" w:eastAsia="宋体" w:cs="Times New Roman"/>
                <w:i w:val="0"/>
                <w:iCs w:val="0"/>
                <w:snapToGrid w:val="0"/>
                <w:color w:val="auto"/>
                <w:kern w:val="0"/>
                <w:sz w:val="21"/>
                <w:szCs w:val="21"/>
                <w:u w:val="none"/>
                <w:lang w:val="en-US" w:eastAsia="zh-CN" w:bidi="ar"/>
              </w:rPr>
              <w:t>39723</w:t>
            </w:r>
          </w:p>
        </w:tc>
        <w:tc>
          <w:tcPr>
            <w:tcW w:w="562" w:type="pct"/>
            <w:shd w:val="clear" w:color="auto" w:fill="auto"/>
            <w:noWrap w:val="0"/>
            <w:vAlign w:val="center"/>
          </w:tcPr>
          <w:p w14:paraId="450874D5">
            <w:pPr>
              <w:keepNext w:val="0"/>
              <w:keepLines w:val="0"/>
              <w:widowControl/>
              <w:suppressLineNumbers w:val="0"/>
              <w:jc w:val="center"/>
              <w:textAlignment w:val="center"/>
              <w:rPr>
                <w:rFonts w:ascii="Times New Roman" w:hAnsi="Times New Roman" w:eastAsia="宋体" w:cs="宋体"/>
                <w:b w:val="0"/>
                <w:bCs w:val="0"/>
                <w:color w:val="auto"/>
                <w:sz w:val="21"/>
              </w:rPr>
            </w:pPr>
            <w:r>
              <w:rPr>
                <w:rFonts w:hint="default" w:ascii="Times New Roman" w:hAnsi="Times New Roman" w:eastAsia="宋体" w:cs="Times New Roman"/>
                <w:i w:val="0"/>
                <w:iCs w:val="0"/>
                <w:snapToGrid w:val="0"/>
                <w:color w:val="auto"/>
                <w:kern w:val="0"/>
                <w:sz w:val="21"/>
                <w:szCs w:val="21"/>
                <w:u w:val="none"/>
                <w:lang w:val="en-US" w:eastAsia="zh-CN" w:bidi="ar"/>
              </w:rPr>
              <w:t>30367</w:t>
            </w:r>
          </w:p>
        </w:tc>
        <w:tc>
          <w:tcPr>
            <w:tcW w:w="498" w:type="pct"/>
            <w:shd w:val="clear" w:color="auto" w:fill="auto"/>
            <w:noWrap w:val="0"/>
            <w:vAlign w:val="center"/>
          </w:tcPr>
          <w:p w14:paraId="65AC01EA">
            <w:pPr>
              <w:keepNext w:val="0"/>
              <w:keepLines w:val="0"/>
              <w:widowControl/>
              <w:suppressLineNumbers w:val="0"/>
              <w:jc w:val="center"/>
              <w:textAlignment w:val="center"/>
              <w:rPr>
                <w:rFonts w:ascii="Times New Roman" w:hAnsi="Times New Roman" w:eastAsia="宋体" w:cs="宋体"/>
                <w:b w:val="0"/>
                <w:bCs w:val="0"/>
                <w:color w:val="auto"/>
                <w:sz w:val="21"/>
              </w:rPr>
            </w:pPr>
            <w:r>
              <w:rPr>
                <w:rFonts w:hint="default" w:ascii="Times New Roman" w:hAnsi="Times New Roman" w:eastAsia="宋体" w:cs="Times New Roman"/>
                <w:i w:val="0"/>
                <w:iCs w:val="0"/>
                <w:snapToGrid w:val="0"/>
                <w:color w:val="auto"/>
                <w:kern w:val="0"/>
                <w:sz w:val="21"/>
                <w:szCs w:val="21"/>
                <w:u w:val="none"/>
                <w:lang w:val="en-US" w:eastAsia="zh-CN" w:bidi="ar"/>
              </w:rPr>
              <w:t>6233</w:t>
            </w:r>
          </w:p>
        </w:tc>
        <w:tc>
          <w:tcPr>
            <w:tcW w:w="504" w:type="pct"/>
            <w:shd w:val="clear" w:color="auto" w:fill="auto"/>
            <w:noWrap w:val="0"/>
            <w:vAlign w:val="center"/>
          </w:tcPr>
          <w:p w14:paraId="5398D75B">
            <w:pPr>
              <w:keepNext w:val="0"/>
              <w:keepLines w:val="0"/>
              <w:widowControl/>
              <w:suppressLineNumbers w:val="0"/>
              <w:jc w:val="center"/>
              <w:textAlignment w:val="center"/>
              <w:rPr>
                <w:rFonts w:ascii="Times New Roman" w:hAnsi="Times New Roman" w:eastAsia="宋体" w:cs="宋体"/>
                <w:b/>
                <w:bCs/>
                <w:snapToGrid w:val="0"/>
                <w:color w:val="auto"/>
                <w:kern w:val="0"/>
                <w:sz w:val="21"/>
                <w:szCs w:val="21"/>
                <w:lang w:val="en-US" w:eastAsia="en-US" w:bidi="ar-SA"/>
              </w:rPr>
            </w:pPr>
            <w:r>
              <w:rPr>
                <w:rFonts w:hint="default" w:ascii="Times New Roman" w:hAnsi="Times New Roman" w:eastAsia="宋体" w:cs="Times New Roman"/>
                <w:i w:val="0"/>
                <w:iCs w:val="0"/>
                <w:snapToGrid w:val="0"/>
                <w:color w:val="auto"/>
                <w:kern w:val="0"/>
                <w:sz w:val="21"/>
                <w:szCs w:val="21"/>
                <w:u w:val="none"/>
                <w:lang w:val="en-US" w:eastAsia="zh-CN" w:bidi="ar"/>
              </w:rPr>
              <w:t>265</w:t>
            </w:r>
          </w:p>
        </w:tc>
        <w:tc>
          <w:tcPr>
            <w:tcW w:w="506" w:type="pct"/>
            <w:shd w:val="clear" w:color="auto" w:fill="auto"/>
            <w:noWrap w:val="0"/>
            <w:vAlign w:val="center"/>
          </w:tcPr>
          <w:p w14:paraId="4902571B">
            <w:pPr>
              <w:keepNext w:val="0"/>
              <w:keepLines w:val="0"/>
              <w:widowControl/>
              <w:suppressLineNumbers w:val="0"/>
              <w:jc w:val="center"/>
              <w:textAlignment w:val="center"/>
              <w:rPr>
                <w:rFonts w:ascii="Times New Roman" w:hAnsi="Times New Roman" w:eastAsia="宋体" w:cs="宋体"/>
                <w:b w:val="0"/>
                <w:bCs w:val="0"/>
                <w:color w:val="auto"/>
                <w:sz w:val="21"/>
              </w:rPr>
            </w:pPr>
            <w:r>
              <w:rPr>
                <w:rFonts w:hint="default" w:ascii="Times New Roman" w:hAnsi="Times New Roman" w:eastAsia="宋体" w:cs="Times New Roman"/>
                <w:i w:val="0"/>
                <w:iCs w:val="0"/>
                <w:snapToGrid w:val="0"/>
                <w:color w:val="auto"/>
                <w:kern w:val="0"/>
                <w:sz w:val="21"/>
                <w:szCs w:val="21"/>
                <w:u w:val="none"/>
                <w:lang w:val="en-US" w:eastAsia="zh-CN" w:bidi="ar"/>
              </w:rPr>
              <w:t>2413</w:t>
            </w:r>
          </w:p>
        </w:tc>
        <w:tc>
          <w:tcPr>
            <w:tcW w:w="506" w:type="pct"/>
            <w:shd w:val="clear" w:color="auto" w:fill="auto"/>
            <w:noWrap w:val="0"/>
            <w:vAlign w:val="center"/>
          </w:tcPr>
          <w:p w14:paraId="499A222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r>
              <w:rPr>
                <w:rFonts w:ascii="Times New Roman" w:hAnsi="Times New Roman" w:eastAsia="宋体" w:cs="宋体"/>
                <w:b w:val="0"/>
                <w:bCs w:val="0"/>
                <w:color w:val="auto"/>
                <w:sz w:val="21"/>
              </w:rPr>
              <w:t>4</w:t>
            </w:r>
            <w:r>
              <w:rPr>
                <w:rFonts w:hint="eastAsia" w:ascii="Times New Roman" w:hAnsi="Times New Roman" w:eastAsia="宋体" w:cs="宋体"/>
                <w:b w:val="0"/>
                <w:bCs w:val="0"/>
                <w:color w:val="auto"/>
                <w:sz w:val="21"/>
                <w:lang w:eastAsia="zh-CN"/>
              </w:rPr>
              <w:t>~</w:t>
            </w:r>
            <w:r>
              <w:rPr>
                <w:rFonts w:ascii="Times New Roman" w:hAnsi="Times New Roman" w:eastAsia="宋体" w:cs="宋体"/>
                <w:b w:val="0"/>
                <w:bCs w:val="0"/>
                <w:color w:val="auto"/>
                <w:sz w:val="21"/>
              </w:rPr>
              <w:t>6</w:t>
            </w:r>
          </w:p>
        </w:tc>
      </w:tr>
      <w:tr w14:paraId="445AE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98" w:hRule="atLeast"/>
        </w:trPr>
        <w:tc>
          <w:tcPr>
            <w:tcW w:w="712" w:type="pct"/>
            <w:vMerge w:val="continue"/>
            <w:shd w:val="clear" w:color="auto" w:fill="auto"/>
            <w:noWrap w:val="0"/>
            <w:vAlign w:val="center"/>
          </w:tcPr>
          <w:p w14:paraId="2BD5C99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p>
        </w:tc>
        <w:tc>
          <w:tcPr>
            <w:tcW w:w="644" w:type="pct"/>
            <w:vMerge w:val="continue"/>
            <w:shd w:val="clear" w:color="auto" w:fill="auto"/>
            <w:noWrap w:val="0"/>
            <w:vAlign w:val="center"/>
          </w:tcPr>
          <w:p w14:paraId="4F0B299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val="0"/>
                <w:bCs w:val="0"/>
                <w:color w:val="auto"/>
                <w:sz w:val="21"/>
                <w:lang w:val="en-US" w:eastAsia="zh-CN"/>
              </w:rPr>
            </w:pPr>
          </w:p>
        </w:tc>
        <w:tc>
          <w:tcPr>
            <w:tcW w:w="549" w:type="pct"/>
            <w:shd w:val="clear" w:color="auto" w:fill="auto"/>
            <w:noWrap w:val="0"/>
            <w:vAlign w:val="center"/>
          </w:tcPr>
          <w:p w14:paraId="611B4A4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r>
              <w:rPr>
                <w:rFonts w:ascii="Times New Roman" w:hAnsi="Times New Roman" w:eastAsia="宋体" w:cs="宋体"/>
                <w:b w:val="0"/>
                <w:bCs w:val="0"/>
                <w:color w:val="auto"/>
                <w:sz w:val="21"/>
              </w:rPr>
              <w:t>出水</w:t>
            </w:r>
          </w:p>
        </w:tc>
        <w:tc>
          <w:tcPr>
            <w:tcW w:w="515" w:type="pct"/>
            <w:shd w:val="clear" w:color="auto" w:fill="auto"/>
            <w:noWrap w:val="0"/>
            <w:vAlign w:val="center"/>
          </w:tcPr>
          <w:p w14:paraId="5025F25B">
            <w:pPr>
              <w:keepNext w:val="0"/>
              <w:keepLines w:val="0"/>
              <w:widowControl/>
              <w:suppressLineNumbers w:val="0"/>
              <w:jc w:val="center"/>
              <w:textAlignment w:val="center"/>
              <w:rPr>
                <w:rFonts w:ascii="Times New Roman" w:hAnsi="Times New Roman" w:eastAsia="宋体" w:cs="宋体"/>
                <w:b w:val="0"/>
                <w:bCs w:val="0"/>
                <w:color w:val="auto"/>
                <w:sz w:val="21"/>
              </w:rPr>
            </w:pPr>
            <w:r>
              <w:rPr>
                <w:rFonts w:hint="default" w:ascii="Times New Roman" w:hAnsi="Times New Roman" w:eastAsia="宋体" w:cs="Times New Roman"/>
                <w:i w:val="0"/>
                <w:iCs w:val="0"/>
                <w:snapToGrid w:val="0"/>
                <w:color w:val="auto"/>
                <w:kern w:val="0"/>
                <w:sz w:val="21"/>
                <w:szCs w:val="21"/>
                <w:u w:val="none"/>
                <w:lang w:val="en-US" w:eastAsia="zh-CN" w:bidi="ar"/>
              </w:rPr>
              <w:t>39723</w:t>
            </w:r>
          </w:p>
        </w:tc>
        <w:tc>
          <w:tcPr>
            <w:tcW w:w="562" w:type="pct"/>
            <w:shd w:val="clear" w:color="auto" w:fill="auto"/>
            <w:noWrap w:val="0"/>
            <w:vAlign w:val="center"/>
          </w:tcPr>
          <w:p w14:paraId="740363D9">
            <w:pPr>
              <w:keepNext w:val="0"/>
              <w:keepLines w:val="0"/>
              <w:widowControl/>
              <w:suppressLineNumbers w:val="0"/>
              <w:jc w:val="center"/>
              <w:textAlignment w:val="center"/>
              <w:rPr>
                <w:rFonts w:ascii="Times New Roman" w:hAnsi="Times New Roman" w:eastAsia="宋体" w:cs="宋体"/>
                <w:b w:val="0"/>
                <w:bCs w:val="0"/>
                <w:color w:val="auto"/>
                <w:sz w:val="21"/>
              </w:rPr>
            </w:pPr>
            <w:r>
              <w:rPr>
                <w:rFonts w:hint="default" w:ascii="Times New Roman" w:hAnsi="Times New Roman" w:eastAsia="宋体" w:cs="Times New Roman"/>
                <w:i w:val="0"/>
                <w:iCs w:val="0"/>
                <w:snapToGrid w:val="0"/>
                <w:color w:val="auto"/>
                <w:kern w:val="0"/>
                <w:sz w:val="21"/>
                <w:szCs w:val="21"/>
                <w:u w:val="none"/>
                <w:lang w:val="en-US" w:eastAsia="zh-CN" w:bidi="ar"/>
              </w:rPr>
              <w:t>30367</w:t>
            </w:r>
          </w:p>
        </w:tc>
        <w:tc>
          <w:tcPr>
            <w:tcW w:w="498" w:type="pct"/>
            <w:shd w:val="clear" w:color="auto" w:fill="auto"/>
            <w:noWrap w:val="0"/>
            <w:vAlign w:val="center"/>
          </w:tcPr>
          <w:p w14:paraId="2582499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4363</w:t>
            </w:r>
          </w:p>
        </w:tc>
        <w:tc>
          <w:tcPr>
            <w:tcW w:w="504" w:type="pct"/>
            <w:shd w:val="clear" w:color="auto" w:fill="auto"/>
            <w:noWrap w:val="0"/>
            <w:vAlign w:val="center"/>
          </w:tcPr>
          <w:p w14:paraId="02DE542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snapToGrid w:val="0"/>
                <w:color w:val="auto"/>
                <w:kern w:val="0"/>
                <w:sz w:val="21"/>
                <w:szCs w:val="21"/>
                <w:lang w:val="en-US" w:eastAsia="zh-CN" w:bidi="ar-SA"/>
              </w:rPr>
            </w:pPr>
            <w:r>
              <w:rPr>
                <w:rFonts w:hint="eastAsia" w:ascii="Times New Roman" w:hAnsi="Times New Roman" w:eastAsia="宋体" w:cs="宋体"/>
                <w:b w:val="0"/>
                <w:bCs w:val="0"/>
                <w:snapToGrid w:val="0"/>
                <w:color w:val="auto"/>
                <w:kern w:val="0"/>
                <w:sz w:val="21"/>
                <w:szCs w:val="21"/>
                <w:lang w:val="en-US" w:eastAsia="zh-CN" w:bidi="ar-SA"/>
              </w:rPr>
              <w:t>252</w:t>
            </w:r>
          </w:p>
        </w:tc>
        <w:tc>
          <w:tcPr>
            <w:tcW w:w="506" w:type="pct"/>
            <w:shd w:val="clear" w:color="auto" w:fill="auto"/>
            <w:noWrap w:val="0"/>
            <w:vAlign w:val="center"/>
          </w:tcPr>
          <w:p w14:paraId="2C7597D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2413</w:t>
            </w:r>
          </w:p>
        </w:tc>
        <w:tc>
          <w:tcPr>
            <w:tcW w:w="506" w:type="pct"/>
            <w:shd w:val="clear" w:color="auto" w:fill="auto"/>
            <w:noWrap w:val="0"/>
            <w:vAlign w:val="center"/>
          </w:tcPr>
          <w:p w14:paraId="1E66DB5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r>
              <w:rPr>
                <w:rFonts w:ascii="Times New Roman" w:hAnsi="Times New Roman" w:eastAsia="宋体" w:cs="宋体"/>
                <w:b w:val="0"/>
                <w:bCs w:val="0"/>
                <w:color w:val="auto"/>
                <w:sz w:val="21"/>
              </w:rPr>
              <w:t>6</w:t>
            </w:r>
            <w:r>
              <w:rPr>
                <w:rFonts w:hint="eastAsia" w:ascii="Times New Roman" w:hAnsi="Times New Roman" w:eastAsia="宋体" w:cs="宋体"/>
                <w:b w:val="0"/>
                <w:bCs w:val="0"/>
                <w:color w:val="auto"/>
                <w:sz w:val="21"/>
                <w:lang w:eastAsia="zh-CN"/>
              </w:rPr>
              <w:t>~</w:t>
            </w:r>
            <w:r>
              <w:rPr>
                <w:rFonts w:ascii="Times New Roman" w:hAnsi="Times New Roman" w:eastAsia="宋体" w:cs="宋体"/>
                <w:b w:val="0"/>
                <w:bCs w:val="0"/>
                <w:color w:val="auto"/>
                <w:sz w:val="21"/>
              </w:rPr>
              <w:t>9</w:t>
            </w:r>
          </w:p>
        </w:tc>
      </w:tr>
      <w:tr w14:paraId="3614F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58" w:hRule="atLeast"/>
        </w:trPr>
        <w:tc>
          <w:tcPr>
            <w:tcW w:w="712" w:type="pct"/>
            <w:vMerge w:val="continue"/>
            <w:shd w:val="clear" w:color="auto" w:fill="auto"/>
            <w:noWrap w:val="0"/>
            <w:vAlign w:val="center"/>
          </w:tcPr>
          <w:p w14:paraId="41AE268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p>
        </w:tc>
        <w:tc>
          <w:tcPr>
            <w:tcW w:w="644" w:type="pct"/>
            <w:vMerge w:val="continue"/>
            <w:shd w:val="clear" w:color="auto" w:fill="auto"/>
            <w:noWrap w:val="0"/>
            <w:vAlign w:val="center"/>
          </w:tcPr>
          <w:p w14:paraId="658613B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val="0"/>
                <w:bCs w:val="0"/>
                <w:color w:val="auto"/>
                <w:sz w:val="21"/>
                <w:lang w:val="en-US" w:eastAsia="zh-CN"/>
              </w:rPr>
            </w:pPr>
          </w:p>
        </w:tc>
        <w:tc>
          <w:tcPr>
            <w:tcW w:w="549" w:type="pct"/>
            <w:shd w:val="clear" w:color="auto" w:fill="auto"/>
            <w:noWrap w:val="0"/>
            <w:vAlign w:val="center"/>
          </w:tcPr>
          <w:p w14:paraId="622D445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val="0"/>
                <w:bCs w:val="0"/>
                <w:color w:val="auto"/>
                <w:sz w:val="21"/>
                <w:lang w:val="en-US" w:eastAsia="zh-CN"/>
              </w:rPr>
            </w:pPr>
            <w:r>
              <w:rPr>
                <w:rFonts w:ascii="Times New Roman" w:hAnsi="Times New Roman" w:eastAsia="宋体" w:cs="宋体"/>
                <w:b w:val="0"/>
                <w:bCs w:val="0"/>
                <w:color w:val="auto"/>
                <w:sz w:val="21"/>
              </w:rPr>
              <w:t>去除率</w:t>
            </w:r>
            <w:r>
              <w:rPr>
                <w:rFonts w:hint="eastAsia" w:ascii="Times New Roman" w:hAnsi="Times New Roman" w:eastAsia="宋体" w:cs="宋体"/>
                <w:b w:val="0"/>
                <w:bCs w:val="0"/>
                <w:color w:val="auto"/>
                <w:sz w:val="21"/>
                <w:lang w:val="en-US" w:eastAsia="zh-CN"/>
              </w:rPr>
              <w:t>%</w:t>
            </w:r>
          </w:p>
        </w:tc>
        <w:tc>
          <w:tcPr>
            <w:tcW w:w="515" w:type="pct"/>
            <w:shd w:val="clear" w:color="auto" w:fill="auto"/>
            <w:noWrap w:val="0"/>
            <w:vAlign w:val="center"/>
          </w:tcPr>
          <w:p w14:paraId="065168D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0</w:t>
            </w:r>
          </w:p>
        </w:tc>
        <w:tc>
          <w:tcPr>
            <w:tcW w:w="562" w:type="pct"/>
            <w:shd w:val="clear" w:color="auto" w:fill="auto"/>
            <w:noWrap w:val="0"/>
            <w:vAlign w:val="center"/>
          </w:tcPr>
          <w:p w14:paraId="0C74C78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val="0"/>
                <w:bCs w:val="0"/>
                <w:color w:val="auto"/>
                <w:sz w:val="21"/>
                <w:lang w:eastAsia="zh-CN"/>
              </w:rPr>
            </w:pPr>
            <w:r>
              <w:rPr>
                <w:rFonts w:hint="eastAsia" w:ascii="Times New Roman" w:hAnsi="Times New Roman" w:eastAsia="宋体" w:cs="宋体"/>
                <w:b w:val="0"/>
                <w:bCs w:val="0"/>
                <w:color w:val="auto"/>
                <w:sz w:val="21"/>
                <w:lang w:val="en-US" w:eastAsia="zh-CN"/>
              </w:rPr>
              <w:t>0</w:t>
            </w:r>
          </w:p>
        </w:tc>
        <w:tc>
          <w:tcPr>
            <w:tcW w:w="498" w:type="pct"/>
            <w:shd w:val="clear" w:color="auto" w:fill="auto"/>
            <w:noWrap w:val="0"/>
            <w:vAlign w:val="center"/>
          </w:tcPr>
          <w:p w14:paraId="455F7CB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r>
              <w:rPr>
                <w:rFonts w:hint="eastAsia" w:ascii="Times New Roman" w:hAnsi="Times New Roman" w:eastAsia="宋体" w:cs="宋体"/>
                <w:b w:val="0"/>
                <w:bCs w:val="0"/>
                <w:color w:val="auto"/>
                <w:sz w:val="21"/>
                <w:lang w:val="en-US" w:eastAsia="zh-CN"/>
              </w:rPr>
              <w:t>30</w:t>
            </w:r>
          </w:p>
        </w:tc>
        <w:tc>
          <w:tcPr>
            <w:tcW w:w="504" w:type="pct"/>
            <w:shd w:val="clear" w:color="auto" w:fill="auto"/>
            <w:noWrap w:val="0"/>
            <w:vAlign w:val="center"/>
          </w:tcPr>
          <w:p w14:paraId="7DE1A7C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5</w:t>
            </w:r>
          </w:p>
        </w:tc>
        <w:tc>
          <w:tcPr>
            <w:tcW w:w="506" w:type="pct"/>
            <w:shd w:val="clear" w:color="auto" w:fill="auto"/>
            <w:noWrap w:val="0"/>
            <w:vAlign w:val="center"/>
          </w:tcPr>
          <w:p w14:paraId="5D762F5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0</w:t>
            </w:r>
          </w:p>
        </w:tc>
        <w:tc>
          <w:tcPr>
            <w:tcW w:w="506" w:type="pct"/>
            <w:shd w:val="clear" w:color="auto" w:fill="auto"/>
            <w:noWrap w:val="0"/>
            <w:vAlign w:val="center"/>
          </w:tcPr>
          <w:p w14:paraId="7856693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w:t>
            </w:r>
          </w:p>
        </w:tc>
      </w:tr>
      <w:tr w14:paraId="04361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18" w:hRule="atLeast"/>
        </w:trPr>
        <w:tc>
          <w:tcPr>
            <w:tcW w:w="712" w:type="pct"/>
            <w:vMerge w:val="restart"/>
            <w:shd w:val="clear" w:color="auto" w:fill="auto"/>
            <w:noWrap w:val="0"/>
            <w:vAlign w:val="center"/>
          </w:tcPr>
          <w:p w14:paraId="4193385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val="0"/>
                <w:bCs w:val="0"/>
                <w:color w:val="auto"/>
                <w:sz w:val="21"/>
                <w:lang w:eastAsia="zh-CN"/>
              </w:rPr>
            </w:pPr>
            <w:r>
              <w:rPr>
                <w:rFonts w:hint="eastAsia" w:ascii="Times New Roman" w:hAnsi="Times New Roman" w:eastAsia="宋体" w:cs="宋体"/>
                <w:b w:val="0"/>
                <w:bCs w:val="0"/>
                <w:color w:val="auto"/>
                <w:sz w:val="21"/>
                <w:lang w:eastAsia="zh-CN"/>
              </w:rPr>
              <w:t>黑膜氧化池</w:t>
            </w:r>
          </w:p>
        </w:tc>
        <w:tc>
          <w:tcPr>
            <w:tcW w:w="644" w:type="pct"/>
            <w:vMerge w:val="restart"/>
            <w:shd w:val="clear" w:color="auto" w:fill="auto"/>
            <w:noWrap w:val="0"/>
            <w:vAlign w:val="center"/>
          </w:tcPr>
          <w:p w14:paraId="01F81F9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r>
              <w:rPr>
                <w:rFonts w:hint="eastAsia" w:ascii="Times New Roman" w:hAnsi="Times New Roman" w:eastAsia="宋体" w:cs="宋体"/>
                <w:b w:val="0"/>
                <w:bCs w:val="0"/>
                <w:color w:val="auto"/>
                <w:sz w:val="21"/>
              </w:rPr>
              <w:t>89213.2</w:t>
            </w:r>
            <w:r>
              <w:rPr>
                <w:rFonts w:ascii="Times New Roman" w:hAnsi="Times New Roman" w:eastAsia="宋体" w:cs="宋体"/>
                <w:b w:val="0"/>
                <w:bCs w:val="0"/>
                <w:color w:val="auto"/>
                <w:sz w:val="21"/>
              </w:rPr>
              <w:t>m</w:t>
            </w:r>
            <w:r>
              <w:rPr>
                <w:rFonts w:hint="eastAsia" w:ascii="Times New Roman" w:hAnsi="Times New Roman" w:eastAsia="宋体" w:cs="宋体"/>
                <w:color w:val="auto"/>
                <w:sz w:val="21"/>
                <w:vertAlign w:val="superscript"/>
                <w:lang w:val="en-US" w:eastAsia="zh-CN"/>
              </w:rPr>
              <w:t>3</w:t>
            </w:r>
            <w:r>
              <w:rPr>
                <w:rFonts w:ascii="Times New Roman" w:hAnsi="Times New Roman" w:eastAsia="宋体" w:cs="宋体"/>
                <w:color w:val="auto"/>
                <w:sz w:val="21"/>
              </w:rPr>
              <w:t>/</w:t>
            </w:r>
            <w:r>
              <w:rPr>
                <w:rFonts w:hint="eastAsia" w:ascii="Times New Roman" w:hAnsi="Times New Roman" w:eastAsia="宋体" w:cs="宋体"/>
                <w:color w:val="auto"/>
                <w:sz w:val="21"/>
                <w:lang w:val="en-US" w:eastAsia="zh-CN"/>
              </w:rPr>
              <w:t>a</w:t>
            </w:r>
          </w:p>
        </w:tc>
        <w:tc>
          <w:tcPr>
            <w:tcW w:w="549" w:type="pct"/>
            <w:shd w:val="clear" w:color="auto" w:fill="auto"/>
            <w:noWrap w:val="0"/>
            <w:vAlign w:val="center"/>
          </w:tcPr>
          <w:p w14:paraId="1686B88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r>
              <w:rPr>
                <w:rFonts w:ascii="Times New Roman" w:hAnsi="Times New Roman" w:eastAsia="宋体" w:cs="宋体"/>
                <w:b w:val="0"/>
                <w:bCs w:val="0"/>
                <w:color w:val="auto"/>
                <w:sz w:val="21"/>
              </w:rPr>
              <w:t>进水</w:t>
            </w:r>
          </w:p>
        </w:tc>
        <w:tc>
          <w:tcPr>
            <w:tcW w:w="515" w:type="pct"/>
            <w:shd w:val="clear" w:color="auto" w:fill="auto"/>
            <w:noWrap w:val="0"/>
            <w:vAlign w:val="center"/>
          </w:tcPr>
          <w:p w14:paraId="264FF11B">
            <w:pPr>
              <w:keepNext w:val="0"/>
              <w:keepLines w:val="0"/>
              <w:widowControl/>
              <w:suppressLineNumbers w:val="0"/>
              <w:jc w:val="center"/>
              <w:textAlignment w:val="center"/>
              <w:rPr>
                <w:rFonts w:ascii="Times New Roman" w:hAnsi="Times New Roman" w:eastAsia="宋体" w:cs="宋体"/>
                <w:b w:val="0"/>
                <w:bCs w:val="0"/>
                <w:color w:val="auto"/>
                <w:sz w:val="21"/>
              </w:rPr>
            </w:pPr>
            <w:r>
              <w:rPr>
                <w:rFonts w:hint="default" w:ascii="Times New Roman" w:hAnsi="Times New Roman" w:eastAsia="宋体" w:cs="Times New Roman"/>
                <w:i w:val="0"/>
                <w:iCs w:val="0"/>
                <w:snapToGrid w:val="0"/>
                <w:color w:val="auto"/>
                <w:kern w:val="0"/>
                <w:sz w:val="21"/>
                <w:szCs w:val="21"/>
                <w:u w:val="none"/>
                <w:lang w:val="en-US" w:eastAsia="zh-CN" w:bidi="ar"/>
              </w:rPr>
              <w:t>39723</w:t>
            </w:r>
          </w:p>
        </w:tc>
        <w:tc>
          <w:tcPr>
            <w:tcW w:w="562" w:type="pct"/>
            <w:shd w:val="clear" w:color="auto" w:fill="auto"/>
            <w:noWrap w:val="0"/>
            <w:vAlign w:val="center"/>
          </w:tcPr>
          <w:p w14:paraId="6F3AA7A1">
            <w:pPr>
              <w:keepNext w:val="0"/>
              <w:keepLines w:val="0"/>
              <w:widowControl/>
              <w:suppressLineNumbers w:val="0"/>
              <w:jc w:val="center"/>
              <w:textAlignment w:val="center"/>
              <w:rPr>
                <w:rFonts w:ascii="Times New Roman" w:hAnsi="Times New Roman" w:eastAsia="宋体" w:cs="宋体"/>
                <w:b w:val="0"/>
                <w:bCs w:val="0"/>
                <w:color w:val="auto"/>
                <w:sz w:val="21"/>
              </w:rPr>
            </w:pPr>
            <w:r>
              <w:rPr>
                <w:rFonts w:hint="default" w:ascii="Times New Roman" w:hAnsi="Times New Roman" w:eastAsia="宋体" w:cs="Times New Roman"/>
                <w:i w:val="0"/>
                <w:iCs w:val="0"/>
                <w:snapToGrid w:val="0"/>
                <w:color w:val="auto"/>
                <w:kern w:val="0"/>
                <w:sz w:val="21"/>
                <w:szCs w:val="21"/>
                <w:u w:val="none"/>
                <w:lang w:val="en-US" w:eastAsia="zh-CN" w:bidi="ar"/>
              </w:rPr>
              <w:t>30367</w:t>
            </w:r>
          </w:p>
        </w:tc>
        <w:tc>
          <w:tcPr>
            <w:tcW w:w="498" w:type="pct"/>
            <w:shd w:val="clear" w:color="auto" w:fill="auto"/>
            <w:noWrap w:val="0"/>
            <w:vAlign w:val="center"/>
          </w:tcPr>
          <w:p w14:paraId="5BD6DD2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r>
              <w:rPr>
                <w:rFonts w:hint="eastAsia" w:ascii="Times New Roman" w:hAnsi="Times New Roman" w:eastAsia="宋体" w:cs="宋体"/>
                <w:b w:val="0"/>
                <w:bCs w:val="0"/>
                <w:color w:val="auto"/>
                <w:sz w:val="21"/>
                <w:lang w:val="en-US" w:eastAsia="zh-CN"/>
              </w:rPr>
              <w:t>4363</w:t>
            </w:r>
          </w:p>
        </w:tc>
        <w:tc>
          <w:tcPr>
            <w:tcW w:w="504" w:type="pct"/>
            <w:shd w:val="clear" w:color="auto" w:fill="auto"/>
            <w:noWrap w:val="0"/>
            <w:vAlign w:val="center"/>
          </w:tcPr>
          <w:p w14:paraId="2AC4F01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r>
              <w:rPr>
                <w:rFonts w:hint="eastAsia" w:ascii="Times New Roman" w:hAnsi="Times New Roman" w:eastAsia="宋体" w:cs="宋体"/>
                <w:b w:val="0"/>
                <w:bCs w:val="0"/>
                <w:snapToGrid w:val="0"/>
                <w:color w:val="auto"/>
                <w:kern w:val="0"/>
                <w:sz w:val="21"/>
                <w:szCs w:val="21"/>
                <w:lang w:val="en-US" w:eastAsia="zh-CN" w:bidi="ar-SA"/>
              </w:rPr>
              <w:t>252</w:t>
            </w:r>
          </w:p>
        </w:tc>
        <w:tc>
          <w:tcPr>
            <w:tcW w:w="506" w:type="pct"/>
            <w:shd w:val="clear" w:color="auto" w:fill="auto"/>
            <w:noWrap w:val="0"/>
            <w:vAlign w:val="center"/>
          </w:tcPr>
          <w:p w14:paraId="4CDE755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r>
              <w:rPr>
                <w:rFonts w:hint="eastAsia" w:ascii="Times New Roman" w:hAnsi="Times New Roman" w:eastAsia="宋体" w:cs="宋体"/>
                <w:b w:val="0"/>
                <w:bCs w:val="0"/>
                <w:color w:val="auto"/>
                <w:sz w:val="21"/>
                <w:lang w:val="en-US" w:eastAsia="zh-CN"/>
              </w:rPr>
              <w:t>2413</w:t>
            </w:r>
          </w:p>
        </w:tc>
        <w:tc>
          <w:tcPr>
            <w:tcW w:w="506" w:type="pct"/>
            <w:shd w:val="clear" w:color="auto" w:fill="auto"/>
            <w:noWrap w:val="0"/>
            <w:vAlign w:val="center"/>
          </w:tcPr>
          <w:p w14:paraId="221DD86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r>
              <w:rPr>
                <w:rFonts w:ascii="Times New Roman" w:hAnsi="Times New Roman" w:eastAsia="宋体" w:cs="宋体"/>
                <w:b w:val="0"/>
                <w:bCs w:val="0"/>
                <w:color w:val="auto"/>
                <w:sz w:val="21"/>
              </w:rPr>
              <w:t>6</w:t>
            </w:r>
            <w:r>
              <w:rPr>
                <w:rFonts w:hint="eastAsia" w:ascii="Times New Roman" w:hAnsi="Times New Roman" w:eastAsia="宋体" w:cs="宋体"/>
                <w:b w:val="0"/>
                <w:bCs w:val="0"/>
                <w:color w:val="auto"/>
                <w:sz w:val="21"/>
                <w:lang w:eastAsia="zh-CN"/>
              </w:rPr>
              <w:t>~</w:t>
            </w:r>
            <w:r>
              <w:rPr>
                <w:rFonts w:ascii="Times New Roman" w:hAnsi="Times New Roman" w:eastAsia="宋体" w:cs="宋体"/>
                <w:b w:val="0"/>
                <w:bCs w:val="0"/>
                <w:color w:val="auto"/>
                <w:sz w:val="21"/>
              </w:rPr>
              <w:t>9</w:t>
            </w:r>
          </w:p>
        </w:tc>
      </w:tr>
      <w:tr w14:paraId="580D4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03" w:hRule="atLeast"/>
        </w:trPr>
        <w:tc>
          <w:tcPr>
            <w:tcW w:w="712" w:type="pct"/>
            <w:vMerge w:val="continue"/>
            <w:shd w:val="clear" w:color="auto" w:fill="auto"/>
            <w:noWrap w:val="0"/>
            <w:vAlign w:val="center"/>
          </w:tcPr>
          <w:p w14:paraId="1BBC96D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p>
        </w:tc>
        <w:tc>
          <w:tcPr>
            <w:tcW w:w="644" w:type="pct"/>
            <w:vMerge w:val="continue"/>
            <w:shd w:val="clear" w:color="auto" w:fill="auto"/>
            <w:noWrap w:val="0"/>
            <w:vAlign w:val="center"/>
          </w:tcPr>
          <w:p w14:paraId="230C3C9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val="0"/>
                <w:bCs w:val="0"/>
                <w:color w:val="auto"/>
                <w:sz w:val="21"/>
                <w:lang w:val="en-US" w:eastAsia="zh-CN"/>
              </w:rPr>
            </w:pPr>
          </w:p>
        </w:tc>
        <w:tc>
          <w:tcPr>
            <w:tcW w:w="549" w:type="pct"/>
            <w:shd w:val="clear" w:color="auto" w:fill="auto"/>
            <w:noWrap w:val="0"/>
            <w:vAlign w:val="center"/>
          </w:tcPr>
          <w:p w14:paraId="1BA8355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出水</w:t>
            </w:r>
          </w:p>
        </w:tc>
        <w:tc>
          <w:tcPr>
            <w:tcW w:w="515" w:type="pct"/>
            <w:shd w:val="clear" w:color="auto" w:fill="auto"/>
            <w:noWrap w:val="0"/>
            <w:vAlign w:val="center"/>
          </w:tcPr>
          <w:p w14:paraId="440CA39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5959</w:t>
            </w:r>
          </w:p>
        </w:tc>
        <w:tc>
          <w:tcPr>
            <w:tcW w:w="562" w:type="pct"/>
            <w:shd w:val="clear" w:color="auto" w:fill="auto"/>
            <w:noWrap w:val="0"/>
            <w:vAlign w:val="center"/>
          </w:tcPr>
          <w:p w14:paraId="6E635F4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3037</w:t>
            </w:r>
          </w:p>
        </w:tc>
        <w:tc>
          <w:tcPr>
            <w:tcW w:w="498" w:type="pct"/>
            <w:shd w:val="clear" w:color="auto" w:fill="auto"/>
            <w:noWrap w:val="0"/>
            <w:vAlign w:val="center"/>
          </w:tcPr>
          <w:p w14:paraId="4EC959C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436</w:t>
            </w:r>
          </w:p>
        </w:tc>
        <w:tc>
          <w:tcPr>
            <w:tcW w:w="504" w:type="pct"/>
            <w:shd w:val="clear" w:color="auto" w:fill="auto"/>
            <w:noWrap w:val="0"/>
            <w:vAlign w:val="center"/>
          </w:tcPr>
          <w:p w14:paraId="287C7CE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101</w:t>
            </w:r>
          </w:p>
        </w:tc>
        <w:tc>
          <w:tcPr>
            <w:tcW w:w="506" w:type="pct"/>
            <w:shd w:val="clear" w:color="auto" w:fill="auto"/>
            <w:noWrap w:val="0"/>
            <w:vAlign w:val="center"/>
          </w:tcPr>
          <w:p w14:paraId="054175D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2000</w:t>
            </w:r>
          </w:p>
        </w:tc>
        <w:tc>
          <w:tcPr>
            <w:tcW w:w="506" w:type="pct"/>
            <w:shd w:val="clear" w:color="auto" w:fill="auto"/>
            <w:noWrap w:val="0"/>
            <w:vAlign w:val="center"/>
          </w:tcPr>
          <w:p w14:paraId="0FC871E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r>
              <w:rPr>
                <w:rFonts w:ascii="Times New Roman" w:hAnsi="Times New Roman" w:eastAsia="宋体" w:cs="宋体"/>
                <w:b w:val="0"/>
                <w:bCs w:val="0"/>
                <w:color w:val="auto"/>
                <w:sz w:val="21"/>
              </w:rPr>
              <w:t>6</w:t>
            </w:r>
            <w:r>
              <w:rPr>
                <w:rFonts w:hint="eastAsia" w:ascii="Times New Roman" w:hAnsi="Times New Roman" w:eastAsia="宋体" w:cs="宋体"/>
                <w:b w:val="0"/>
                <w:bCs w:val="0"/>
                <w:color w:val="auto"/>
                <w:sz w:val="21"/>
                <w:lang w:eastAsia="zh-CN"/>
              </w:rPr>
              <w:t>~</w:t>
            </w:r>
            <w:r>
              <w:rPr>
                <w:rFonts w:ascii="Times New Roman" w:hAnsi="Times New Roman" w:eastAsia="宋体" w:cs="宋体"/>
                <w:b w:val="0"/>
                <w:bCs w:val="0"/>
                <w:color w:val="auto"/>
                <w:sz w:val="21"/>
              </w:rPr>
              <w:t>9</w:t>
            </w:r>
          </w:p>
        </w:tc>
      </w:tr>
      <w:tr w14:paraId="5F770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43" w:hRule="atLeast"/>
        </w:trPr>
        <w:tc>
          <w:tcPr>
            <w:tcW w:w="712" w:type="pct"/>
            <w:vMerge w:val="continue"/>
            <w:shd w:val="clear" w:color="auto" w:fill="auto"/>
            <w:noWrap w:val="0"/>
            <w:vAlign w:val="center"/>
          </w:tcPr>
          <w:p w14:paraId="2B89E10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p>
        </w:tc>
        <w:tc>
          <w:tcPr>
            <w:tcW w:w="644" w:type="pct"/>
            <w:vMerge w:val="continue"/>
            <w:shd w:val="clear" w:color="auto" w:fill="auto"/>
            <w:noWrap w:val="0"/>
            <w:vAlign w:val="center"/>
          </w:tcPr>
          <w:p w14:paraId="3231743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val="0"/>
                <w:bCs w:val="0"/>
                <w:color w:val="auto"/>
                <w:sz w:val="21"/>
                <w:lang w:val="en-US" w:eastAsia="zh-CN"/>
              </w:rPr>
            </w:pPr>
          </w:p>
        </w:tc>
        <w:tc>
          <w:tcPr>
            <w:tcW w:w="549" w:type="pct"/>
            <w:shd w:val="clear" w:color="auto" w:fill="auto"/>
            <w:noWrap w:val="0"/>
            <w:vAlign w:val="center"/>
          </w:tcPr>
          <w:p w14:paraId="6419C53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r>
              <w:rPr>
                <w:rFonts w:ascii="Times New Roman" w:hAnsi="Times New Roman" w:eastAsia="宋体" w:cs="宋体"/>
                <w:b w:val="0"/>
                <w:bCs w:val="0"/>
                <w:color w:val="auto"/>
                <w:sz w:val="21"/>
              </w:rPr>
              <w:t>去除率</w:t>
            </w:r>
            <w:r>
              <w:rPr>
                <w:rFonts w:hint="eastAsia" w:ascii="Times New Roman" w:hAnsi="Times New Roman" w:eastAsia="宋体" w:cs="宋体"/>
                <w:b w:val="0"/>
                <w:bCs w:val="0"/>
                <w:color w:val="auto"/>
                <w:sz w:val="21"/>
                <w:lang w:val="en-US" w:eastAsia="zh-CN"/>
              </w:rPr>
              <w:t>%</w:t>
            </w:r>
          </w:p>
        </w:tc>
        <w:tc>
          <w:tcPr>
            <w:tcW w:w="515" w:type="pct"/>
            <w:shd w:val="clear" w:color="auto" w:fill="auto"/>
            <w:noWrap w:val="0"/>
            <w:vAlign w:val="center"/>
          </w:tcPr>
          <w:p w14:paraId="202FE78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rPr>
            </w:pPr>
            <w:r>
              <w:rPr>
                <w:rFonts w:hint="eastAsia" w:ascii="Times New Roman" w:hAnsi="Times New Roman" w:eastAsia="宋体" w:cs="宋体"/>
                <w:b w:val="0"/>
                <w:bCs w:val="0"/>
                <w:color w:val="auto"/>
                <w:sz w:val="21"/>
                <w:lang w:val="en-US" w:eastAsia="zh-CN"/>
              </w:rPr>
              <w:t>85</w:t>
            </w:r>
          </w:p>
        </w:tc>
        <w:tc>
          <w:tcPr>
            <w:tcW w:w="562" w:type="pct"/>
            <w:shd w:val="clear" w:color="auto" w:fill="auto"/>
            <w:noWrap w:val="0"/>
            <w:vAlign w:val="center"/>
          </w:tcPr>
          <w:p w14:paraId="0DBEFCF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rPr>
            </w:pPr>
            <w:r>
              <w:rPr>
                <w:rFonts w:hint="eastAsia" w:ascii="Times New Roman" w:hAnsi="Times New Roman" w:eastAsia="宋体" w:cs="宋体"/>
                <w:b w:val="0"/>
                <w:bCs w:val="0"/>
                <w:color w:val="auto"/>
                <w:sz w:val="21"/>
                <w:lang w:val="en-US" w:eastAsia="zh-CN"/>
              </w:rPr>
              <w:t>90</w:t>
            </w:r>
          </w:p>
        </w:tc>
        <w:tc>
          <w:tcPr>
            <w:tcW w:w="498" w:type="pct"/>
            <w:shd w:val="clear" w:color="auto" w:fill="auto"/>
            <w:noWrap w:val="0"/>
            <w:vAlign w:val="center"/>
          </w:tcPr>
          <w:p w14:paraId="60940FA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rPr>
            </w:pPr>
            <w:r>
              <w:rPr>
                <w:rFonts w:hint="eastAsia" w:ascii="Times New Roman" w:hAnsi="Times New Roman" w:eastAsia="宋体" w:cs="宋体"/>
                <w:b w:val="0"/>
                <w:bCs w:val="0"/>
                <w:color w:val="auto"/>
                <w:sz w:val="21"/>
                <w:lang w:val="en-US" w:eastAsia="zh-CN"/>
              </w:rPr>
              <w:t>90</w:t>
            </w:r>
          </w:p>
        </w:tc>
        <w:tc>
          <w:tcPr>
            <w:tcW w:w="504" w:type="pct"/>
            <w:shd w:val="clear" w:color="auto" w:fill="auto"/>
            <w:noWrap w:val="0"/>
            <w:vAlign w:val="center"/>
          </w:tcPr>
          <w:p w14:paraId="206248D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rPr>
            </w:pPr>
            <w:r>
              <w:rPr>
                <w:rFonts w:hint="eastAsia" w:ascii="Times New Roman" w:hAnsi="Times New Roman" w:eastAsia="宋体" w:cs="宋体"/>
                <w:b w:val="0"/>
                <w:bCs w:val="0"/>
                <w:color w:val="auto"/>
                <w:sz w:val="21"/>
                <w:lang w:val="en-US" w:eastAsia="zh-CN"/>
              </w:rPr>
              <w:t>60</w:t>
            </w:r>
          </w:p>
        </w:tc>
        <w:tc>
          <w:tcPr>
            <w:tcW w:w="506" w:type="pct"/>
            <w:shd w:val="clear" w:color="auto" w:fill="auto"/>
            <w:noWrap w:val="0"/>
            <w:vAlign w:val="center"/>
          </w:tcPr>
          <w:p w14:paraId="024A562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宋体"/>
                <w:b w:val="0"/>
                <w:bCs w:val="0"/>
                <w:color w:val="auto"/>
                <w:sz w:val="21"/>
                <w:lang w:val="en-US" w:eastAsia="zh-CN"/>
              </w:rPr>
            </w:pPr>
            <w:r>
              <w:rPr>
                <w:rFonts w:hint="eastAsia" w:ascii="Times New Roman" w:hAnsi="Times New Roman" w:eastAsia="宋体" w:cs="宋体"/>
                <w:b w:val="0"/>
                <w:bCs w:val="0"/>
                <w:color w:val="auto"/>
                <w:sz w:val="21"/>
                <w:lang w:val="en-US" w:eastAsia="zh-CN"/>
              </w:rPr>
              <w:t>17</w:t>
            </w:r>
          </w:p>
        </w:tc>
        <w:tc>
          <w:tcPr>
            <w:tcW w:w="506" w:type="pct"/>
            <w:shd w:val="clear" w:color="auto" w:fill="auto"/>
            <w:noWrap w:val="0"/>
            <w:vAlign w:val="center"/>
          </w:tcPr>
          <w:p w14:paraId="37CDE4E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宋体"/>
                <w:b w:val="0"/>
                <w:bCs w:val="0"/>
                <w:color w:val="auto"/>
                <w:sz w:val="21"/>
              </w:rPr>
            </w:pPr>
            <w:r>
              <w:rPr>
                <w:rFonts w:hint="eastAsia" w:ascii="Times New Roman" w:hAnsi="Times New Roman" w:eastAsia="宋体" w:cs="宋体"/>
                <w:b w:val="0"/>
                <w:bCs w:val="0"/>
                <w:color w:val="auto"/>
                <w:sz w:val="21"/>
                <w:lang w:val="en-US" w:eastAsia="zh-CN"/>
              </w:rPr>
              <w:t>-</w:t>
            </w:r>
          </w:p>
        </w:tc>
      </w:tr>
    </w:tbl>
    <w:p w14:paraId="2AE77083">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48" w:name="_Toc30578"/>
      <w:r>
        <w:rPr>
          <w:rFonts w:hint="eastAsia" w:ascii="Times New Roman" w:hAnsi="Times New Roman" w:eastAsia="宋体" w:cs="宋体"/>
          <w:b/>
          <w:bCs/>
          <w:color w:val="auto"/>
          <w:sz w:val="28"/>
          <w:szCs w:val="28"/>
          <w:lang w:val="en-US" w:eastAsia="zh-CN"/>
        </w:rPr>
        <w:t>4.9、</w:t>
      </w:r>
      <w:r>
        <w:rPr>
          <w:rFonts w:hint="eastAsia" w:ascii="Times New Roman" w:hAnsi="Times New Roman" w:cs="宋体"/>
          <w:b/>
          <w:bCs/>
          <w:color w:val="auto"/>
          <w:sz w:val="28"/>
          <w:szCs w:val="28"/>
          <w:lang w:val="en-US" w:eastAsia="zh-CN"/>
        </w:rPr>
        <w:t>加工废水汁水还田对土壤耕作层肥力的影响分析</w:t>
      </w:r>
      <w:bookmarkEnd w:id="48"/>
    </w:p>
    <w:p w14:paraId="556851A0">
      <w:pPr>
        <w:pStyle w:val="3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宋体"/>
          <w:b w:val="0"/>
          <w:bCs/>
          <w:color w:val="auto"/>
          <w:lang w:val="en-US" w:eastAsia="zh-CN"/>
        </w:rPr>
      </w:pPr>
      <w:r>
        <w:rPr>
          <w:rFonts w:hint="eastAsia" w:ascii="Times New Roman" w:hAnsi="Times New Roman" w:eastAsia="宋体" w:cs="宋体"/>
          <w:b w:val="0"/>
          <w:bCs/>
          <w:color w:val="auto"/>
          <w:lang w:val="en-US" w:eastAsia="zh-CN"/>
        </w:rPr>
        <w:t>根据《马铃薯淀粉加工废水还田对土壤氮磷钾迁移转化的影响》（李晓婷，中国科学院兰州化学物理研究所环境材料与生态化学研究发展中心）文中提到的玉米作物不同还田量土壤耕作层（0~30cm）全氮、有效磷、速效钾、有机质含量见表4-12，土壤养分分级标准见表4-13。</w:t>
      </w:r>
    </w:p>
    <w:p w14:paraId="4A6120F4">
      <w:pPr>
        <w:pStyle w:val="30"/>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default" w:ascii="Times New Roman" w:hAnsi="Times New Roman" w:eastAsia="宋体" w:cs="宋体"/>
          <w:b w:val="0"/>
          <w:bCs/>
          <w:color w:val="auto"/>
          <w:sz w:val="24"/>
          <w:szCs w:val="24"/>
          <w:lang w:val="en-US" w:eastAsia="zh-CN"/>
        </w:rPr>
      </w:pPr>
      <w:r>
        <w:rPr>
          <w:rFonts w:hint="eastAsia" w:ascii="Times New Roman" w:hAnsi="Times New Roman" w:eastAsia="宋体" w:cs="宋体"/>
          <w:b/>
          <w:bCs w:val="0"/>
          <w:color w:val="auto"/>
          <w:sz w:val="24"/>
          <w:szCs w:val="24"/>
          <w:lang w:val="en-US" w:eastAsia="zh-CN"/>
        </w:rPr>
        <w:t>表4-12   不同有机废水还田量时土壤耕作层（0~30cm）肥力含量表（玉米）</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9"/>
        <w:gridCol w:w="1249"/>
        <w:gridCol w:w="1658"/>
        <w:gridCol w:w="1454"/>
        <w:gridCol w:w="1455"/>
        <w:gridCol w:w="1455"/>
      </w:tblGrid>
      <w:tr w14:paraId="7711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Align w:val="center"/>
          </w:tcPr>
          <w:p w14:paraId="51F344FB">
            <w:pPr>
              <w:widowControl w:val="0"/>
              <w:jc w:val="center"/>
              <w:rPr>
                <w:rFonts w:hint="default" w:ascii="Times New Roman" w:hAnsi="Times New Roman" w:eastAsia="宋体" w:cs="宋体"/>
                <w:b/>
                <w:bCs/>
                <w:color w:val="auto"/>
                <w:sz w:val="21"/>
                <w:szCs w:val="21"/>
                <w:vertAlign w:val="baseline"/>
                <w:lang w:val="en-US" w:eastAsia="zh-CN"/>
              </w:rPr>
            </w:pPr>
            <w:r>
              <w:rPr>
                <w:rFonts w:hint="eastAsia" w:ascii="Times New Roman" w:hAnsi="Times New Roman" w:eastAsia="宋体" w:cs="宋体"/>
                <w:b/>
                <w:bCs/>
                <w:color w:val="auto"/>
                <w:sz w:val="21"/>
                <w:szCs w:val="21"/>
                <w:vertAlign w:val="baseline"/>
                <w:lang w:val="en-US" w:eastAsia="zh-CN"/>
              </w:rPr>
              <w:t>采样时间</w:t>
            </w:r>
          </w:p>
        </w:tc>
        <w:tc>
          <w:tcPr>
            <w:tcW w:w="1249" w:type="dxa"/>
            <w:vAlign w:val="center"/>
          </w:tcPr>
          <w:p w14:paraId="054BF00C">
            <w:pPr>
              <w:widowControl w:val="0"/>
              <w:jc w:val="center"/>
              <w:rPr>
                <w:rFonts w:hint="default" w:ascii="Times New Roman" w:hAnsi="Times New Roman" w:eastAsia="宋体" w:cs="宋体"/>
                <w:b/>
                <w:bCs/>
                <w:color w:val="auto"/>
                <w:sz w:val="21"/>
                <w:szCs w:val="21"/>
                <w:vertAlign w:val="baseline"/>
                <w:lang w:val="en-US" w:eastAsia="zh-CN"/>
              </w:rPr>
            </w:pPr>
            <w:r>
              <w:rPr>
                <w:rFonts w:hint="eastAsia" w:ascii="Times New Roman" w:hAnsi="Times New Roman" w:eastAsia="宋体" w:cs="宋体"/>
                <w:b/>
                <w:bCs/>
                <w:color w:val="auto"/>
                <w:sz w:val="21"/>
                <w:szCs w:val="21"/>
                <w:vertAlign w:val="baseline"/>
                <w:lang w:val="en-US" w:eastAsia="zh-CN"/>
              </w:rPr>
              <w:t>还田量m</w:t>
            </w:r>
            <w:r>
              <w:rPr>
                <w:rFonts w:hint="eastAsia" w:ascii="Times New Roman" w:hAnsi="Times New Roman" w:eastAsia="宋体" w:cs="宋体"/>
                <w:b/>
                <w:bCs/>
                <w:color w:val="auto"/>
                <w:sz w:val="21"/>
                <w:szCs w:val="21"/>
                <w:vertAlign w:val="superscript"/>
                <w:lang w:val="en-US" w:eastAsia="zh-CN"/>
              </w:rPr>
              <w:t>3</w:t>
            </w:r>
            <w:r>
              <w:rPr>
                <w:rFonts w:hint="eastAsia" w:ascii="Times New Roman" w:hAnsi="Times New Roman" w:eastAsia="宋体" w:cs="宋体"/>
                <w:b/>
                <w:bCs/>
                <w:color w:val="auto"/>
                <w:sz w:val="21"/>
                <w:szCs w:val="21"/>
                <w:vertAlign w:val="baseline"/>
                <w:lang w:val="en-US" w:eastAsia="zh-CN"/>
              </w:rPr>
              <w:t>/hm</w:t>
            </w:r>
            <w:r>
              <w:rPr>
                <w:rFonts w:hint="eastAsia" w:ascii="Times New Roman" w:hAnsi="Times New Roman" w:eastAsia="宋体" w:cs="宋体"/>
                <w:b/>
                <w:bCs/>
                <w:color w:val="auto"/>
                <w:sz w:val="21"/>
                <w:szCs w:val="21"/>
                <w:vertAlign w:val="superscript"/>
                <w:lang w:val="en-US" w:eastAsia="zh-CN"/>
              </w:rPr>
              <w:t>2</w:t>
            </w:r>
          </w:p>
        </w:tc>
        <w:tc>
          <w:tcPr>
            <w:tcW w:w="1658" w:type="dxa"/>
            <w:vAlign w:val="center"/>
          </w:tcPr>
          <w:p w14:paraId="185012AF">
            <w:pPr>
              <w:widowControl w:val="0"/>
              <w:jc w:val="center"/>
              <w:rPr>
                <w:rFonts w:hint="default" w:ascii="Times New Roman" w:hAnsi="Times New Roman" w:eastAsia="宋体" w:cs="宋体"/>
                <w:b/>
                <w:bCs/>
                <w:color w:val="auto"/>
                <w:sz w:val="21"/>
                <w:szCs w:val="21"/>
                <w:vertAlign w:val="baseline"/>
                <w:lang w:val="en-US" w:eastAsia="zh-CN"/>
              </w:rPr>
            </w:pPr>
            <w:r>
              <w:rPr>
                <w:rFonts w:hint="eastAsia" w:ascii="Times New Roman" w:hAnsi="Times New Roman" w:eastAsia="宋体" w:cs="宋体"/>
                <w:b/>
                <w:bCs/>
                <w:color w:val="auto"/>
                <w:sz w:val="21"/>
                <w:szCs w:val="21"/>
                <w:vertAlign w:val="baseline"/>
                <w:lang w:val="en-US" w:eastAsia="zh-CN"/>
              </w:rPr>
              <w:t>全氮g/kg</w:t>
            </w:r>
          </w:p>
        </w:tc>
        <w:tc>
          <w:tcPr>
            <w:tcW w:w="1454" w:type="dxa"/>
            <w:vAlign w:val="center"/>
          </w:tcPr>
          <w:p w14:paraId="4C688B00">
            <w:pPr>
              <w:widowControl w:val="0"/>
              <w:jc w:val="center"/>
              <w:rPr>
                <w:rFonts w:hint="default" w:ascii="Times New Roman" w:hAnsi="Times New Roman" w:eastAsia="宋体" w:cs="宋体"/>
                <w:b/>
                <w:bCs/>
                <w:color w:val="auto"/>
                <w:sz w:val="21"/>
                <w:szCs w:val="21"/>
                <w:vertAlign w:val="baseline"/>
                <w:lang w:val="en-US" w:eastAsia="zh-CN"/>
              </w:rPr>
            </w:pPr>
            <w:r>
              <w:rPr>
                <w:rFonts w:hint="eastAsia" w:ascii="Times New Roman" w:hAnsi="Times New Roman" w:eastAsia="宋体" w:cs="宋体"/>
                <w:b/>
                <w:bCs/>
                <w:color w:val="auto"/>
                <w:sz w:val="21"/>
                <w:szCs w:val="21"/>
                <w:vertAlign w:val="baseline"/>
                <w:lang w:val="en-US" w:eastAsia="zh-CN"/>
              </w:rPr>
              <w:t>有效磷mg/kg</w:t>
            </w:r>
          </w:p>
        </w:tc>
        <w:tc>
          <w:tcPr>
            <w:tcW w:w="1455" w:type="dxa"/>
            <w:vAlign w:val="center"/>
          </w:tcPr>
          <w:p w14:paraId="12708FC6">
            <w:pPr>
              <w:widowControl w:val="0"/>
              <w:jc w:val="center"/>
              <w:rPr>
                <w:rFonts w:hint="default" w:ascii="Times New Roman" w:hAnsi="Times New Roman" w:eastAsia="宋体" w:cs="宋体"/>
                <w:b/>
                <w:bCs/>
                <w:color w:val="auto"/>
                <w:sz w:val="21"/>
                <w:szCs w:val="21"/>
                <w:vertAlign w:val="baseline"/>
                <w:lang w:val="en-US" w:eastAsia="zh-CN"/>
              </w:rPr>
            </w:pPr>
            <w:r>
              <w:rPr>
                <w:rFonts w:hint="eastAsia" w:ascii="Times New Roman" w:hAnsi="Times New Roman" w:eastAsia="宋体" w:cs="宋体"/>
                <w:b/>
                <w:bCs/>
                <w:color w:val="auto"/>
                <w:sz w:val="21"/>
                <w:szCs w:val="21"/>
                <w:vertAlign w:val="baseline"/>
                <w:lang w:val="en-US" w:eastAsia="zh-CN"/>
              </w:rPr>
              <w:t>速效钾mg/kg</w:t>
            </w:r>
          </w:p>
        </w:tc>
        <w:tc>
          <w:tcPr>
            <w:tcW w:w="1455" w:type="dxa"/>
            <w:vAlign w:val="center"/>
          </w:tcPr>
          <w:p w14:paraId="73FE13C7">
            <w:pPr>
              <w:widowControl w:val="0"/>
              <w:jc w:val="center"/>
              <w:rPr>
                <w:rFonts w:hint="default" w:ascii="Times New Roman" w:hAnsi="Times New Roman" w:eastAsia="宋体" w:cs="宋体"/>
                <w:b/>
                <w:bCs/>
                <w:color w:val="auto"/>
                <w:sz w:val="21"/>
                <w:szCs w:val="21"/>
                <w:vertAlign w:val="baseline"/>
                <w:lang w:val="en-US" w:eastAsia="zh-CN"/>
              </w:rPr>
            </w:pPr>
            <w:r>
              <w:rPr>
                <w:rFonts w:hint="eastAsia" w:ascii="Times New Roman" w:hAnsi="Times New Roman" w:eastAsia="宋体" w:cs="宋体"/>
                <w:b/>
                <w:bCs/>
                <w:color w:val="auto"/>
                <w:sz w:val="21"/>
                <w:szCs w:val="21"/>
                <w:vertAlign w:val="baseline"/>
                <w:lang w:val="en-US" w:eastAsia="zh-CN"/>
              </w:rPr>
              <w:t>有机质g/kg</w:t>
            </w:r>
          </w:p>
        </w:tc>
      </w:tr>
      <w:tr w14:paraId="486C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Merge w:val="restart"/>
            <w:vAlign w:val="center"/>
          </w:tcPr>
          <w:p w14:paraId="2F6E99F1">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2018-06</w:t>
            </w:r>
          </w:p>
        </w:tc>
        <w:tc>
          <w:tcPr>
            <w:tcW w:w="1249" w:type="dxa"/>
            <w:vAlign w:val="center"/>
          </w:tcPr>
          <w:p w14:paraId="4DD185D6">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0</w:t>
            </w:r>
          </w:p>
        </w:tc>
        <w:tc>
          <w:tcPr>
            <w:tcW w:w="1658" w:type="dxa"/>
            <w:vAlign w:val="center"/>
          </w:tcPr>
          <w:p w14:paraId="57CE7FDA">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1.117</w:t>
            </w:r>
          </w:p>
        </w:tc>
        <w:tc>
          <w:tcPr>
            <w:tcW w:w="1454" w:type="dxa"/>
            <w:vAlign w:val="center"/>
          </w:tcPr>
          <w:p w14:paraId="12D6A2BE">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17.64</w:t>
            </w:r>
          </w:p>
        </w:tc>
        <w:tc>
          <w:tcPr>
            <w:tcW w:w="1455" w:type="dxa"/>
            <w:vAlign w:val="center"/>
          </w:tcPr>
          <w:p w14:paraId="59E95DE3">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142.62</w:t>
            </w:r>
          </w:p>
        </w:tc>
        <w:tc>
          <w:tcPr>
            <w:tcW w:w="1455" w:type="dxa"/>
            <w:vAlign w:val="center"/>
          </w:tcPr>
          <w:p w14:paraId="510A8F40">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12.28</w:t>
            </w:r>
          </w:p>
        </w:tc>
      </w:tr>
      <w:tr w14:paraId="25E3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Merge w:val="continue"/>
            <w:vAlign w:val="center"/>
          </w:tcPr>
          <w:p w14:paraId="3FDCF9C0">
            <w:pPr>
              <w:widowControl w:val="0"/>
              <w:jc w:val="center"/>
              <w:rPr>
                <w:rFonts w:hint="eastAsia" w:ascii="Times New Roman" w:hAnsi="Times New Roman" w:eastAsia="宋体" w:cs="宋体"/>
                <w:b w:val="0"/>
                <w:bCs w:val="0"/>
                <w:color w:val="auto"/>
                <w:sz w:val="21"/>
                <w:szCs w:val="21"/>
                <w:vertAlign w:val="baseline"/>
                <w:lang w:val="en-US" w:eastAsia="zh-CN"/>
              </w:rPr>
            </w:pPr>
          </w:p>
        </w:tc>
        <w:tc>
          <w:tcPr>
            <w:tcW w:w="1249" w:type="dxa"/>
            <w:vAlign w:val="center"/>
          </w:tcPr>
          <w:p w14:paraId="2F19B2C1">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600</w:t>
            </w:r>
          </w:p>
        </w:tc>
        <w:tc>
          <w:tcPr>
            <w:tcW w:w="1658" w:type="dxa"/>
            <w:vAlign w:val="center"/>
          </w:tcPr>
          <w:p w14:paraId="4FB2981A">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1.433</w:t>
            </w:r>
          </w:p>
        </w:tc>
        <w:tc>
          <w:tcPr>
            <w:tcW w:w="1454" w:type="dxa"/>
            <w:vAlign w:val="center"/>
          </w:tcPr>
          <w:p w14:paraId="4D182B98">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35.73</w:t>
            </w:r>
          </w:p>
        </w:tc>
        <w:tc>
          <w:tcPr>
            <w:tcW w:w="1455" w:type="dxa"/>
            <w:vAlign w:val="center"/>
          </w:tcPr>
          <w:p w14:paraId="65308E90">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176.61</w:t>
            </w:r>
          </w:p>
        </w:tc>
        <w:tc>
          <w:tcPr>
            <w:tcW w:w="1455" w:type="dxa"/>
            <w:vAlign w:val="center"/>
          </w:tcPr>
          <w:p w14:paraId="5A39591E">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15.69</w:t>
            </w:r>
          </w:p>
        </w:tc>
      </w:tr>
      <w:tr w14:paraId="64BD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Merge w:val="continue"/>
            <w:vAlign w:val="center"/>
          </w:tcPr>
          <w:p w14:paraId="5BA43A59">
            <w:pPr>
              <w:widowControl w:val="0"/>
              <w:jc w:val="center"/>
              <w:rPr>
                <w:rFonts w:hint="eastAsia" w:ascii="Times New Roman" w:hAnsi="Times New Roman" w:eastAsia="宋体" w:cs="宋体"/>
                <w:b w:val="0"/>
                <w:bCs w:val="0"/>
                <w:color w:val="auto"/>
                <w:sz w:val="21"/>
                <w:szCs w:val="21"/>
                <w:vertAlign w:val="baseline"/>
                <w:lang w:val="en-US" w:eastAsia="zh-CN"/>
              </w:rPr>
            </w:pPr>
          </w:p>
        </w:tc>
        <w:tc>
          <w:tcPr>
            <w:tcW w:w="1249" w:type="dxa"/>
            <w:vAlign w:val="center"/>
          </w:tcPr>
          <w:p w14:paraId="27741F3B">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900</w:t>
            </w:r>
          </w:p>
        </w:tc>
        <w:tc>
          <w:tcPr>
            <w:tcW w:w="1658" w:type="dxa"/>
            <w:vAlign w:val="center"/>
          </w:tcPr>
          <w:p w14:paraId="10E51A6E">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1.605</w:t>
            </w:r>
          </w:p>
        </w:tc>
        <w:tc>
          <w:tcPr>
            <w:tcW w:w="1454" w:type="dxa"/>
            <w:vAlign w:val="center"/>
          </w:tcPr>
          <w:p w14:paraId="0CB4BDA6">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54.35</w:t>
            </w:r>
          </w:p>
        </w:tc>
        <w:tc>
          <w:tcPr>
            <w:tcW w:w="1455" w:type="dxa"/>
            <w:vAlign w:val="center"/>
          </w:tcPr>
          <w:p w14:paraId="41A9DB96">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316.80</w:t>
            </w:r>
          </w:p>
        </w:tc>
        <w:tc>
          <w:tcPr>
            <w:tcW w:w="1455" w:type="dxa"/>
            <w:vAlign w:val="center"/>
          </w:tcPr>
          <w:p w14:paraId="23D78582">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19.83</w:t>
            </w:r>
          </w:p>
        </w:tc>
      </w:tr>
      <w:tr w14:paraId="628E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Merge w:val="continue"/>
            <w:vAlign w:val="center"/>
          </w:tcPr>
          <w:p w14:paraId="6AD91F31">
            <w:pPr>
              <w:widowControl w:val="0"/>
              <w:jc w:val="center"/>
              <w:rPr>
                <w:rFonts w:hint="eastAsia" w:ascii="Times New Roman" w:hAnsi="Times New Roman" w:eastAsia="宋体" w:cs="宋体"/>
                <w:b w:val="0"/>
                <w:bCs w:val="0"/>
                <w:color w:val="auto"/>
                <w:sz w:val="21"/>
                <w:szCs w:val="21"/>
                <w:vertAlign w:val="baseline"/>
                <w:lang w:val="en-US" w:eastAsia="zh-CN"/>
              </w:rPr>
            </w:pPr>
          </w:p>
        </w:tc>
        <w:tc>
          <w:tcPr>
            <w:tcW w:w="1249" w:type="dxa"/>
            <w:vAlign w:val="center"/>
          </w:tcPr>
          <w:p w14:paraId="0ED20892">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1200</w:t>
            </w:r>
          </w:p>
        </w:tc>
        <w:tc>
          <w:tcPr>
            <w:tcW w:w="1658" w:type="dxa"/>
            <w:vAlign w:val="center"/>
          </w:tcPr>
          <w:p w14:paraId="530DE53C">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1.971</w:t>
            </w:r>
          </w:p>
        </w:tc>
        <w:tc>
          <w:tcPr>
            <w:tcW w:w="1454" w:type="dxa"/>
            <w:vAlign w:val="center"/>
          </w:tcPr>
          <w:p w14:paraId="413E6A7A">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61.33</w:t>
            </w:r>
          </w:p>
        </w:tc>
        <w:tc>
          <w:tcPr>
            <w:tcW w:w="1455" w:type="dxa"/>
            <w:vAlign w:val="center"/>
          </w:tcPr>
          <w:p w14:paraId="4558AA4F">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762.01</w:t>
            </w:r>
          </w:p>
        </w:tc>
        <w:tc>
          <w:tcPr>
            <w:tcW w:w="1455" w:type="dxa"/>
            <w:vAlign w:val="center"/>
          </w:tcPr>
          <w:p w14:paraId="3FFD02F9">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25.66</w:t>
            </w:r>
          </w:p>
        </w:tc>
      </w:tr>
      <w:tr w14:paraId="6C28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Merge w:val="continue"/>
            <w:vAlign w:val="center"/>
          </w:tcPr>
          <w:p w14:paraId="7199A67B">
            <w:pPr>
              <w:widowControl w:val="0"/>
              <w:jc w:val="center"/>
              <w:rPr>
                <w:rFonts w:hint="eastAsia" w:ascii="Times New Roman" w:hAnsi="Times New Roman" w:eastAsia="宋体" w:cs="宋体"/>
                <w:b w:val="0"/>
                <w:bCs w:val="0"/>
                <w:color w:val="auto"/>
                <w:sz w:val="21"/>
                <w:szCs w:val="21"/>
                <w:vertAlign w:val="baseline"/>
                <w:lang w:val="en-US" w:eastAsia="zh-CN"/>
              </w:rPr>
            </w:pPr>
          </w:p>
        </w:tc>
        <w:tc>
          <w:tcPr>
            <w:tcW w:w="1249" w:type="dxa"/>
            <w:vAlign w:val="center"/>
          </w:tcPr>
          <w:p w14:paraId="127BBBF0">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3000</w:t>
            </w:r>
          </w:p>
        </w:tc>
        <w:tc>
          <w:tcPr>
            <w:tcW w:w="1658" w:type="dxa"/>
            <w:vAlign w:val="center"/>
          </w:tcPr>
          <w:p w14:paraId="5B5C9245">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2.309</w:t>
            </w:r>
          </w:p>
        </w:tc>
        <w:tc>
          <w:tcPr>
            <w:tcW w:w="1454" w:type="dxa"/>
            <w:vAlign w:val="center"/>
          </w:tcPr>
          <w:p w14:paraId="70B9992B">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95.64</w:t>
            </w:r>
          </w:p>
        </w:tc>
        <w:tc>
          <w:tcPr>
            <w:tcW w:w="1455" w:type="dxa"/>
            <w:vAlign w:val="center"/>
          </w:tcPr>
          <w:p w14:paraId="06BBBD7B">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1083.2</w:t>
            </w:r>
          </w:p>
        </w:tc>
        <w:tc>
          <w:tcPr>
            <w:tcW w:w="1455" w:type="dxa"/>
            <w:vAlign w:val="center"/>
          </w:tcPr>
          <w:p w14:paraId="380D46D6">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31.37</w:t>
            </w:r>
          </w:p>
        </w:tc>
      </w:tr>
      <w:tr w14:paraId="0B4B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249" w:type="dxa"/>
            <w:vMerge w:val="restart"/>
            <w:vAlign w:val="center"/>
          </w:tcPr>
          <w:p w14:paraId="7FF6A520">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2019-10</w:t>
            </w:r>
          </w:p>
        </w:tc>
        <w:tc>
          <w:tcPr>
            <w:tcW w:w="1249" w:type="dxa"/>
            <w:vAlign w:val="center"/>
          </w:tcPr>
          <w:p w14:paraId="0215C622">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0</w:t>
            </w:r>
          </w:p>
        </w:tc>
        <w:tc>
          <w:tcPr>
            <w:tcW w:w="1658" w:type="dxa"/>
            <w:vAlign w:val="center"/>
          </w:tcPr>
          <w:p w14:paraId="3EE537E3">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1107</w:t>
            </w:r>
          </w:p>
        </w:tc>
        <w:tc>
          <w:tcPr>
            <w:tcW w:w="1454" w:type="dxa"/>
            <w:vAlign w:val="center"/>
          </w:tcPr>
          <w:p w14:paraId="53F7CFDF">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17.35</w:t>
            </w:r>
          </w:p>
        </w:tc>
        <w:tc>
          <w:tcPr>
            <w:tcW w:w="1455" w:type="dxa"/>
            <w:vAlign w:val="center"/>
          </w:tcPr>
          <w:p w14:paraId="12537D33">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380.14</w:t>
            </w:r>
          </w:p>
        </w:tc>
        <w:tc>
          <w:tcPr>
            <w:tcW w:w="1455" w:type="dxa"/>
            <w:vAlign w:val="center"/>
          </w:tcPr>
          <w:p w14:paraId="6084F1B3">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11.37</w:t>
            </w:r>
          </w:p>
        </w:tc>
      </w:tr>
      <w:tr w14:paraId="4396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Merge w:val="continue"/>
            <w:vAlign w:val="center"/>
          </w:tcPr>
          <w:p w14:paraId="5FC1A4EB">
            <w:pPr>
              <w:widowControl w:val="0"/>
              <w:jc w:val="center"/>
              <w:rPr>
                <w:rFonts w:hint="eastAsia" w:ascii="Times New Roman" w:hAnsi="Times New Roman" w:eastAsia="宋体" w:cs="宋体"/>
                <w:b w:val="0"/>
                <w:bCs w:val="0"/>
                <w:color w:val="auto"/>
                <w:sz w:val="21"/>
                <w:szCs w:val="21"/>
                <w:vertAlign w:val="baseline"/>
                <w:lang w:val="en-US" w:eastAsia="zh-CN"/>
              </w:rPr>
            </w:pPr>
          </w:p>
        </w:tc>
        <w:tc>
          <w:tcPr>
            <w:tcW w:w="1249" w:type="dxa"/>
            <w:vAlign w:val="center"/>
          </w:tcPr>
          <w:p w14:paraId="2001D361">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600</w:t>
            </w:r>
          </w:p>
        </w:tc>
        <w:tc>
          <w:tcPr>
            <w:tcW w:w="1658" w:type="dxa"/>
            <w:vAlign w:val="center"/>
          </w:tcPr>
          <w:p w14:paraId="7A853D40">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1618</w:t>
            </w:r>
          </w:p>
        </w:tc>
        <w:tc>
          <w:tcPr>
            <w:tcW w:w="1454" w:type="dxa"/>
            <w:vAlign w:val="center"/>
          </w:tcPr>
          <w:p w14:paraId="783B67FE">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37.35</w:t>
            </w:r>
          </w:p>
        </w:tc>
        <w:tc>
          <w:tcPr>
            <w:tcW w:w="1455" w:type="dxa"/>
            <w:vAlign w:val="center"/>
          </w:tcPr>
          <w:p w14:paraId="135A9DE3">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580.51</w:t>
            </w:r>
          </w:p>
        </w:tc>
        <w:tc>
          <w:tcPr>
            <w:tcW w:w="1455" w:type="dxa"/>
            <w:vAlign w:val="center"/>
          </w:tcPr>
          <w:p w14:paraId="2EECAE8D">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20.95</w:t>
            </w:r>
          </w:p>
        </w:tc>
      </w:tr>
      <w:tr w14:paraId="7D6F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Merge w:val="continue"/>
            <w:vAlign w:val="center"/>
          </w:tcPr>
          <w:p w14:paraId="1FF8BB5F">
            <w:pPr>
              <w:widowControl w:val="0"/>
              <w:jc w:val="center"/>
              <w:rPr>
                <w:rFonts w:hint="eastAsia" w:ascii="Times New Roman" w:hAnsi="Times New Roman" w:eastAsia="宋体" w:cs="宋体"/>
                <w:b w:val="0"/>
                <w:bCs w:val="0"/>
                <w:color w:val="auto"/>
                <w:sz w:val="21"/>
                <w:szCs w:val="21"/>
                <w:vertAlign w:val="baseline"/>
                <w:lang w:val="en-US" w:eastAsia="zh-CN"/>
              </w:rPr>
            </w:pPr>
          </w:p>
        </w:tc>
        <w:tc>
          <w:tcPr>
            <w:tcW w:w="1249" w:type="dxa"/>
            <w:vAlign w:val="center"/>
          </w:tcPr>
          <w:p w14:paraId="6BB4BD5A">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900</w:t>
            </w:r>
          </w:p>
        </w:tc>
        <w:tc>
          <w:tcPr>
            <w:tcW w:w="1658" w:type="dxa"/>
            <w:vAlign w:val="center"/>
          </w:tcPr>
          <w:p w14:paraId="78B72102">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2012</w:t>
            </w:r>
          </w:p>
        </w:tc>
        <w:tc>
          <w:tcPr>
            <w:tcW w:w="1454" w:type="dxa"/>
            <w:vAlign w:val="center"/>
          </w:tcPr>
          <w:p w14:paraId="000FE28A">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62.44</w:t>
            </w:r>
          </w:p>
        </w:tc>
        <w:tc>
          <w:tcPr>
            <w:tcW w:w="1455" w:type="dxa"/>
            <w:vAlign w:val="center"/>
          </w:tcPr>
          <w:p w14:paraId="3441533F">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710.09</w:t>
            </w:r>
          </w:p>
        </w:tc>
        <w:tc>
          <w:tcPr>
            <w:tcW w:w="1455" w:type="dxa"/>
            <w:vAlign w:val="center"/>
          </w:tcPr>
          <w:p w14:paraId="28CA7C31">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29.02</w:t>
            </w:r>
          </w:p>
        </w:tc>
      </w:tr>
      <w:tr w14:paraId="16F3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Merge w:val="continue"/>
            <w:vAlign w:val="center"/>
          </w:tcPr>
          <w:p w14:paraId="7455CFA5">
            <w:pPr>
              <w:widowControl w:val="0"/>
              <w:jc w:val="center"/>
              <w:rPr>
                <w:rFonts w:hint="eastAsia" w:ascii="Times New Roman" w:hAnsi="Times New Roman" w:eastAsia="宋体" w:cs="宋体"/>
                <w:b w:val="0"/>
                <w:bCs w:val="0"/>
                <w:color w:val="auto"/>
                <w:sz w:val="21"/>
                <w:szCs w:val="21"/>
                <w:vertAlign w:val="baseline"/>
                <w:lang w:val="en-US" w:eastAsia="zh-CN"/>
              </w:rPr>
            </w:pPr>
          </w:p>
        </w:tc>
        <w:tc>
          <w:tcPr>
            <w:tcW w:w="1249" w:type="dxa"/>
            <w:vAlign w:val="center"/>
          </w:tcPr>
          <w:p w14:paraId="594B10AD">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1200</w:t>
            </w:r>
          </w:p>
        </w:tc>
        <w:tc>
          <w:tcPr>
            <w:tcW w:w="1658" w:type="dxa"/>
            <w:vAlign w:val="center"/>
          </w:tcPr>
          <w:p w14:paraId="4DF3EE45">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2270</w:t>
            </w:r>
          </w:p>
        </w:tc>
        <w:tc>
          <w:tcPr>
            <w:tcW w:w="1454" w:type="dxa"/>
            <w:vAlign w:val="center"/>
          </w:tcPr>
          <w:p w14:paraId="24BF3E30">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81.68</w:t>
            </w:r>
          </w:p>
        </w:tc>
        <w:tc>
          <w:tcPr>
            <w:tcW w:w="1455" w:type="dxa"/>
            <w:vAlign w:val="center"/>
          </w:tcPr>
          <w:p w14:paraId="30C9D690">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1450.42</w:t>
            </w:r>
          </w:p>
        </w:tc>
        <w:tc>
          <w:tcPr>
            <w:tcW w:w="1455" w:type="dxa"/>
            <w:vAlign w:val="center"/>
          </w:tcPr>
          <w:p w14:paraId="246B60B5">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31.68</w:t>
            </w:r>
          </w:p>
        </w:tc>
      </w:tr>
      <w:tr w14:paraId="0406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Merge w:val="continue"/>
            <w:vAlign w:val="center"/>
          </w:tcPr>
          <w:p w14:paraId="77ACA8C4">
            <w:pPr>
              <w:widowControl w:val="0"/>
              <w:jc w:val="center"/>
              <w:rPr>
                <w:rFonts w:hint="eastAsia" w:ascii="Times New Roman" w:hAnsi="Times New Roman" w:eastAsia="宋体" w:cs="宋体"/>
                <w:b w:val="0"/>
                <w:bCs w:val="0"/>
                <w:color w:val="auto"/>
                <w:sz w:val="21"/>
                <w:szCs w:val="21"/>
                <w:vertAlign w:val="baseline"/>
                <w:lang w:val="en-US" w:eastAsia="zh-CN"/>
              </w:rPr>
            </w:pPr>
          </w:p>
        </w:tc>
        <w:tc>
          <w:tcPr>
            <w:tcW w:w="1249" w:type="dxa"/>
            <w:vAlign w:val="center"/>
          </w:tcPr>
          <w:p w14:paraId="74139467">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3000</w:t>
            </w:r>
          </w:p>
        </w:tc>
        <w:tc>
          <w:tcPr>
            <w:tcW w:w="1658" w:type="dxa"/>
            <w:vAlign w:val="center"/>
          </w:tcPr>
          <w:p w14:paraId="4DBB7C46">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2764</w:t>
            </w:r>
          </w:p>
        </w:tc>
        <w:tc>
          <w:tcPr>
            <w:tcW w:w="1454" w:type="dxa"/>
            <w:vAlign w:val="center"/>
          </w:tcPr>
          <w:p w14:paraId="471B1552">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146.87</w:t>
            </w:r>
          </w:p>
        </w:tc>
        <w:tc>
          <w:tcPr>
            <w:tcW w:w="1455" w:type="dxa"/>
            <w:vAlign w:val="center"/>
          </w:tcPr>
          <w:p w14:paraId="0BEF305D">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1550.04</w:t>
            </w:r>
          </w:p>
        </w:tc>
        <w:tc>
          <w:tcPr>
            <w:tcW w:w="1455" w:type="dxa"/>
            <w:vAlign w:val="center"/>
          </w:tcPr>
          <w:p w14:paraId="00F08255">
            <w:pPr>
              <w:widowControl w:val="0"/>
              <w:jc w:val="center"/>
              <w:rPr>
                <w:rFonts w:hint="default" w:ascii="Times New Roman" w:hAnsi="Times New Roman" w:eastAsia="宋体" w:cs="宋体"/>
                <w:b w:val="0"/>
                <w:bCs w:val="0"/>
                <w:color w:val="auto"/>
                <w:sz w:val="21"/>
                <w:szCs w:val="21"/>
                <w:vertAlign w:val="baseline"/>
                <w:lang w:val="en-US" w:eastAsia="zh-CN"/>
              </w:rPr>
            </w:pPr>
            <w:r>
              <w:rPr>
                <w:rFonts w:hint="eastAsia" w:ascii="Times New Roman" w:hAnsi="Times New Roman" w:eastAsia="宋体" w:cs="宋体"/>
                <w:b w:val="0"/>
                <w:bCs w:val="0"/>
                <w:color w:val="auto"/>
                <w:sz w:val="21"/>
                <w:szCs w:val="21"/>
                <w:vertAlign w:val="baseline"/>
                <w:lang w:val="en-US" w:eastAsia="zh-CN"/>
              </w:rPr>
              <w:t>42.27</w:t>
            </w:r>
          </w:p>
        </w:tc>
      </w:tr>
    </w:tbl>
    <w:p w14:paraId="7FB23A64">
      <w:pPr>
        <w:pStyle w:val="30"/>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Times New Roman" w:hAnsi="Times New Roman" w:eastAsia="宋体" w:cs="宋体"/>
          <w:b/>
          <w:bCs w:val="0"/>
          <w:color w:val="auto"/>
          <w:sz w:val="24"/>
          <w:szCs w:val="24"/>
          <w:lang w:val="en-US" w:eastAsia="zh-CN"/>
        </w:rPr>
      </w:pPr>
      <w:r>
        <w:rPr>
          <w:rFonts w:hint="eastAsia" w:ascii="Times New Roman" w:hAnsi="Times New Roman" w:eastAsia="宋体" w:cs="宋体"/>
          <w:b/>
          <w:bCs w:val="0"/>
          <w:color w:val="auto"/>
          <w:sz w:val="24"/>
          <w:szCs w:val="24"/>
          <w:lang w:val="en-US" w:eastAsia="zh-CN"/>
        </w:rPr>
        <w:t>表4-13   土壤养分分级标准</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9"/>
        <w:gridCol w:w="1249"/>
        <w:gridCol w:w="1658"/>
        <w:gridCol w:w="1454"/>
        <w:gridCol w:w="1455"/>
        <w:gridCol w:w="1455"/>
      </w:tblGrid>
      <w:tr w14:paraId="04A8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Align w:val="center"/>
          </w:tcPr>
          <w:p w14:paraId="71347F97">
            <w:pPr>
              <w:widowControl w:val="0"/>
              <w:jc w:val="center"/>
              <w:rPr>
                <w:rFonts w:hint="default" w:ascii="Times New Roman" w:hAnsi="Times New Roman" w:eastAsia="宋体" w:cs="宋体"/>
                <w:b/>
                <w:bCs/>
                <w:color w:val="auto"/>
                <w:sz w:val="21"/>
                <w:szCs w:val="21"/>
                <w:vertAlign w:val="baseline"/>
                <w:lang w:val="en-US" w:eastAsia="zh-CN"/>
              </w:rPr>
            </w:pPr>
            <w:r>
              <w:rPr>
                <w:rFonts w:hint="eastAsia" w:ascii="Times New Roman" w:hAnsi="Times New Roman" w:eastAsia="宋体" w:cs="宋体"/>
                <w:b/>
                <w:bCs/>
                <w:color w:val="auto"/>
                <w:sz w:val="21"/>
                <w:szCs w:val="21"/>
                <w:vertAlign w:val="baseline"/>
                <w:lang w:val="en-US" w:eastAsia="zh-CN"/>
              </w:rPr>
              <w:t>等级</w:t>
            </w:r>
          </w:p>
        </w:tc>
        <w:tc>
          <w:tcPr>
            <w:tcW w:w="1249" w:type="dxa"/>
            <w:vAlign w:val="center"/>
          </w:tcPr>
          <w:p w14:paraId="298CC80D">
            <w:pPr>
              <w:widowControl w:val="0"/>
              <w:jc w:val="center"/>
              <w:rPr>
                <w:rFonts w:hint="default" w:ascii="Times New Roman" w:hAnsi="Times New Roman" w:eastAsia="宋体" w:cs="宋体"/>
                <w:b/>
                <w:bCs/>
                <w:color w:val="auto"/>
                <w:sz w:val="21"/>
                <w:szCs w:val="21"/>
                <w:vertAlign w:val="baseline"/>
                <w:lang w:val="en-US" w:eastAsia="zh-CN"/>
              </w:rPr>
            </w:pPr>
            <w:r>
              <w:rPr>
                <w:rFonts w:hint="eastAsia" w:ascii="Times New Roman" w:hAnsi="Times New Roman" w:eastAsia="宋体" w:cs="宋体"/>
                <w:b/>
                <w:bCs/>
                <w:color w:val="auto"/>
                <w:sz w:val="21"/>
                <w:szCs w:val="21"/>
                <w:vertAlign w:val="baseline"/>
                <w:lang w:val="en-US" w:eastAsia="zh-CN"/>
              </w:rPr>
              <w:t>有机质g/kg</w:t>
            </w:r>
          </w:p>
        </w:tc>
        <w:tc>
          <w:tcPr>
            <w:tcW w:w="1658" w:type="dxa"/>
            <w:vAlign w:val="center"/>
          </w:tcPr>
          <w:p w14:paraId="29525367">
            <w:pPr>
              <w:widowControl w:val="0"/>
              <w:jc w:val="center"/>
              <w:rPr>
                <w:rFonts w:hint="default" w:ascii="Times New Roman" w:hAnsi="Times New Roman" w:eastAsia="宋体" w:cs="宋体"/>
                <w:b/>
                <w:bCs/>
                <w:color w:val="auto"/>
                <w:sz w:val="21"/>
                <w:szCs w:val="21"/>
                <w:vertAlign w:val="baseline"/>
                <w:lang w:val="en-US" w:eastAsia="zh-CN"/>
              </w:rPr>
            </w:pPr>
            <w:r>
              <w:rPr>
                <w:rFonts w:hint="eastAsia" w:ascii="Times New Roman" w:hAnsi="Times New Roman" w:eastAsia="宋体" w:cs="宋体"/>
                <w:b/>
                <w:bCs/>
                <w:color w:val="auto"/>
                <w:sz w:val="21"/>
                <w:szCs w:val="21"/>
                <w:vertAlign w:val="baseline"/>
                <w:lang w:val="en-US" w:eastAsia="zh-CN"/>
              </w:rPr>
              <w:t>全氮g/kg</w:t>
            </w:r>
          </w:p>
        </w:tc>
        <w:tc>
          <w:tcPr>
            <w:tcW w:w="1454" w:type="dxa"/>
            <w:vAlign w:val="center"/>
          </w:tcPr>
          <w:p w14:paraId="5A281447">
            <w:pPr>
              <w:widowControl w:val="0"/>
              <w:jc w:val="center"/>
              <w:rPr>
                <w:rFonts w:hint="default" w:ascii="Times New Roman" w:hAnsi="Times New Roman" w:eastAsia="宋体" w:cs="宋体"/>
                <w:b/>
                <w:bCs/>
                <w:color w:val="auto"/>
                <w:sz w:val="21"/>
                <w:szCs w:val="21"/>
                <w:vertAlign w:val="baseline"/>
                <w:lang w:val="en-US" w:eastAsia="zh-CN"/>
              </w:rPr>
            </w:pPr>
            <w:r>
              <w:rPr>
                <w:rFonts w:hint="eastAsia" w:ascii="Times New Roman" w:hAnsi="Times New Roman" w:eastAsia="宋体" w:cs="宋体"/>
                <w:b/>
                <w:bCs/>
                <w:color w:val="auto"/>
                <w:sz w:val="21"/>
                <w:szCs w:val="21"/>
                <w:vertAlign w:val="baseline"/>
                <w:lang w:val="en-US" w:eastAsia="zh-CN"/>
              </w:rPr>
              <w:t>水解氮mg/kg</w:t>
            </w:r>
          </w:p>
        </w:tc>
        <w:tc>
          <w:tcPr>
            <w:tcW w:w="1455" w:type="dxa"/>
            <w:vAlign w:val="center"/>
          </w:tcPr>
          <w:p w14:paraId="4B605F31">
            <w:pPr>
              <w:widowControl w:val="0"/>
              <w:jc w:val="center"/>
              <w:rPr>
                <w:rFonts w:hint="default" w:ascii="Times New Roman" w:hAnsi="Times New Roman" w:eastAsia="宋体" w:cs="宋体"/>
                <w:b/>
                <w:bCs/>
                <w:color w:val="auto"/>
                <w:sz w:val="21"/>
                <w:szCs w:val="21"/>
                <w:vertAlign w:val="baseline"/>
                <w:lang w:val="en-US" w:eastAsia="zh-CN"/>
              </w:rPr>
            </w:pPr>
            <w:r>
              <w:rPr>
                <w:rFonts w:hint="eastAsia" w:ascii="Times New Roman" w:hAnsi="Times New Roman" w:eastAsia="宋体" w:cs="宋体"/>
                <w:b/>
                <w:bCs/>
                <w:color w:val="auto"/>
                <w:sz w:val="21"/>
                <w:szCs w:val="21"/>
                <w:vertAlign w:val="baseline"/>
                <w:lang w:val="en-US" w:eastAsia="zh-CN"/>
              </w:rPr>
              <w:t>速效钾mg/kg</w:t>
            </w:r>
          </w:p>
        </w:tc>
        <w:tc>
          <w:tcPr>
            <w:tcW w:w="1455" w:type="dxa"/>
            <w:vAlign w:val="center"/>
          </w:tcPr>
          <w:p w14:paraId="1E68A608">
            <w:pPr>
              <w:widowControl w:val="0"/>
              <w:jc w:val="center"/>
              <w:rPr>
                <w:rFonts w:hint="default" w:ascii="Times New Roman" w:hAnsi="Times New Roman" w:eastAsia="宋体" w:cs="宋体"/>
                <w:b/>
                <w:bCs/>
                <w:color w:val="auto"/>
                <w:sz w:val="21"/>
                <w:szCs w:val="21"/>
                <w:vertAlign w:val="baseline"/>
                <w:lang w:val="en-US" w:eastAsia="zh-CN"/>
              </w:rPr>
            </w:pPr>
            <w:r>
              <w:rPr>
                <w:rFonts w:hint="eastAsia" w:ascii="Times New Roman" w:hAnsi="Times New Roman" w:eastAsia="宋体" w:cs="宋体"/>
                <w:b/>
                <w:bCs/>
                <w:color w:val="auto"/>
                <w:sz w:val="21"/>
                <w:szCs w:val="21"/>
                <w:vertAlign w:val="baseline"/>
                <w:lang w:val="en-US" w:eastAsia="zh-CN"/>
              </w:rPr>
              <w:t>有效磷mg/kg</w:t>
            </w:r>
          </w:p>
        </w:tc>
      </w:tr>
      <w:tr w14:paraId="6F22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Align w:val="center"/>
          </w:tcPr>
          <w:p w14:paraId="5834534A">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Ⅰ</w:t>
            </w:r>
          </w:p>
        </w:tc>
        <w:tc>
          <w:tcPr>
            <w:tcW w:w="1249" w:type="dxa"/>
            <w:vAlign w:val="center"/>
          </w:tcPr>
          <w:p w14:paraId="37C7CD24">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w:t>
            </w:r>
          </w:p>
        </w:tc>
        <w:tc>
          <w:tcPr>
            <w:tcW w:w="1658" w:type="dxa"/>
            <w:vAlign w:val="center"/>
          </w:tcPr>
          <w:p w14:paraId="14E5D105">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w:t>
            </w:r>
          </w:p>
        </w:tc>
        <w:tc>
          <w:tcPr>
            <w:tcW w:w="1454" w:type="dxa"/>
            <w:vAlign w:val="center"/>
          </w:tcPr>
          <w:p w14:paraId="6BDB4BF5">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＞150</w:t>
            </w:r>
          </w:p>
        </w:tc>
        <w:tc>
          <w:tcPr>
            <w:tcW w:w="1455" w:type="dxa"/>
            <w:vAlign w:val="center"/>
          </w:tcPr>
          <w:p w14:paraId="46469D5C">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＞200</w:t>
            </w:r>
          </w:p>
        </w:tc>
        <w:tc>
          <w:tcPr>
            <w:tcW w:w="1455" w:type="dxa"/>
            <w:vAlign w:val="center"/>
          </w:tcPr>
          <w:p w14:paraId="0C0CB7E0">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w:t>
            </w:r>
          </w:p>
        </w:tc>
      </w:tr>
      <w:tr w14:paraId="6FAE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49" w:type="dxa"/>
            <w:vAlign w:val="center"/>
          </w:tcPr>
          <w:p w14:paraId="6FE9FD9A">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Ⅱ</w:t>
            </w:r>
          </w:p>
        </w:tc>
        <w:tc>
          <w:tcPr>
            <w:tcW w:w="1249" w:type="dxa"/>
            <w:vAlign w:val="center"/>
          </w:tcPr>
          <w:p w14:paraId="2BB3C08E">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30-40</w:t>
            </w:r>
          </w:p>
        </w:tc>
        <w:tc>
          <w:tcPr>
            <w:tcW w:w="1658" w:type="dxa"/>
            <w:vAlign w:val="center"/>
          </w:tcPr>
          <w:p w14:paraId="541484EF">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1.5-2.0</w:t>
            </w:r>
          </w:p>
        </w:tc>
        <w:tc>
          <w:tcPr>
            <w:tcW w:w="1454" w:type="dxa"/>
            <w:vAlign w:val="center"/>
          </w:tcPr>
          <w:p w14:paraId="094BF2D5">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120-150</w:t>
            </w:r>
          </w:p>
        </w:tc>
        <w:tc>
          <w:tcPr>
            <w:tcW w:w="1455" w:type="dxa"/>
            <w:vAlign w:val="center"/>
          </w:tcPr>
          <w:p w14:paraId="27F91578">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150-200</w:t>
            </w:r>
          </w:p>
        </w:tc>
        <w:tc>
          <w:tcPr>
            <w:tcW w:w="1455" w:type="dxa"/>
            <w:vAlign w:val="center"/>
          </w:tcPr>
          <w:p w14:paraId="170E6270">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20-40</w:t>
            </w:r>
          </w:p>
        </w:tc>
      </w:tr>
      <w:tr w14:paraId="52E6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Align w:val="center"/>
          </w:tcPr>
          <w:p w14:paraId="2D05CAD0">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Ⅲ</w:t>
            </w:r>
          </w:p>
        </w:tc>
        <w:tc>
          <w:tcPr>
            <w:tcW w:w="1249" w:type="dxa"/>
            <w:vAlign w:val="center"/>
          </w:tcPr>
          <w:p w14:paraId="34E1DEFB">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20-＜30</w:t>
            </w:r>
          </w:p>
        </w:tc>
        <w:tc>
          <w:tcPr>
            <w:tcW w:w="1658" w:type="dxa"/>
            <w:vAlign w:val="center"/>
          </w:tcPr>
          <w:p w14:paraId="02DC1FE5">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1.0-＜1.5</w:t>
            </w:r>
          </w:p>
        </w:tc>
        <w:tc>
          <w:tcPr>
            <w:tcW w:w="1454" w:type="dxa"/>
            <w:vAlign w:val="center"/>
          </w:tcPr>
          <w:p w14:paraId="50EA2091">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90-＜120</w:t>
            </w:r>
          </w:p>
        </w:tc>
        <w:tc>
          <w:tcPr>
            <w:tcW w:w="1455" w:type="dxa"/>
            <w:vAlign w:val="center"/>
          </w:tcPr>
          <w:p w14:paraId="53FD910E">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100-＜150</w:t>
            </w:r>
          </w:p>
        </w:tc>
        <w:tc>
          <w:tcPr>
            <w:tcW w:w="1455" w:type="dxa"/>
            <w:vAlign w:val="center"/>
          </w:tcPr>
          <w:p w14:paraId="1FADD8D5">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10-＜20</w:t>
            </w:r>
          </w:p>
        </w:tc>
      </w:tr>
      <w:tr w14:paraId="4223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Align w:val="center"/>
          </w:tcPr>
          <w:p w14:paraId="09635FDC">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Ⅳ</w:t>
            </w:r>
          </w:p>
        </w:tc>
        <w:tc>
          <w:tcPr>
            <w:tcW w:w="1249" w:type="dxa"/>
            <w:vAlign w:val="center"/>
          </w:tcPr>
          <w:p w14:paraId="5C66C154">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10-＜20</w:t>
            </w:r>
          </w:p>
        </w:tc>
        <w:tc>
          <w:tcPr>
            <w:tcW w:w="1658" w:type="dxa"/>
            <w:vAlign w:val="center"/>
          </w:tcPr>
          <w:p w14:paraId="71504C6E">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0.7-＜1.0</w:t>
            </w:r>
          </w:p>
        </w:tc>
        <w:tc>
          <w:tcPr>
            <w:tcW w:w="1454" w:type="dxa"/>
            <w:vAlign w:val="center"/>
          </w:tcPr>
          <w:p w14:paraId="7FFBC5C3">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60-＜90</w:t>
            </w:r>
          </w:p>
        </w:tc>
        <w:tc>
          <w:tcPr>
            <w:tcW w:w="1455" w:type="dxa"/>
            <w:vAlign w:val="center"/>
          </w:tcPr>
          <w:p w14:paraId="7CCE5589">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50-＜100</w:t>
            </w:r>
          </w:p>
        </w:tc>
        <w:tc>
          <w:tcPr>
            <w:tcW w:w="1455" w:type="dxa"/>
            <w:vAlign w:val="center"/>
          </w:tcPr>
          <w:p w14:paraId="2A1187CE">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5-＜10</w:t>
            </w:r>
          </w:p>
        </w:tc>
      </w:tr>
      <w:tr w14:paraId="4862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Align w:val="center"/>
          </w:tcPr>
          <w:p w14:paraId="3DCFB3F1">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Ⅴ</w:t>
            </w:r>
          </w:p>
        </w:tc>
        <w:tc>
          <w:tcPr>
            <w:tcW w:w="1249" w:type="dxa"/>
            <w:vAlign w:val="center"/>
          </w:tcPr>
          <w:p w14:paraId="21D0C2D1">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6-＜10</w:t>
            </w:r>
          </w:p>
        </w:tc>
        <w:tc>
          <w:tcPr>
            <w:tcW w:w="1658" w:type="dxa"/>
            <w:vAlign w:val="center"/>
          </w:tcPr>
          <w:p w14:paraId="0B7C30F7">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0.5-＜0.7</w:t>
            </w:r>
          </w:p>
        </w:tc>
        <w:tc>
          <w:tcPr>
            <w:tcW w:w="1454" w:type="dxa"/>
            <w:vAlign w:val="center"/>
          </w:tcPr>
          <w:p w14:paraId="4E3F9193">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30-＜60</w:t>
            </w:r>
          </w:p>
        </w:tc>
        <w:tc>
          <w:tcPr>
            <w:tcW w:w="1455" w:type="dxa"/>
            <w:vAlign w:val="center"/>
          </w:tcPr>
          <w:p w14:paraId="20E2EF4A">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30-＜50</w:t>
            </w:r>
          </w:p>
        </w:tc>
        <w:tc>
          <w:tcPr>
            <w:tcW w:w="1455" w:type="dxa"/>
            <w:vAlign w:val="center"/>
          </w:tcPr>
          <w:p w14:paraId="685F8469">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3-＜5</w:t>
            </w:r>
          </w:p>
        </w:tc>
      </w:tr>
      <w:tr w14:paraId="6BC4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249" w:type="dxa"/>
            <w:vAlign w:val="center"/>
          </w:tcPr>
          <w:p w14:paraId="07B2558B">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Ⅵ</w:t>
            </w:r>
          </w:p>
        </w:tc>
        <w:tc>
          <w:tcPr>
            <w:tcW w:w="1249" w:type="dxa"/>
            <w:vAlign w:val="center"/>
          </w:tcPr>
          <w:p w14:paraId="61F5F5C2">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w:t>
            </w:r>
          </w:p>
        </w:tc>
        <w:tc>
          <w:tcPr>
            <w:tcW w:w="1658" w:type="dxa"/>
            <w:vAlign w:val="center"/>
          </w:tcPr>
          <w:p w14:paraId="320E9550">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＜0.5</w:t>
            </w:r>
          </w:p>
        </w:tc>
        <w:tc>
          <w:tcPr>
            <w:tcW w:w="1454" w:type="dxa"/>
            <w:vAlign w:val="center"/>
          </w:tcPr>
          <w:p w14:paraId="30F6C46A">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w:t>
            </w:r>
          </w:p>
        </w:tc>
        <w:tc>
          <w:tcPr>
            <w:tcW w:w="1455" w:type="dxa"/>
            <w:vAlign w:val="center"/>
          </w:tcPr>
          <w:p w14:paraId="4D349A23">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w:t>
            </w:r>
          </w:p>
        </w:tc>
        <w:tc>
          <w:tcPr>
            <w:tcW w:w="1455" w:type="dxa"/>
            <w:vAlign w:val="center"/>
          </w:tcPr>
          <w:p w14:paraId="27084FEA">
            <w:pPr>
              <w:widowControl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r>
    </w:tbl>
    <w:p w14:paraId="0CD3A328">
      <w:pPr>
        <w:pStyle w:val="2"/>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b w:val="0"/>
          <w:bCs w:val="0"/>
          <w:color w:val="auto"/>
          <w:sz w:val="24"/>
          <w:szCs w:val="24"/>
          <w:vertAlign w:val="baseline"/>
          <w:lang w:val="en-US" w:eastAsia="zh-CN"/>
        </w:rPr>
      </w:pPr>
      <w:r>
        <w:rPr>
          <w:rFonts w:hint="eastAsia"/>
          <w:color w:val="auto"/>
          <w:sz w:val="24"/>
          <w:szCs w:val="24"/>
          <w:lang w:val="en-US" w:eastAsia="zh-CN"/>
        </w:rPr>
        <w:t>根据上表检测数据，试验地土壤在未施用有机废水时，种植玉米的土地土壤耕作层的全氮、有效磷、速效钾和有机质含量分别为</w:t>
      </w:r>
      <w:r>
        <w:rPr>
          <w:rFonts w:hint="default" w:ascii="Times New Roman" w:hAnsi="Times New Roman" w:cs="Times New Roman"/>
          <w:b w:val="0"/>
          <w:bCs w:val="0"/>
          <w:color w:val="auto"/>
          <w:sz w:val="24"/>
          <w:szCs w:val="24"/>
          <w:lang w:val="en-US" w:eastAsia="zh-CN"/>
        </w:rPr>
        <w:t>1.117</w:t>
      </w:r>
      <w:r>
        <w:rPr>
          <w:rFonts w:hint="default" w:ascii="Times New Roman" w:hAnsi="Times New Roman" w:eastAsia="宋体" w:cs="Times New Roman"/>
          <w:b w:val="0"/>
          <w:bCs w:val="0"/>
          <w:color w:val="auto"/>
          <w:sz w:val="24"/>
          <w:szCs w:val="24"/>
          <w:vertAlign w:val="baseline"/>
          <w:lang w:val="en-US" w:eastAsia="zh-CN"/>
        </w:rPr>
        <w:t>g/kg</w:t>
      </w:r>
      <w:r>
        <w:rPr>
          <w:rFonts w:hint="default" w:ascii="Times New Roman" w:hAnsi="Times New Roman" w:cs="Times New Roman"/>
          <w:b w:val="0"/>
          <w:bCs w:val="0"/>
          <w:color w:val="auto"/>
          <w:sz w:val="24"/>
          <w:szCs w:val="24"/>
          <w:vertAlign w:val="baseline"/>
          <w:lang w:val="en-US" w:eastAsia="zh-CN"/>
        </w:rPr>
        <w:t>、17.64</w:t>
      </w:r>
      <w:r>
        <w:rPr>
          <w:rFonts w:hint="default" w:ascii="Times New Roman" w:hAnsi="Times New Roman" w:eastAsia="宋体" w:cs="Times New Roman"/>
          <w:b w:val="0"/>
          <w:bCs w:val="0"/>
          <w:color w:val="auto"/>
          <w:sz w:val="24"/>
          <w:szCs w:val="24"/>
          <w:vertAlign w:val="baseline"/>
          <w:lang w:val="en-US" w:eastAsia="zh-CN"/>
        </w:rPr>
        <w:t>mg/kg</w:t>
      </w:r>
      <w:r>
        <w:rPr>
          <w:rFonts w:hint="default" w:ascii="Times New Roman" w:hAnsi="Times New Roman" w:cs="Times New Roman"/>
          <w:b w:val="0"/>
          <w:bCs w:val="0"/>
          <w:color w:val="auto"/>
          <w:sz w:val="24"/>
          <w:szCs w:val="24"/>
          <w:vertAlign w:val="baseline"/>
          <w:lang w:val="en-US" w:eastAsia="zh-CN"/>
        </w:rPr>
        <w:t>、142.62</w:t>
      </w:r>
      <w:r>
        <w:rPr>
          <w:rFonts w:hint="default" w:ascii="Times New Roman" w:hAnsi="Times New Roman" w:eastAsia="宋体" w:cs="Times New Roman"/>
          <w:b w:val="0"/>
          <w:bCs w:val="0"/>
          <w:color w:val="auto"/>
          <w:sz w:val="24"/>
          <w:szCs w:val="24"/>
          <w:vertAlign w:val="baseline"/>
          <w:lang w:val="en-US" w:eastAsia="zh-CN"/>
        </w:rPr>
        <w:t>mg/kg</w:t>
      </w:r>
      <w:r>
        <w:rPr>
          <w:rFonts w:hint="default" w:ascii="Times New Roman" w:hAnsi="Times New Roman" w:cs="Times New Roman"/>
          <w:b w:val="0"/>
          <w:bCs w:val="0"/>
          <w:color w:val="auto"/>
          <w:sz w:val="24"/>
          <w:szCs w:val="24"/>
          <w:vertAlign w:val="baseline"/>
          <w:lang w:val="en-US" w:eastAsia="zh-CN"/>
        </w:rPr>
        <w:t>、12.28</w:t>
      </w:r>
      <w:r>
        <w:rPr>
          <w:rFonts w:hint="default" w:ascii="Times New Roman" w:hAnsi="Times New Roman" w:eastAsia="宋体" w:cs="Times New Roman"/>
          <w:b w:val="0"/>
          <w:bCs w:val="0"/>
          <w:color w:val="auto"/>
          <w:sz w:val="24"/>
          <w:szCs w:val="24"/>
          <w:vertAlign w:val="baseline"/>
          <w:lang w:val="en-US" w:eastAsia="zh-CN"/>
        </w:rPr>
        <w:t>g/kg</w:t>
      </w:r>
      <w:r>
        <w:rPr>
          <w:rFonts w:hint="eastAsia" w:ascii="Times New Roman" w:hAnsi="Times New Roman" w:cs="Times New Roman"/>
          <w:b w:val="0"/>
          <w:bCs w:val="0"/>
          <w:color w:val="auto"/>
          <w:sz w:val="24"/>
          <w:szCs w:val="24"/>
          <w:vertAlign w:val="baseline"/>
          <w:lang w:val="en-US" w:eastAsia="zh-CN"/>
        </w:rPr>
        <w:t>；当有机废水施用量分别为900、1200、3000</w:t>
      </w:r>
      <w:r>
        <w:rPr>
          <w:rFonts w:hint="eastAsia" w:ascii="Times New Roman" w:hAnsi="Times New Roman" w:eastAsia="宋体" w:cs="宋体"/>
          <w:b w:val="0"/>
          <w:bCs w:val="0"/>
          <w:color w:val="auto"/>
          <w:sz w:val="24"/>
          <w:szCs w:val="24"/>
          <w:vertAlign w:val="baseline"/>
          <w:lang w:val="en-US" w:eastAsia="zh-CN"/>
        </w:rPr>
        <w:t>m</w:t>
      </w:r>
      <w:r>
        <w:rPr>
          <w:rFonts w:hint="eastAsia" w:ascii="Times New Roman" w:hAnsi="Times New Roman" w:eastAsia="宋体" w:cs="宋体"/>
          <w:b w:val="0"/>
          <w:bCs w:val="0"/>
          <w:color w:val="auto"/>
          <w:sz w:val="24"/>
          <w:szCs w:val="24"/>
          <w:vertAlign w:val="superscript"/>
          <w:lang w:val="en-US" w:eastAsia="zh-CN"/>
        </w:rPr>
        <w:t>3</w:t>
      </w:r>
      <w:r>
        <w:rPr>
          <w:rFonts w:hint="eastAsia" w:ascii="Times New Roman" w:hAnsi="Times New Roman" w:eastAsia="宋体" w:cs="宋体"/>
          <w:b w:val="0"/>
          <w:bCs w:val="0"/>
          <w:color w:val="auto"/>
          <w:sz w:val="24"/>
          <w:szCs w:val="24"/>
          <w:vertAlign w:val="baseline"/>
          <w:lang w:val="en-US" w:eastAsia="zh-CN"/>
        </w:rPr>
        <w:t>/hm</w:t>
      </w:r>
      <w:r>
        <w:rPr>
          <w:rFonts w:hint="eastAsia" w:ascii="Times New Roman" w:hAnsi="Times New Roman" w:eastAsia="宋体" w:cs="宋体"/>
          <w:b w:val="0"/>
          <w:bCs w:val="0"/>
          <w:color w:val="auto"/>
          <w:sz w:val="24"/>
          <w:szCs w:val="24"/>
          <w:vertAlign w:val="superscript"/>
          <w:lang w:val="en-US" w:eastAsia="zh-CN"/>
        </w:rPr>
        <w:t>2</w:t>
      </w:r>
      <w:r>
        <w:rPr>
          <w:rFonts w:hint="eastAsia" w:ascii="Times New Roman" w:hAnsi="Times New Roman" w:cs="宋体"/>
          <w:b w:val="0"/>
          <w:bCs w:val="0"/>
          <w:color w:val="auto"/>
          <w:sz w:val="24"/>
          <w:szCs w:val="24"/>
          <w:vertAlign w:val="baseline"/>
          <w:lang w:val="en-US" w:eastAsia="zh-CN"/>
        </w:rPr>
        <w:t>时，第一次还田后2018年6月测得全氮含量1.605~2.309</w:t>
      </w:r>
      <w:r>
        <w:rPr>
          <w:rFonts w:hint="default" w:ascii="Times New Roman" w:hAnsi="Times New Roman" w:eastAsia="宋体" w:cs="Times New Roman"/>
          <w:b w:val="0"/>
          <w:bCs w:val="0"/>
          <w:color w:val="auto"/>
          <w:sz w:val="24"/>
          <w:szCs w:val="24"/>
          <w:vertAlign w:val="baseline"/>
          <w:lang w:val="en-US" w:eastAsia="zh-CN"/>
        </w:rPr>
        <w:t>g/kg</w:t>
      </w:r>
      <w:r>
        <w:rPr>
          <w:rFonts w:hint="eastAsia" w:ascii="Times New Roman" w:hAnsi="Times New Roman" w:cs="宋体"/>
          <w:b w:val="0"/>
          <w:bCs w:val="0"/>
          <w:color w:val="auto"/>
          <w:sz w:val="24"/>
          <w:szCs w:val="24"/>
          <w:vertAlign w:val="baseline"/>
          <w:lang w:val="en-US" w:eastAsia="zh-CN"/>
        </w:rPr>
        <w:t>，有效磷含量54.35~95.64</w:t>
      </w:r>
      <w:r>
        <w:rPr>
          <w:rFonts w:hint="default" w:ascii="Times New Roman" w:hAnsi="Times New Roman" w:eastAsia="宋体" w:cs="Times New Roman"/>
          <w:b w:val="0"/>
          <w:bCs w:val="0"/>
          <w:color w:val="auto"/>
          <w:sz w:val="24"/>
          <w:szCs w:val="24"/>
          <w:vertAlign w:val="baseline"/>
          <w:lang w:val="en-US" w:eastAsia="zh-CN"/>
        </w:rPr>
        <w:t>mg/kg</w:t>
      </w:r>
      <w:r>
        <w:rPr>
          <w:rFonts w:hint="eastAsia" w:ascii="Times New Roman" w:hAnsi="Times New Roman" w:cs="宋体"/>
          <w:b w:val="0"/>
          <w:bCs w:val="0"/>
          <w:color w:val="auto"/>
          <w:sz w:val="24"/>
          <w:szCs w:val="24"/>
          <w:vertAlign w:val="baseline"/>
          <w:lang w:val="en-US" w:eastAsia="zh-CN"/>
        </w:rPr>
        <w:t>，速效钾含量316.80~1083.2</w:t>
      </w:r>
      <w:r>
        <w:rPr>
          <w:rFonts w:hint="default" w:ascii="Times New Roman" w:hAnsi="Times New Roman" w:eastAsia="宋体" w:cs="Times New Roman"/>
          <w:b w:val="0"/>
          <w:bCs w:val="0"/>
          <w:color w:val="auto"/>
          <w:sz w:val="24"/>
          <w:szCs w:val="24"/>
          <w:vertAlign w:val="baseline"/>
          <w:lang w:val="en-US" w:eastAsia="zh-CN"/>
        </w:rPr>
        <w:t>mg/kg</w:t>
      </w:r>
      <w:r>
        <w:rPr>
          <w:rFonts w:hint="eastAsia" w:ascii="Times New Roman" w:hAnsi="Times New Roman" w:cs="宋体"/>
          <w:b w:val="0"/>
          <w:bCs w:val="0"/>
          <w:color w:val="auto"/>
          <w:sz w:val="24"/>
          <w:szCs w:val="24"/>
          <w:vertAlign w:val="baseline"/>
          <w:lang w:val="en-US" w:eastAsia="zh-CN"/>
        </w:rPr>
        <w:t>，有机质含量19.83~31.37</w:t>
      </w:r>
      <w:r>
        <w:rPr>
          <w:rFonts w:hint="default" w:ascii="Times New Roman" w:hAnsi="Times New Roman" w:eastAsia="宋体" w:cs="Times New Roman"/>
          <w:b w:val="0"/>
          <w:bCs w:val="0"/>
          <w:color w:val="auto"/>
          <w:sz w:val="24"/>
          <w:szCs w:val="24"/>
          <w:vertAlign w:val="baseline"/>
          <w:lang w:val="en-US" w:eastAsia="zh-CN"/>
        </w:rPr>
        <w:t>g/kg</w:t>
      </w:r>
      <w:r>
        <w:rPr>
          <w:rFonts w:hint="eastAsia" w:ascii="Times New Roman" w:hAnsi="Times New Roman" w:cs="Times New Roman"/>
          <w:b w:val="0"/>
          <w:bCs w:val="0"/>
          <w:color w:val="auto"/>
          <w:sz w:val="24"/>
          <w:szCs w:val="24"/>
          <w:vertAlign w:val="baseline"/>
          <w:lang w:val="en-US" w:eastAsia="zh-CN"/>
        </w:rPr>
        <w:t>，在还田量3000</w:t>
      </w:r>
      <w:r>
        <w:rPr>
          <w:rFonts w:hint="eastAsia" w:ascii="Times New Roman" w:hAnsi="Times New Roman" w:eastAsia="宋体" w:cs="宋体"/>
          <w:b w:val="0"/>
          <w:bCs w:val="0"/>
          <w:color w:val="auto"/>
          <w:sz w:val="24"/>
          <w:szCs w:val="24"/>
          <w:vertAlign w:val="baseline"/>
          <w:lang w:val="en-US" w:eastAsia="zh-CN"/>
        </w:rPr>
        <w:t>m</w:t>
      </w:r>
      <w:r>
        <w:rPr>
          <w:rFonts w:hint="eastAsia" w:ascii="Times New Roman" w:hAnsi="Times New Roman" w:eastAsia="宋体" w:cs="宋体"/>
          <w:b w:val="0"/>
          <w:bCs w:val="0"/>
          <w:color w:val="auto"/>
          <w:sz w:val="24"/>
          <w:szCs w:val="24"/>
          <w:vertAlign w:val="superscript"/>
          <w:lang w:val="en-US" w:eastAsia="zh-CN"/>
        </w:rPr>
        <w:t>3</w:t>
      </w:r>
      <w:r>
        <w:rPr>
          <w:rFonts w:hint="eastAsia" w:ascii="Times New Roman" w:hAnsi="Times New Roman" w:eastAsia="宋体" w:cs="宋体"/>
          <w:b w:val="0"/>
          <w:bCs w:val="0"/>
          <w:color w:val="auto"/>
          <w:sz w:val="24"/>
          <w:szCs w:val="24"/>
          <w:vertAlign w:val="baseline"/>
          <w:lang w:val="en-US" w:eastAsia="zh-CN"/>
        </w:rPr>
        <w:t>/hm</w:t>
      </w:r>
      <w:r>
        <w:rPr>
          <w:rFonts w:hint="eastAsia" w:ascii="Times New Roman" w:hAnsi="Times New Roman" w:eastAsia="宋体" w:cs="宋体"/>
          <w:b w:val="0"/>
          <w:bCs w:val="0"/>
          <w:color w:val="auto"/>
          <w:sz w:val="24"/>
          <w:szCs w:val="24"/>
          <w:vertAlign w:val="superscript"/>
          <w:lang w:val="en-US" w:eastAsia="zh-CN"/>
        </w:rPr>
        <w:t>2</w:t>
      </w:r>
      <w:r>
        <w:rPr>
          <w:rFonts w:hint="eastAsia" w:ascii="Times New Roman" w:hAnsi="Times New Roman" w:cs="宋体"/>
          <w:b w:val="0"/>
          <w:bCs w:val="0"/>
          <w:color w:val="auto"/>
          <w:sz w:val="24"/>
          <w:szCs w:val="24"/>
          <w:vertAlign w:val="baseline"/>
          <w:lang w:val="en-US" w:eastAsia="zh-CN"/>
        </w:rPr>
        <w:t>时全氮含量为</w:t>
      </w:r>
      <w:r>
        <w:rPr>
          <w:rFonts w:hint="default" w:ascii="Times New Roman" w:hAnsi="Times New Roman" w:eastAsia="宋体" w:cs="Times New Roman"/>
          <w:b w:val="0"/>
          <w:bCs w:val="0"/>
          <w:color w:val="auto"/>
          <w:sz w:val="24"/>
          <w:szCs w:val="24"/>
          <w:vertAlign w:val="baseline"/>
          <w:lang w:val="en-US" w:eastAsia="zh-CN"/>
        </w:rPr>
        <w:t>Ⅰ</w:t>
      </w:r>
      <w:r>
        <w:rPr>
          <w:rFonts w:hint="eastAsia" w:ascii="Times New Roman" w:hAnsi="Times New Roman" w:cs="Times New Roman"/>
          <w:b w:val="0"/>
          <w:bCs w:val="0"/>
          <w:color w:val="auto"/>
          <w:sz w:val="24"/>
          <w:szCs w:val="24"/>
          <w:vertAlign w:val="baseline"/>
          <w:lang w:val="en-US" w:eastAsia="zh-CN"/>
        </w:rPr>
        <w:t>级，有效磷含量为</w:t>
      </w:r>
      <w:r>
        <w:rPr>
          <w:rFonts w:hint="default" w:ascii="Times New Roman" w:hAnsi="Times New Roman" w:eastAsia="宋体" w:cs="Times New Roman"/>
          <w:b w:val="0"/>
          <w:bCs w:val="0"/>
          <w:color w:val="auto"/>
          <w:sz w:val="24"/>
          <w:szCs w:val="24"/>
          <w:vertAlign w:val="baseline"/>
          <w:lang w:val="en-US" w:eastAsia="zh-CN"/>
        </w:rPr>
        <w:t>Ⅰ</w:t>
      </w:r>
      <w:r>
        <w:rPr>
          <w:rFonts w:hint="eastAsia" w:ascii="Times New Roman" w:hAnsi="Times New Roman" w:cs="Times New Roman"/>
          <w:b w:val="0"/>
          <w:bCs w:val="0"/>
          <w:color w:val="auto"/>
          <w:sz w:val="24"/>
          <w:szCs w:val="24"/>
          <w:vertAlign w:val="baseline"/>
          <w:lang w:val="en-US" w:eastAsia="zh-CN"/>
        </w:rPr>
        <w:t>级，速效钾含量为</w:t>
      </w:r>
      <w:r>
        <w:rPr>
          <w:rFonts w:hint="default" w:ascii="Times New Roman" w:hAnsi="Times New Roman" w:eastAsia="宋体" w:cs="Times New Roman"/>
          <w:b w:val="0"/>
          <w:bCs w:val="0"/>
          <w:color w:val="auto"/>
          <w:sz w:val="24"/>
          <w:szCs w:val="24"/>
          <w:vertAlign w:val="baseline"/>
          <w:lang w:val="en-US" w:eastAsia="zh-CN"/>
        </w:rPr>
        <w:t>Ⅰ</w:t>
      </w:r>
      <w:r>
        <w:rPr>
          <w:rFonts w:hint="eastAsia" w:ascii="Times New Roman" w:hAnsi="Times New Roman" w:cs="Times New Roman"/>
          <w:b w:val="0"/>
          <w:bCs w:val="0"/>
          <w:color w:val="auto"/>
          <w:sz w:val="24"/>
          <w:szCs w:val="24"/>
          <w:vertAlign w:val="baseline"/>
          <w:lang w:val="en-US" w:eastAsia="zh-CN"/>
        </w:rPr>
        <w:t>级，有机质含量为</w:t>
      </w:r>
      <w:r>
        <w:rPr>
          <w:rFonts w:hint="default" w:ascii="Times New Roman" w:hAnsi="Times New Roman" w:eastAsia="宋体" w:cs="Times New Roman"/>
          <w:b w:val="0"/>
          <w:bCs w:val="0"/>
          <w:color w:val="auto"/>
          <w:sz w:val="24"/>
          <w:szCs w:val="24"/>
          <w:vertAlign w:val="baseline"/>
          <w:lang w:val="en-US" w:eastAsia="zh-CN"/>
        </w:rPr>
        <w:t>Ⅱ</w:t>
      </w:r>
      <w:r>
        <w:rPr>
          <w:rFonts w:hint="eastAsia" w:ascii="Times New Roman" w:hAnsi="Times New Roman" w:cs="Times New Roman"/>
          <w:b w:val="0"/>
          <w:bCs w:val="0"/>
          <w:color w:val="auto"/>
          <w:sz w:val="24"/>
          <w:szCs w:val="24"/>
          <w:vertAlign w:val="baseline"/>
          <w:lang w:val="en-US" w:eastAsia="zh-CN"/>
        </w:rPr>
        <w:t>级；第二次还田后至作物收获前2019年10月测得全氨含量2.012~2.988g/kg,有效磷59.00~146.87mg/kg,速效钾含量710.09~1560.14mg/kg,有机质含量29.02~42.44g/kg。全氮、有效磷、速效钾整体仍在</w:t>
      </w:r>
      <w:r>
        <w:rPr>
          <w:rFonts w:hint="default" w:ascii="Times New Roman" w:hAnsi="Times New Roman" w:eastAsia="宋体" w:cs="Times New Roman"/>
          <w:b w:val="0"/>
          <w:bCs w:val="0"/>
          <w:color w:val="auto"/>
          <w:sz w:val="24"/>
          <w:szCs w:val="24"/>
          <w:vertAlign w:val="baseline"/>
          <w:lang w:val="en-US" w:eastAsia="zh-CN"/>
        </w:rPr>
        <w:t>Ⅰ</w:t>
      </w:r>
      <w:r>
        <w:rPr>
          <w:rFonts w:hint="eastAsia" w:ascii="Times New Roman" w:hAnsi="Times New Roman" w:cs="Times New Roman"/>
          <w:b w:val="0"/>
          <w:bCs w:val="0"/>
          <w:color w:val="auto"/>
          <w:sz w:val="24"/>
          <w:szCs w:val="24"/>
          <w:vertAlign w:val="baseline"/>
          <w:lang w:val="en-US" w:eastAsia="zh-CN"/>
        </w:rPr>
        <w:t>级以上。</w:t>
      </w:r>
    </w:p>
    <w:p w14:paraId="7ADFE908">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综上所述，</w:t>
      </w:r>
      <w:r>
        <w:rPr>
          <w:rFonts w:hint="default" w:ascii="Times New Roman" w:hAnsi="Times New Roman" w:eastAsia="宋体" w:cs="宋体"/>
          <w:color w:val="auto"/>
          <w:sz w:val="24"/>
          <w:lang w:val="en-US" w:eastAsia="zh-CN"/>
        </w:rPr>
        <w:t>土壤有机质是土壤生态系统中一个重要的成分</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有机质含量是衡量土壤肥力的重要因素</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直接影响土壤的保肥性、保水性、缓冲性、耕性和通气状况等。土壤有机质的缺乏能够引起团聚体性状不好</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土壤</w:t>
      </w:r>
      <w:r>
        <w:rPr>
          <w:rFonts w:hint="eastAsia" w:ascii="Times New Roman" w:hAnsi="Times New Roman" w:eastAsia="宋体" w:cs="宋体"/>
          <w:color w:val="auto"/>
          <w:sz w:val="24"/>
          <w:lang w:val="en-US" w:eastAsia="zh-CN"/>
        </w:rPr>
        <w:t>含水量</w:t>
      </w:r>
      <w:r>
        <w:rPr>
          <w:rFonts w:hint="default" w:ascii="Times New Roman" w:hAnsi="Times New Roman" w:eastAsia="宋体" w:cs="宋体"/>
          <w:color w:val="auto"/>
          <w:sz w:val="24"/>
          <w:lang w:val="en-US" w:eastAsia="zh-CN"/>
        </w:rPr>
        <w:t>下降</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土壤侵蚀加剧</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提供营养的能力下降</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减少土壤生物和酶的活性。这些因素综合到一起就会引起土壤的生产力下降。</w:t>
      </w:r>
    </w:p>
    <w:p w14:paraId="4860D154">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因此维持和提高农业土壤中有机质含量对于农业可持续发展非常关键。马铃薯加工废水还田不仅提高了土壤有机质含量</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改善了土壤的理化性质</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为微生物的生长繁殖提供了良好的环境和丰富的碳源、氮源</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同时微生物可以利用废水中的碳源物质大量进行自身繁殖</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将废水中的碳同化为微生物体碳。土壤中净增的氨素除部分来自还田外</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更主要是由于还田促进微生物固氨作用所作的间接贡献。废水还田能促进真菌和细菌的大量繁殖</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提高土壤中微生物的数量。</w:t>
      </w:r>
    </w:p>
    <w:p w14:paraId="5F2AAC6E">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49" w:name="_Toc25577"/>
      <w:r>
        <w:rPr>
          <w:rFonts w:hint="eastAsia" w:ascii="Times New Roman" w:hAnsi="Times New Roman" w:eastAsia="宋体" w:cs="宋体"/>
          <w:b/>
          <w:bCs/>
          <w:color w:val="auto"/>
          <w:sz w:val="28"/>
          <w:szCs w:val="28"/>
          <w:lang w:val="en-US" w:eastAsia="zh-CN"/>
        </w:rPr>
        <w:t>4.</w:t>
      </w:r>
      <w:r>
        <w:rPr>
          <w:rFonts w:hint="eastAsia" w:ascii="Times New Roman" w:hAnsi="Times New Roman" w:cs="宋体"/>
          <w:b/>
          <w:bCs/>
          <w:color w:val="auto"/>
          <w:sz w:val="28"/>
          <w:szCs w:val="28"/>
          <w:lang w:val="en-US" w:eastAsia="zh-CN"/>
        </w:rPr>
        <w:t>10</w:t>
      </w:r>
      <w:r>
        <w:rPr>
          <w:rFonts w:hint="eastAsia" w:ascii="Times New Roman" w:hAnsi="Times New Roman" w:eastAsia="宋体" w:cs="宋体"/>
          <w:b/>
          <w:bCs/>
          <w:color w:val="auto"/>
          <w:sz w:val="28"/>
          <w:szCs w:val="28"/>
          <w:lang w:val="en-US" w:eastAsia="zh-CN"/>
        </w:rPr>
        <w:t>、还田</w:t>
      </w:r>
      <w:r>
        <w:rPr>
          <w:rFonts w:hint="eastAsia" w:ascii="Times New Roman" w:hAnsi="Times New Roman" w:cs="宋体"/>
          <w:b/>
          <w:bCs/>
          <w:color w:val="auto"/>
          <w:sz w:val="28"/>
          <w:szCs w:val="28"/>
          <w:lang w:val="en-US" w:eastAsia="zh-CN"/>
        </w:rPr>
        <w:t>水质要求</w:t>
      </w:r>
      <w:r>
        <w:rPr>
          <w:rFonts w:hint="eastAsia" w:ascii="Times New Roman" w:hAnsi="Times New Roman" w:eastAsia="宋体" w:cs="宋体"/>
          <w:b/>
          <w:bCs/>
          <w:color w:val="auto"/>
          <w:sz w:val="28"/>
          <w:szCs w:val="28"/>
          <w:lang w:val="en-US" w:eastAsia="zh-CN"/>
        </w:rPr>
        <w:t>及还田消纳可行性分析</w:t>
      </w:r>
      <w:bookmarkEnd w:id="49"/>
    </w:p>
    <w:p w14:paraId="573FFA11">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bookmarkStart w:id="50" w:name="_Toc1284"/>
      <w:r>
        <w:rPr>
          <w:rFonts w:hint="eastAsia" w:ascii="Times New Roman" w:hAnsi="Times New Roman" w:eastAsia="宋体" w:cs="宋体"/>
          <w:b/>
          <w:color w:val="auto"/>
          <w:sz w:val="24"/>
          <w:lang w:val="en-US" w:eastAsia="zh-CN"/>
        </w:rPr>
        <w:t>4.10.1、</w:t>
      </w:r>
      <w:bookmarkEnd w:id="50"/>
      <w:r>
        <w:rPr>
          <w:rFonts w:hint="eastAsia" w:ascii="Times New Roman" w:hAnsi="Times New Roman" w:eastAsia="宋体" w:cs="宋体"/>
          <w:b/>
          <w:color w:val="auto"/>
          <w:sz w:val="24"/>
          <w:lang w:val="en-US" w:eastAsia="zh-CN"/>
        </w:rPr>
        <w:t>基本水质</w:t>
      </w:r>
    </w:p>
    <w:p w14:paraId="224F7401">
      <w:pPr>
        <w:pStyle w:val="3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宋体"/>
          <w:b w:val="0"/>
          <w:bCs/>
          <w:color w:val="auto"/>
          <w:lang w:val="en-US" w:eastAsia="zh-CN"/>
        </w:rPr>
      </w:pPr>
      <w:r>
        <w:rPr>
          <w:rFonts w:hint="eastAsia" w:ascii="Times New Roman" w:hAnsi="Times New Roman" w:eastAsia="宋体" w:cs="宋体"/>
          <w:b w:val="0"/>
          <w:bCs/>
          <w:color w:val="auto"/>
          <w:lang w:val="en-US" w:eastAsia="zh-CN"/>
        </w:rPr>
        <w:t>（1）施用废水汁水化学需氧量（COD）</w:t>
      </w:r>
      <w:r>
        <w:rPr>
          <w:rFonts w:hint="default" w:ascii="Times New Roman" w:hAnsi="Times New Roman" w:eastAsia="宋体" w:cs="Times New Roman"/>
          <w:b w:val="0"/>
          <w:bCs/>
          <w:color w:val="auto"/>
          <w:lang w:val="en-US" w:eastAsia="zh-CN"/>
        </w:rPr>
        <w:t>≤</w:t>
      </w:r>
      <w:r>
        <w:rPr>
          <w:rFonts w:hint="eastAsia" w:ascii="Times New Roman" w:hAnsi="Times New Roman" w:eastAsia="宋体" w:cs="宋体"/>
          <w:b w:val="0"/>
          <w:bCs/>
          <w:color w:val="auto"/>
          <w:lang w:val="en-US" w:eastAsia="zh-CN"/>
        </w:rPr>
        <w:t>12000mg/L；</w:t>
      </w:r>
    </w:p>
    <w:p w14:paraId="3AFF5C6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color w:val="auto"/>
        </w:rPr>
      </w:pPr>
      <w:r>
        <w:rPr>
          <w:rFonts w:hint="eastAsia" w:ascii="Times New Roman" w:hAnsi="Times New Roman" w:eastAsia="宋体" w:cs="宋体"/>
          <w:b w:val="0"/>
          <w:bCs/>
          <w:snapToGrid w:val="0"/>
          <w:color w:val="auto"/>
          <w:kern w:val="2"/>
          <w:sz w:val="24"/>
          <w:szCs w:val="24"/>
          <w:lang w:val="en-US" w:eastAsia="zh-CN" w:bidi="ar-SA"/>
        </w:rPr>
        <w:t>（2）《农田灌溉水质标准》（GB 5084-2005）中对农灌水水质指标的</w:t>
      </w:r>
      <w:r>
        <w:rPr>
          <w:rFonts w:hint="default" w:ascii="Times New Roman" w:hAnsi="Times New Roman" w:eastAsia="宋体" w:cs="宋体"/>
          <w:b w:val="0"/>
          <w:bCs/>
          <w:snapToGrid w:val="0"/>
          <w:color w:val="auto"/>
          <w:kern w:val="2"/>
          <w:sz w:val="24"/>
          <w:szCs w:val="24"/>
          <w:lang w:val="en-US" w:eastAsia="zh-CN" w:bidi="ar-SA"/>
        </w:rPr>
        <w:t>BOD</w:t>
      </w:r>
      <w:r>
        <w:rPr>
          <w:rFonts w:hint="eastAsia" w:ascii="Times New Roman" w:hAnsi="Times New Roman" w:eastAsia="宋体" w:cs="宋体"/>
          <w:b w:val="0"/>
          <w:bCs/>
          <w:snapToGrid w:val="0"/>
          <w:color w:val="auto"/>
          <w:kern w:val="2"/>
          <w:sz w:val="24"/>
          <w:szCs w:val="24"/>
          <w:lang w:val="en-US" w:eastAsia="zh-CN" w:bidi="ar-SA"/>
        </w:rPr>
        <w:t>做出了要求，其中五日生化需氧量旱作不超过</w:t>
      </w:r>
      <w:r>
        <w:rPr>
          <w:rFonts w:hint="default" w:ascii="Times New Roman" w:hAnsi="Times New Roman" w:eastAsia="宋体" w:cs="宋体"/>
          <w:b w:val="0"/>
          <w:bCs/>
          <w:snapToGrid w:val="0"/>
          <w:color w:val="auto"/>
          <w:kern w:val="2"/>
          <w:sz w:val="24"/>
          <w:szCs w:val="24"/>
          <w:lang w:val="en-US" w:eastAsia="zh-CN" w:bidi="ar-SA"/>
        </w:rPr>
        <w:t>100mg/L</w:t>
      </w:r>
      <w:r>
        <w:rPr>
          <w:rFonts w:hint="eastAsia" w:ascii="Times New Roman" w:hAnsi="Times New Roman" w:eastAsia="宋体" w:cs="宋体"/>
          <w:b w:val="0"/>
          <w:bCs/>
          <w:snapToGrid w:val="0"/>
          <w:color w:val="auto"/>
          <w:kern w:val="2"/>
          <w:sz w:val="24"/>
          <w:szCs w:val="24"/>
          <w:lang w:val="en-US" w:eastAsia="zh-CN" w:bidi="ar-SA"/>
        </w:rPr>
        <w:t>。农灌水主要考虑作物全生育期的施用条件，而本项目的加工废水主要作为基肥冬灌施用，气温低，生化反应速度慢、周期长，对农作物影响较小。根据美国《</w:t>
      </w:r>
      <w:r>
        <w:rPr>
          <w:rFonts w:hint="default" w:ascii="Times New Roman" w:hAnsi="Times New Roman" w:eastAsia="宋体" w:cs="宋体"/>
          <w:b w:val="0"/>
          <w:bCs/>
          <w:snapToGrid w:val="0"/>
          <w:color w:val="auto"/>
          <w:kern w:val="2"/>
          <w:sz w:val="24"/>
          <w:szCs w:val="24"/>
          <w:lang w:val="en-US" w:eastAsia="zh-CN" w:bidi="ar-SA"/>
        </w:rPr>
        <w:t>Manual of good practice for land application of food processing/rinse water</w:t>
      </w:r>
      <w:r>
        <w:rPr>
          <w:rFonts w:hint="eastAsia" w:ascii="Times New Roman" w:hAnsi="Times New Roman" w:eastAsia="宋体" w:cs="宋体"/>
          <w:b w:val="0"/>
          <w:bCs/>
          <w:snapToGrid w:val="0"/>
          <w:color w:val="auto"/>
          <w:kern w:val="2"/>
          <w:sz w:val="24"/>
          <w:szCs w:val="24"/>
          <w:lang w:val="en-US" w:eastAsia="zh-CN" w:bidi="ar-SA"/>
        </w:rPr>
        <w:t>》中主要以</w:t>
      </w:r>
      <w:r>
        <w:rPr>
          <w:rFonts w:hint="default" w:ascii="Times New Roman" w:hAnsi="Times New Roman" w:eastAsia="宋体" w:cs="宋体"/>
          <w:b w:val="0"/>
          <w:bCs/>
          <w:snapToGrid w:val="0"/>
          <w:color w:val="auto"/>
          <w:kern w:val="2"/>
          <w:sz w:val="24"/>
          <w:szCs w:val="24"/>
          <w:lang w:val="en-US" w:eastAsia="zh-CN" w:bidi="ar-SA"/>
        </w:rPr>
        <w:t>BOD</w:t>
      </w:r>
      <w:r>
        <w:rPr>
          <w:rFonts w:hint="eastAsia" w:ascii="Times New Roman" w:hAnsi="Times New Roman" w:eastAsia="宋体" w:cs="宋体"/>
          <w:b w:val="0"/>
          <w:bCs/>
          <w:snapToGrid w:val="0"/>
          <w:color w:val="auto"/>
          <w:kern w:val="2"/>
          <w:sz w:val="24"/>
          <w:szCs w:val="24"/>
          <w:lang w:val="en-US" w:eastAsia="zh-CN" w:bidi="ar-SA"/>
        </w:rPr>
        <w:t>负荷率（</w:t>
      </w:r>
      <w:r>
        <w:rPr>
          <w:rFonts w:hint="default" w:ascii="Times New Roman" w:hAnsi="Times New Roman" w:eastAsia="宋体" w:cs="宋体"/>
          <w:b w:val="0"/>
          <w:bCs/>
          <w:snapToGrid w:val="0"/>
          <w:color w:val="auto"/>
          <w:kern w:val="2"/>
          <w:sz w:val="24"/>
          <w:szCs w:val="24"/>
          <w:lang w:val="en-US" w:eastAsia="zh-CN" w:bidi="ar-SA"/>
        </w:rPr>
        <w:t>BOD</w:t>
      </w:r>
      <w:r>
        <w:rPr>
          <w:rFonts w:hint="eastAsia" w:ascii="Times New Roman" w:hAnsi="Times New Roman" w:eastAsia="宋体" w:cs="宋体"/>
          <w:b w:val="0"/>
          <w:bCs/>
          <w:snapToGrid w:val="0"/>
          <w:color w:val="auto"/>
          <w:kern w:val="2"/>
          <w:sz w:val="24"/>
          <w:szCs w:val="24"/>
          <w:lang w:val="en-US" w:eastAsia="zh-CN" w:bidi="ar-SA"/>
        </w:rPr>
        <w:t xml:space="preserve"> </w:t>
      </w:r>
      <w:r>
        <w:rPr>
          <w:rFonts w:hint="default" w:ascii="Times New Roman" w:hAnsi="Times New Roman" w:eastAsia="宋体" w:cs="宋体"/>
          <w:b w:val="0"/>
          <w:bCs/>
          <w:snapToGrid w:val="0"/>
          <w:color w:val="auto"/>
          <w:kern w:val="2"/>
          <w:sz w:val="24"/>
          <w:szCs w:val="24"/>
          <w:lang w:val="en-US" w:eastAsia="zh-CN" w:bidi="ar-SA"/>
        </w:rPr>
        <w:t>loading rate</w:t>
      </w:r>
      <w:r>
        <w:rPr>
          <w:rFonts w:hint="eastAsia" w:ascii="Times New Roman" w:hAnsi="Times New Roman" w:eastAsia="宋体" w:cs="宋体"/>
          <w:b w:val="0"/>
          <w:bCs/>
          <w:snapToGrid w:val="0"/>
          <w:color w:val="auto"/>
          <w:kern w:val="2"/>
          <w:sz w:val="24"/>
          <w:szCs w:val="24"/>
          <w:lang w:val="en-US" w:eastAsia="zh-CN" w:bidi="ar-SA"/>
        </w:rPr>
        <w:t>）控制进入土壤的需氧有机物量，对废水的五日生化需氧量及化学需氧量浓度未做具体限制要求。经综合考虑后，不将五日生化需氧量列入还田利用水质控制指标，但要选择适宜的施用时间和施用方式，控制单位土地面积五日生化需氧量施用总量。</w:t>
      </w:r>
    </w:p>
    <w:p w14:paraId="0B9D8207">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4.10.2、控制项目</w:t>
      </w:r>
    </w:p>
    <w:p w14:paraId="183F35A2">
      <w:pPr>
        <w:pStyle w:val="3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宋体"/>
          <w:b w:val="0"/>
          <w:bCs/>
          <w:color w:val="auto"/>
          <w:lang w:val="en-US" w:eastAsia="zh-CN"/>
        </w:rPr>
      </w:pPr>
      <w:r>
        <w:rPr>
          <w:rFonts w:hint="eastAsia" w:ascii="Times New Roman" w:hAnsi="Times New Roman" w:eastAsia="宋体" w:cs="宋体"/>
          <w:b w:val="0"/>
          <w:bCs/>
          <w:color w:val="auto"/>
          <w:lang w:val="en-US" w:eastAsia="zh-CN"/>
        </w:rPr>
        <w:t>本项目加工废水汁水水质重金属、无机盐浓度应满足《农田灌溉水质标准》（GB5084-2021）中相关限值标准，其他控制项目应满足《农田沼液》（GB/T40750-2021）中相关限值标准；沼渣应满足《沼肥》（NY/T2596-2022）中相关限值标准。本项目加工废水汁水控制项目分为基本控制项目和选择性控制项目，加工废水汁水水质不符合表4-14规定，不得还田利用；加工废水汁水水质不符合表4-15的规定，可还田利用，但应对其可能导致的不利影响进行评估，确定相应处理措施。</w:t>
      </w:r>
    </w:p>
    <w:p w14:paraId="74529142">
      <w:pPr>
        <w:pStyle w:val="30"/>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Times New Roman" w:hAnsi="Times New Roman" w:eastAsia="宋体" w:cs="宋体"/>
          <w:b/>
          <w:bCs w:val="0"/>
          <w:color w:val="auto"/>
          <w:lang w:val="en-US" w:eastAsia="zh-CN"/>
        </w:rPr>
      </w:pPr>
      <w:r>
        <w:rPr>
          <w:rFonts w:hint="eastAsia" w:ascii="Times New Roman" w:hAnsi="Times New Roman" w:eastAsia="宋体" w:cs="宋体"/>
          <w:b/>
          <w:bCs w:val="0"/>
          <w:color w:val="auto"/>
          <w:lang w:val="en-US" w:eastAsia="zh-CN"/>
        </w:rPr>
        <w:t>表4-14   加工废水汁水还田利用基本控制项目及限值</w:t>
      </w:r>
    </w:p>
    <w:tbl>
      <w:tblPr>
        <w:tblStyle w:val="2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06"/>
        <w:gridCol w:w="1631"/>
        <w:gridCol w:w="2712"/>
        <w:gridCol w:w="3370"/>
      </w:tblGrid>
      <w:tr w14:paraId="1C8FE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73" w:type="pct"/>
            <w:tcBorders>
              <w:tl2br w:val="nil"/>
              <w:tr2bl w:val="nil"/>
            </w:tcBorders>
            <w:shd w:val="clear" w:color="auto" w:fill="auto"/>
            <w:noWrap/>
            <w:vAlign w:val="center"/>
          </w:tcPr>
          <w:p w14:paraId="50DFDF9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b/>
                <w:bCs/>
                <w:i w:val="0"/>
                <w:iCs w:val="0"/>
                <w:snapToGrid w:val="0"/>
                <w:color w:val="auto"/>
                <w:kern w:val="0"/>
                <w:sz w:val="21"/>
                <w:szCs w:val="21"/>
                <w:u w:val="none"/>
                <w:lang w:val="en-US" w:eastAsia="zh-CN" w:bidi="ar"/>
              </w:rPr>
            </w:pPr>
            <w:r>
              <w:rPr>
                <w:rFonts w:hint="eastAsia" w:ascii="Times New Roman" w:hAnsi="Times New Roman" w:eastAsia="宋体" w:cs="宋体"/>
                <w:b/>
                <w:bCs/>
                <w:i w:val="0"/>
                <w:iCs w:val="0"/>
                <w:snapToGrid w:val="0"/>
                <w:color w:val="auto"/>
                <w:kern w:val="0"/>
                <w:sz w:val="21"/>
                <w:szCs w:val="21"/>
                <w:u w:val="none"/>
                <w:lang w:val="en-US" w:eastAsia="zh-CN" w:bidi="ar"/>
              </w:rPr>
              <w:t>序号</w:t>
            </w:r>
          </w:p>
        </w:tc>
        <w:tc>
          <w:tcPr>
            <w:tcW w:w="2549" w:type="pct"/>
            <w:gridSpan w:val="2"/>
            <w:tcBorders>
              <w:tl2br w:val="nil"/>
              <w:tr2bl w:val="nil"/>
            </w:tcBorders>
            <w:shd w:val="clear" w:color="auto" w:fill="auto"/>
            <w:noWrap/>
            <w:vAlign w:val="center"/>
          </w:tcPr>
          <w:p w14:paraId="040A38F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b/>
                <w:bCs/>
                <w:i w:val="0"/>
                <w:iCs w:val="0"/>
                <w:snapToGrid w:val="0"/>
                <w:color w:val="auto"/>
                <w:kern w:val="0"/>
                <w:sz w:val="21"/>
                <w:szCs w:val="21"/>
                <w:u w:val="none"/>
                <w:lang w:val="en-US" w:eastAsia="zh-CN" w:bidi="ar"/>
              </w:rPr>
            </w:pPr>
            <w:r>
              <w:rPr>
                <w:rFonts w:hint="eastAsia" w:ascii="Times New Roman" w:hAnsi="Times New Roman" w:eastAsia="宋体" w:cs="宋体"/>
                <w:b/>
                <w:bCs/>
                <w:i w:val="0"/>
                <w:iCs w:val="0"/>
                <w:snapToGrid w:val="0"/>
                <w:color w:val="auto"/>
                <w:kern w:val="0"/>
                <w:sz w:val="21"/>
                <w:szCs w:val="21"/>
                <w:u w:val="none"/>
                <w:lang w:val="en-US" w:eastAsia="zh-CN" w:bidi="ar"/>
              </w:rPr>
              <w:t>项目种类</w:t>
            </w:r>
          </w:p>
        </w:tc>
        <w:tc>
          <w:tcPr>
            <w:tcW w:w="1977" w:type="pct"/>
            <w:tcBorders>
              <w:tl2br w:val="nil"/>
              <w:tr2bl w:val="nil"/>
            </w:tcBorders>
            <w:shd w:val="clear" w:color="auto" w:fill="auto"/>
            <w:noWrap/>
            <w:vAlign w:val="center"/>
          </w:tcPr>
          <w:p w14:paraId="35E4720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b/>
                <w:bCs/>
                <w:i w:val="0"/>
                <w:iCs w:val="0"/>
                <w:snapToGrid w:val="0"/>
                <w:color w:val="auto"/>
                <w:kern w:val="0"/>
                <w:sz w:val="21"/>
                <w:szCs w:val="21"/>
                <w:u w:val="none"/>
                <w:lang w:val="en-US" w:eastAsia="zh-CN" w:bidi="ar"/>
              </w:rPr>
            </w:pPr>
            <w:r>
              <w:rPr>
                <w:rFonts w:hint="eastAsia" w:ascii="Times New Roman" w:hAnsi="Times New Roman" w:eastAsia="宋体" w:cs="宋体"/>
                <w:b/>
                <w:bCs/>
                <w:i w:val="0"/>
                <w:iCs w:val="0"/>
                <w:snapToGrid w:val="0"/>
                <w:color w:val="auto"/>
                <w:kern w:val="0"/>
                <w:sz w:val="21"/>
                <w:szCs w:val="21"/>
                <w:u w:val="none"/>
                <w:lang w:val="en-US" w:eastAsia="zh-CN" w:bidi="ar"/>
              </w:rPr>
              <w:t>限值</w:t>
            </w:r>
          </w:p>
        </w:tc>
      </w:tr>
      <w:tr w14:paraId="7395C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73" w:type="pct"/>
            <w:tcBorders>
              <w:tl2br w:val="nil"/>
              <w:tr2bl w:val="nil"/>
            </w:tcBorders>
            <w:shd w:val="clear" w:color="auto" w:fill="auto"/>
            <w:noWrap/>
            <w:vAlign w:val="center"/>
          </w:tcPr>
          <w:p w14:paraId="6247C09F">
            <w:pPr>
              <w:keepNext w:val="0"/>
              <w:keepLines w:val="0"/>
              <w:pageBreakBefore w:val="0"/>
              <w:widowControl/>
              <w:numPr>
                <w:ilvl w:val="0"/>
                <w:numId w:val="3"/>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49" w:type="pct"/>
            <w:gridSpan w:val="2"/>
            <w:tcBorders>
              <w:tl2br w:val="nil"/>
              <w:tr2bl w:val="nil"/>
            </w:tcBorders>
            <w:shd w:val="clear" w:color="auto" w:fill="auto"/>
            <w:noWrap/>
            <w:vAlign w:val="center"/>
          </w:tcPr>
          <w:p w14:paraId="16CFF1B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酸碱度（pH值）</w:t>
            </w:r>
          </w:p>
        </w:tc>
        <w:tc>
          <w:tcPr>
            <w:tcW w:w="1977" w:type="pct"/>
            <w:tcBorders>
              <w:tl2br w:val="nil"/>
              <w:tr2bl w:val="nil"/>
            </w:tcBorders>
            <w:shd w:val="clear" w:color="auto" w:fill="auto"/>
            <w:noWrap/>
            <w:vAlign w:val="center"/>
          </w:tcPr>
          <w:p w14:paraId="0EDAF73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r>
              <w:rPr>
                <w:rFonts w:hint="eastAsia" w:ascii="Times New Roman" w:hAnsi="Times New Roman" w:eastAsia="宋体" w:cs="宋体"/>
                <w:i w:val="0"/>
                <w:iCs w:val="0"/>
                <w:snapToGrid w:val="0"/>
                <w:color w:val="auto"/>
                <w:kern w:val="0"/>
                <w:sz w:val="21"/>
                <w:szCs w:val="21"/>
                <w:u w:val="none"/>
                <w:lang w:val="en-US" w:eastAsia="zh-CN" w:bidi="ar"/>
              </w:rPr>
              <w:t>5.5~8.5</w:t>
            </w:r>
          </w:p>
        </w:tc>
      </w:tr>
      <w:tr w14:paraId="51BEF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73" w:type="pct"/>
            <w:tcBorders>
              <w:tl2br w:val="nil"/>
              <w:tr2bl w:val="nil"/>
            </w:tcBorders>
            <w:shd w:val="clear" w:color="auto" w:fill="auto"/>
            <w:noWrap/>
            <w:vAlign w:val="center"/>
          </w:tcPr>
          <w:p w14:paraId="6638B0A0">
            <w:pPr>
              <w:keepNext w:val="0"/>
              <w:keepLines w:val="0"/>
              <w:pageBreakBefore w:val="0"/>
              <w:widowControl/>
              <w:numPr>
                <w:ilvl w:val="0"/>
                <w:numId w:val="3"/>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49" w:type="pct"/>
            <w:gridSpan w:val="2"/>
            <w:tcBorders>
              <w:tl2br w:val="nil"/>
              <w:tr2bl w:val="nil"/>
            </w:tcBorders>
            <w:shd w:val="clear" w:color="auto" w:fill="auto"/>
            <w:noWrap/>
            <w:vAlign w:val="center"/>
          </w:tcPr>
          <w:p w14:paraId="2058061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水不溶物（g/L）</w:t>
            </w:r>
          </w:p>
        </w:tc>
        <w:tc>
          <w:tcPr>
            <w:tcW w:w="1977" w:type="pct"/>
            <w:tcBorders>
              <w:tl2br w:val="nil"/>
              <w:tr2bl w:val="nil"/>
            </w:tcBorders>
            <w:shd w:val="clear" w:color="auto" w:fill="auto"/>
            <w:noWrap/>
            <w:vAlign w:val="center"/>
          </w:tcPr>
          <w:p w14:paraId="2DBD093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r>
              <w:rPr>
                <w:rFonts w:hint="eastAsia" w:ascii="Times New Roman" w:hAnsi="Times New Roman" w:eastAsia="宋体" w:cs="宋体"/>
                <w:i w:val="0"/>
                <w:iCs w:val="0"/>
                <w:snapToGrid w:val="0"/>
                <w:color w:val="auto"/>
                <w:kern w:val="0"/>
                <w:sz w:val="21"/>
                <w:szCs w:val="21"/>
                <w:u w:val="none"/>
                <w:lang w:val="en-US" w:eastAsia="zh-CN" w:bidi="ar"/>
              </w:rPr>
              <w:t>≤50</w:t>
            </w:r>
          </w:p>
        </w:tc>
      </w:tr>
      <w:tr w14:paraId="70C31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73" w:type="pct"/>
            <w:tcBorders>
              <w:tl2br w:val="nil"/>
              <w:tr2bl w:val="nil"/>
            </w:tcBorders>
            <w:shd w:val="clear" w:color="auto" w:fill="auto"/>
            <w:noWrap/>
            <w:vAlign w:val="center"/>
          </w:tcPr>
          <w:p w14:paraId="737FB83D">
            <w:pPr>
              <w:keepNext w:val="0"/>
              <w:keepLines w:val="0"/>
              <w:pageBreakBefore w:val="0"/>
              <w:widowControl/>
              <w:numPr>
                <w:ilvl w:val="0"/>
                <w:numId w:val="3"/>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49" w:type="pct"/>
            <w:gridSpan w:val="2"/>
            <w:tcBorders>
              <w:tl2br w:val="nil"/>
              <w:tr2bl w:val="nil"/>
            </w:tcBorders>
            <w:shd w:val="clear" w:color="auto" w:fill="auto"/>
            <w:noWrap/>
            <w:vAlign w:val="center"/>
          </w:tcPr>
          <w:p w14:paraId="3872CA3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蛔虫卵死亡率/%</w:t>
            </w:r>
          </w:p>
        </w:tc>
        <w:tc>
          <w:tcPr>
            <w:tcW w:w="1977" w:type="pct"/>
            <w:tcBorders>
              <w:tl2br w:val="nil"/>
              <w:tr2bl w:val="nil"/>
            </w:tcBorders>
            <w:shd w:val="clear" w:color="auto" w:fill="auto"/>
            <w:noWrap/>
            <w:vAlign w:val="center"/>
          </w:tcPr>
          <w:p w14:paraId="6D12586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r>
              <w:rPr>
                <w:rFonts w:hint="eastAsia" w:ascii="Times New Roman" w:hAnsi="Times New Roman" w:eastAsia="宋体" w:cs="宋体"/>
                <w:i w:val="0"/>
                <w:iCs w:val="0"/>
                <w:snapToGrid w:val="0"/>
                <w:color w:val="auto"/>
                <w:kern w:val="0"/>
                <w:sz w:val="21"/>
                <w:szCs w:val="21"/>
                <w:u w:val="none"/>
                <w:lang w:val="en-US" w:eastAsia="zh-CN" w:bidi="ar"/>
              </w:rPr>
              <w:t>≥95</w:t>
            </w:r>
          </w:p>
        </w:tc>
      </w:tr>
      <w:tr w14:paraId="3D57B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73" w:type="pct"/>
            <w:tcBorders>
              <w:tl2br w:val="nil"/>
              <w:tr2bl w:val="nil"/>
            </w:tcBorders>
            <w:shd w:val="clear" w:color="auto" w:fill="auto"/>
            <w:noWrap/>
            <w:vAlign w:val="center"/>
          </w:tcPr>
          <w:p w14:paraId="4521CB21">
            <w:pPr>
              <w:keepNext w:val="0"/>
              <w:keepLines w:val="0"/>
              <w:pageBreakBefore w:val="0"/>
              <w:widowControl/>
              <w:numPr>
                <w:ilvl w:val="0"/>
                <w:numId w:val="3"/>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49" w:type="pct"/>
            <w:gridSpan w:val="2"/>
            <w:tcBorders>
              <w:tl2br w:val="nil"/>
              <w:tr2bl w:val="nil"/>
            </w:tcBorders>
            <w:shd w:val="clear" w:color="auto" w:fill="auto"/>
            <w:noWrap/>
            <w:vAlign w:val="center"/>
          </w:tcPr>
          <w:p w14:paraId="19F4EE6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臭气排放浓度（无量纲）</w:t>
            </w:r>
          </w:p>
        </w:tc>
        <w:tc>
          <w:tcPr>
            <w:tcW w:w="1977" w:type="pct"/>
            <w:tcBorders>
              <w:tl2br w:val="nil"/>
              <w:tr2bl w:val="nil"/>
            </w:tcBorders>
            <w:shd w:val="clear" w:color="auto" w:fill="auto"/>
            <w:noWrap/>
            <w:vAlign w:val="center"/>
          </w:tcPr>
          <w:p w14:paraId="2DAE9B1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r>
              <w:rPr>
                <w:rFonts w:hint="eastAsia" w:ascii="Times New Roman" w:hAnsi="Times New Roman" w:eastAsia="宋体" w:cs="宋体"/>
                <w:i w:val="0"/>
                <w:iCs w:val="0"/>
                <w:snapToGrid w:val="0"/>
                <w:color w:val="auto"/>
                <w:kern w:val="0"/>
                <w:sz w:val="21"/>
                <w:szCs w:val="21"/>
                <w:u w:val="none"/>
                <w:lang w:val="en-US" w:eastAsia="zh-CN" w:bidi="ar"/>
              </w:rPr>
              <w:t>≤70</w:t>
            </w:r>
          </w:p>
        </w:tc>
      </w:tr>
      <w:tr w14:paraId="25A0B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73" w:type="pct"/>
            <w:tcBorders>
              <w:tl2br w:val="nil"/>
              <w:tr2bl w:val="nil"/>
            </w:tcBorders>
            <w:shd w:val="clear" w:color="auto" w:fill="auto"/>
            <w:noWrap/>
            <w:vAlign w:val="center"/>
          </w:tcPr>
          <w:p w14:paraId="168CE950">
            <w:pPr>
              <w:keepNext w:val="0"/>
              <w:keepLines w:val="0"/>
              <w:pageBreakBefore w:val="0"/>
              <w:widowControl/>
              <w:numPr>
                <w:ilvl w:val="0"/>
                <w:numId w:val="3"/>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49" w:type="pct"/>
            <w:gridSpan w:val="2"/>
            <w:tcBorders>
              <w:tl2br w:val="nil"/>
              <w:tr2bl w:val="nil"/>
            </w:tcBorders>
            <w:shd w:val="clear" w:color="auto" w:fill="auto"/>
            <w:noWrap/>
            <w:vAlign w:val="center"/>
          </w:tcPr>
          <w:p w14:paraId="5713DF9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总养分（N+P</w:t>
            </w:r>
            <w:r>
              <w:rPr>
                <w:rFonts w:hint="eastAsia" w:ascii="Times New Roman" w:hAnsi="Times New Roman" w:eastAsia="宋体" w:cs="宋体"/>
                <w:i w:val="0"/>
                <w:iCs w:val="0"/>
                <w:snapToGrid w:val="0"/>
                <w:color w:val="auto"/>
                <w:kern w:val="0"/>
                <w:sz w:val="21"/>
                <w:szCs w:val="21"/>
                <w:u w:val="none"/>
                <w:vertAlign w:val="subscript"/>
                <w:lang w:val="en-US" w:eastAsia="zh-CN" w:bidi="ar"/>
              </w:rPr>
              <w:t>2</w:t>
            </w:r>
            <w:r>
              <w:rPr>
                <w:rFonts w:hint="eastAsia" w:ascii="Times New Roman" w:hAnsi="Times New Roman" w:eastAsia="宋体" w:cs="宋体"/>
                <w:i w:val="0"/>
                <w:iCs w:val="0"/>
                <w:snapToGrid w:val="0"/>
                <w:color w:val="auto"/>
                <w:kern w:val="0"/>
                <w:sz w:val="21"/>
                <w:szCs w:val="21"/>
                <w:u w:val="none"/>
                <w:lang w:val="en-US" w:eastAsia="zh-CN" w:bidi="ar"/>
              </w:rPr>
              <w:t>O</w:t>
            </w:r>
            <w:r>
              <w:rPr>
                <w:rFonts w:hint="eastAsia" w:ascii="Times New Roman" w:hAnsi="Times New Roman" w:eastAsia="宋体" w:cs="宋体"/>
                <w:i w:val="0"/>
                <w:iCs w:val="0"/>
                <w:snapToGrid w:val="0"/>
                <w:color w:val="auto"/>
                <w:kern w:val="0"/>
                <w:sz w:val="21"/>
                <w:szCs w:val="21"/>
                <w:u w:val="none"/>
                <w:vertAlign w:val="subscript"/>
                <w:lang w:val="en-US" w:eastAsia="zh-CN" w:bidi="ar"/>
              </w:rPr>
              <w:t>5</w:t>
            </w:r>
            <w:r>
              <w:rPr>
                <w:rFonts w:hint="eastAsia" w:ascii="Times New Roman" w:hAnsi="Times New Roman" w:eastAsia="宋体" w:cs="宋体"/>
                <w:i w:val="0"/>
                <w:iCs w:val="0"/>
                <w:snapToGrid w:val="0"/>
                <w:color w:val="auto"/>
                <w:kern w:val="0"/>
                <w:sz w:val="21"/>
                <w:szCs w:val="21"/>
                <w:u w:val="none"/>
                <w:lang w:val="en-US" w:eastAsia="zh-CN" w:bidi="ar"/>
              </w:rPr>
              <w:t>）/（g/L）</w:t>
            </w:r>
          </w:p>
        </w:tc>
        <w:tc>
          <w:tcPr>
            <w:tcW w:w="1977" w:type="pct"/>
            <w:tcBorders>
              <w:tl2br w:val="nil"/>
              <w:tr2bl w:val="nil"/>
            </w:tcBorders>
            <w:shd w:val="clear" w:color="auto" w:fill="auto"/>
            <w:noWrap/>
            <w:vAlign w:val="center"/>
          </w:tcPr>
          <w:p w14:paraId="7AE5AF4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sz w:val="21"/>
                <w:szCs w:val="21"/>
                <w:u w:val="none"/>
                <w:lang w:val="en-US" w:eastAsia="zh-CN"/>
              </w:rPr>
              <w:t>-</w:t>
            </w:r>
          </w:p>
        </w:tc>
      </w:tr>
      <w:tr w14:paraId="752C2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73" w:type="pct"/>
            <w:tcBorders>
              <w:tl2br w:val="nil"/>
              <w:tr2bl w:val="nil"/>
            </w:tcBorders>
            <w:shd w:val="clear" w:color="auto" w:fill="auto"/>
            <w:noWrap/>
            <w:vAlign w:val="center"/>
          </w:tcPr>
          <w:p w14:paraId="2A2EEAC1">
            <w:pPr>
              <w:keepNext w:val="0"/>
              <w:keepLines w:val="0"/>
              <w:pageBreakBefore w:val="0"/>
              <w:widowControl/>
              <w:numPr>
                <w:ilvl w:val="0"/>
                <w:numId w:val="3"/>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49" w:type="pct"/>
            <w:gridSpan w:val="2"/>
            <w:tcBorders>
              <w:tl2br w:val="nil"/>
              <w:tr2bl w:val="nil"/>
            </w:tcBorders>
            <w:shd w:val="clear" w:color="auto" w:fill="auto"/>
            <w:noWrap/>
            <w:vAlign w:val="center"/>
          </w:tcPr>
          <w:p w14:paraId="032A45F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有机质/（g/L）</w:t>
            </w:r>
          </w:p>
        </w:tc>
        <w:tc>
          <w:tcPr>
            <w:tcW w:w="1977" w:type="pct"/>
            <w:tcBorders>
              <w:tl2br w:val="nil"/>
              <w:tr2bl w:val="nil"/>
            </w:tcBorders>
            <w:shd w:val="clear" w:color="auto" w:fill="auto"/>
            <w:noWrap/>
            <w:vAlign w:val="center"/>
          </w:tcPr>
          <w:p w14:paraId="5DACBB4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color w:val="auto"/>
                <w:sz w:val="21"/>
                <w:szCs w:val="21"/>
                <w:u w:val="none"/>
                <w:lang w:val="en-US" w:eastAsia="zh-CN"/>
              </w:rPr>
            </w:pPr>
            <w:r>
              <w:rPr>
                <w:rFonts w:hint="eastAsia" w:ascii="Times New Roman" w:hAnsi="Times New Roman" w:eastAsia="宋体" w:cs="宋体"/>
                <w:i w:val="0"/>
                <w:iCs w:val="0"/>
                <w:color w:val="auto"/>
                <w:sz w:val="21"/>
                <w:szCs w:val="21"/>
                <w:u w:val="none"/>
                <w:lang w:val="en-US" w:eastAsia="zh-CN"/>
              </w:rPr>
              <w:t>-</w:t>
            </w:r>
          </w:p>
        </w:tc>
      </w:tr>
      <w:tr w14:paraId="0EAE0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73" w:type="pct"/>
            <w:tcBorders>
              <w:tl2br w:val="nil"/>
              <w:tr2bl w:val="nil"/>
            </w:tcBorders>
            <w:shd w:val="clear" w:color="auto" w:fill="auto"/>
            <w:noWrap/>
            <w:vAlign w:val="center"/>
          </w:tcPr>
          <w:p w14:paraId="0C0FD742">
            <w:pPr>
              <w:keepNext w:val="0"/>
              <w:keepLines w:val="0"/>
              <w:pageBreakBefore w:val="0"/>
              <w:widowControl/>
              <w:numPr>
                <w:ilvl w:val="0"/>
                <w:numId w:val="3"/>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49" w:type="pct"/>
            <w:gridSpan w:val="2"/>
            <w:tcBorders>
              <w:tl2br w:val="nil"/>
              <w:tr2bl w:val="nil"/>
            </w:tcBorders>
            <w:shd w:val="clear" w:color="auto" w:fill="auto"/>
            <w:noWrap/>
            <w:vAlign w:val="center"/>
          </w:tcPr>
          <w:p w14:paraId="78203B7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腐植酸/（g/L）</w:t>
            </w:r>
          </w:p>
        </w:tc>
        <w:tc>
          <w:tcPr>
            <w:tcW w:w="1977" w:type="pct"/>
            <w:tcBorders>
              <w:tl2br w:val="nil"/>
              <w:tr2bl w:val="nil"/>
            </w:tcBorders>
            <w:shd w:val="clear" w:color="auto" w:fill="auto"/>
            <w:noWrap/>
            <w:vAlign w:val="center"/>
          </w:tcPr>
          <w:p w14:paraId="06A4219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sz w:val="21"/>
                <w:szCs w:val="21"/>
                <w:u w:val="none"/>
                <w:lang w:val="en-US" w:eastAsia="zh-CN"/>
              </w:rPr>
              <w:t>-</w:t>
            </w:r>
          </w:p>
        </w:tc>
      </w:tr>
      <w:tr w14:paraId="74798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73" w:type="pct"/>
            <w:tcBorders>
              <w:tl2br w:val="nil"/>
              <w:tr2bl w:val="nil"/>
            </w:tcBorders>
            <w:shd w:val="clear" w:color="auto" w:fill="auto"/>
            <w:noWrap/>
            <w:vAlign w:val="center"/>
          </w:tcPr>
          <w:p w14:paraId="074280D7">
            <w:pPr>
              <w:keepNext w:val="0"/>
              <w:keepLines w:val="0"/>
              <w:pageBreakBefore w:val="0"/>
              <w:widowControl/>
              <w:numPr>
                <w:ilvl w:val="0"/>
                <w:numId w:val="3"/>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957" w:type="pct"/>
            <w:tcBorders>
              <w:tl2br w:val="nil"/>
              <w:tr2bl w:val="nil"/>
            </w:tcBorders>
            <w:shd w:val="clear" w:color="auto" w:fill="auto"/>
            <w:noWrap/>
            <w:vAlign w:val="center"/>
          </w:tcPr>
          <w:p w14:paraId="2CBE345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粪大肠杆菌</w:t>
            </w:r>
          </w:p>
        </w:tc>
        <w:tc>
          <w:tcPr>
            <w:tcW w:w="1592" w:type="pct"/>
            <w:tcBorders>
              <w:tl2br w:val="nil"/>
              <w:tr2bl w:val="nil"/>
            </w:tcBorders>
            <w:shd w:val="clear" w:color="auto" w:fill="auto"/>
            <w:noWrap/>
            <w:vAlign w:val="center"/>
          </w:tcPr>
          <w:p w14:paraId="230D6CA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r>
              <w:rPr>
                <w:rFonts w:hint="eastAsia" w:ascii="Times New Roman" w:hAnsi="Times New Roman" w:eastAsia="宋体" w:cs="宋体"/>
                <w:i w:val="0"/>
                <w:iCs w:val="0"/>
                <w:snapToGrid w:val="0"/>
                <w:color w:val="auto"/>
                <w:kern w:val="0"/>
                <w:sz w:val="21"/>
                <w:szCs w:val="21"/>
                <w:u w:val="none"/>
                <w:lang w:val="en-US" w:eastAsia="zh-CN" w:bidi="ar"/>
              </w:rPr>
              <w:t>中温、常温厌氧发酵</w:t>
            </w:r>
          </w:p>
        </w:tc>
        <w:tc>
          <w:tcPr>
            <w:tcW w:w="1977" w:type="pct"/>
            <w:tcBorders>
              <w:tl2br w:val="nil"/>
              <w:tr2bl w:val="nil"/>
            </w:tcBorders>
            <w:shd w:val="clear" w:color="auto" w:fill="auto"/>
            <w:noWrap/>
            <w:vAlign w:val="center"/>
          </w:tcPr>
          <w:p w14:paraId="66C1718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snapToGrid w:val="0"/>
                <w:color w:val="auto"/>
                <w:kern w:val="0"/>
                <w:sz w:val="21"/>
                <w:szCs w:val="21"/>
                <w:u w:val="none"/>
                <w:lang w:val="en-US" w:eastAsia="zh-CN" w:bidi="ar"/>
              </w:rPr>
            </w:pPr>
            <w:r>
              <w:rPr>
                <w:rFonts w:hint="eastAsia" w:ascii="Times New Roman" w:hAnsi="Times New Roman" w:eastAsia="宋体" w:cs="宋体"/>
                <w:i w:val="0"/>
                <w:iCs w:val="0"/>
                <w:snapToGrid w:val="0"/>
                <w:color w:val="auto"/>
                <w:kern w:val="0"/>
                <w:sz w:val="21"/>
                <w:szCs w:val="21"/>
                <w:u w:val="none"/>
                <w:lang w:val="en-US" w:eastAsia="zh-CN" w:bidi="ar"/>
              </w:rPr>
              <w:t>≥10</w:t>
            </w:r>
            <w:r>
              <w:rPr>
                <w:rFonts w:hint="eastAsia" w:ascii="Times New Roman" w:hAnsi="Times New Roman" w:eastAsia="宋体" w:cs="宋体"/>
                <w:i w:val="0"/>
                <w:iCs w:val="0"/>
                <w:snapToGrid w:val="0"/>
                <w:color w:val="auto"/>
                <w:kern w:val="0"/>
                <w:sz w:val="21"/>
                <w:szCs w:val="21"/>
                <w:u w:val="none"/>
                <w:vertAlign w:val="superscript"/>
                <w:lang w:val="en-US" w:eastAsia="zh-CN" w:bidi="ar"/>
              </w:rPr>
              <w:t>-4</w:t>
            </w:r>
          </w:p>
        </w:tc>
      </w:tr>
      <w:tr w14:paraId="1437B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73" w:type="pct"/>
            <w:tcBorders>
              <w:tl2br w:val="nil"/>
              <w:tr2bl w:val="nil"/>
            </w:tcBorders>
            <w:shd w:val="clear" w:color="auto" w:fill="auto"/>
            <w:noWrap/>
            <w:vAlign w:val="center"/>
          </w:tcPr>
          <w:p w14:paraId="4375AE7D">
            <w:pPr>
              <w:keepNext w:val="0"/>
              <w:keepLines w:val="0"/>
              <w:pageBreakBefore w:val="0"/>
              <w:widowControl/>
              <w:numPr>
                <w:ilvl w:val="0"/>
                <w:numId w:val="3"/>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49" w:type="pct"/>
            <w:gridSpan w:val="2"/>
            <w:tcBorders>
              <w:tl2br w:val="nil"/>
              <w:tr2bl w:val="nil"/>
            </w:tcBorders>
            <w:shd w:val="clear" w:color="auto" w:fill="auto"/>
            <w:noWrap/>
            <w:vAlign w:val="center"/>
          </w:tcPr>
          <w:p w14:paraId="2A6DB32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总砷/（mg/L）</w:t>
            </w:r>
          </w:p>
        </w:tc>
        <w:tc>
          <w:tcPr>
            <w:tcW w:w="1977" w:type="pct"/>
            <w:tcBorders>
              <w:tl2br w:val="nil"/>
              <w:tr2bl w:val="nil"/>
            </w:tcBorders>
            <w:shd w:val="clear" w:color="auto" w:fill="auto"/>
            <w:noWrap/>
            <w:vAlign w:val="center"/>
          </w:tcPr>
          <w:p w14:paraId="177B6B0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color w:val="auto"/>
                <w:sz w:val="21"/>
                <w:szCs w:val="21"/>
                <w:u w:val="none"/>
                <w:lang w:val="en-US"/>
              </w:rPr>
            </w:pPr>
            <w:r>
              <w:rPr>
                <w:rFonts w:hint="eastAsia" w:ascii="Times New Roman" w:hAnsi="Times New Roman" w:eastAsia="宋体" w:cs="宋体"/>
                <w:i w:val="0"/>
                <w:iCs w:val="0"/>
                <w:snapToGrid w:val="0"/>
                <w:color w:val="auto"/>
                <w:kern w:val="0"/>
                <w:sz w:val="21"/>
                <w:szCs w:val="21"/>
                <w:u w:val="none"/>
                <w:lang w:val="en-US" w:eastAsia="zh-CN" w:bidi="ar"/>
              </w:rPr>
              <w:t>≤0.05</w:t>
            </w:r>
          </w:p>
        </w:tc>
      </w:tr>
      <w:tr w14:paraId="06D1B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73" w:type="pct"/>
            <w:tcBorders>
              <w:tl2br w:val="nil"/>
              <w:tr2bl w:val="nil"/>
            </w:tcBorders>
            <w:shd w:val="clear" w:color="auto" w:fill="auto"/>
            <w:noWrap/>
            <w:vAlign w:val="center"/>
          </w:tcPr>
          <w:p w14:paraId="36AE582B">
            <w:pPr>
              <w:keepNext w:val="0"/>
              <w:keepLines w:val="0"/>
              <w:pageBreakBefore w:val="0"/>
              <w:widowControl/>
              <w:numPr>
                <w:ilvl w:val="0"/>
                <w:numId w:val="3"/>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49" w:type="pct"/>
            <w:gridSpan w:val="2"/>
            <w:tcBorders>
              <w:tl2br w:val="nil"/>
              <w:tr2bl w:val="nil"/>
            </w:tcBorders>
            <w:shd w:val="clear" w:color="auto" w:fill="auto"/>
            <w:noWrap/>
            <w:vAlign w:val="center"/>
          </w:tcPr>
          <w:p w14:paraId="3CBE8C5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六价铬/（mg/L）</w:t>
            </w:r>
          </w:p>
        </w:tc>
        <w:tc>
          <w:tcPr>
            <w:tcW w:w="1977" w:type="pct"/>
            <w:tcBorders>
              <w:tl2br w:val="nil"/>
              <w:tr2bl w:val="nil"/>
            </w:tcBorders>
            <w:shd w:val="clear" w:color="auto" w:fill="auto"/>
            <w:noWrap/>
            <w:vAlign w:val="center"/>
          </w:tcPr>
          <w:p w14:paraId="3911E22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color w:val="auto"/>
                <w:sz w:val="21"/>
                <w:szCs w:val="21"/>
                <w:u w:val="none"/>
                <w:lang w:val="en-US"/>
              </w:rPr>
            </w:pPr>
            <w:r>
              <w:rPr>
                <w:rFonts w:hint="eastAsia" w:ascii="Times New Roman" w:hAnsi="Times New Roman" w:eastAsia="宋体" w:cs="宋体"/>
                <w:i w:val="0"/>
                <w:iCs w:val="0"/>
                <w:snapToGrid w:val="0"/>
                <w:color w:val="auto"/>
                <w:kern w:val="0"/>
                <w:sz w:val="21"/>
                <w:szCs w:val="21"/>
                <w:u w:val="none"/>
                <w:lang w:val="en-US" w:eastAsia="zh-CN" w:bidi="ar"/>
              </w:rPr>
              <w:t>≤0.1</w:t>
            </w:r>
          </w:p>
        </w:tc>
      </w:tr>
      <w:tr w14:paraId="5FCD1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73" w:type="pct"/>
            <w:tcBorders>
              <w:tl2br w:val="nil"/>
              <w:tr2bl w:val="nil"/>
            </w:tcBorders>
            <w:shd w:val="clear" w:color="auto" w:fill="auto"/>
            <w:noWrap/>
            <w:vAlign w:val="center"/>
          </w:tcPr>
          <w:p w14:paraId="039A6B57">
            <w:pPr>
              <w:keepNext w:val="0"/>
              <w:keepLines w:val="0"/>
              <w:pageBreakBefore w:val="0"/>
              <w:widowControl/>
              <w:numPr>
                <w:ilvl w:val="0"/>
                <w:numId w:val="3"/>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49" w:type="pct"/>
            <w:gridSpan w:val="2"/>
            <w:tcBorders>
              <w:tl2br w:val="nil"/>
              <w:tr2bl w:val="nil"/>
            </w:tcBorders>
            <w:shd w:val="clear" w:color="auto" w:fill="auto"/>
            <w:noWrap/>
            <w:vAlign w:val="center"/>
          </w:tcPr>
          <w:p w14:paraId="7573FE2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总镉/（mg/L）</w:t>
            </w:r>
          </w:p>
        </w:tc>
        <w:tc>
          <w:tcPr>
            <w:tcW w:w="1977" w:type="pct"/>
            <w:tcBorders>
              <w:tl2br w:val="nil"/>
              <w:tr2bl w:val="nil"/>
            </w:tcBorders>
            <w:shd w:val="clear" w:color="auto" w:fill="auto"/>
            <w:noWrap/>
            <w:vAlign w:val="center"/>
          </w:tcPr>
          <w:p w14:paraId="2FF4A3C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color w:val="auto"/>
                <w:sz w:val="21"/>
                <w:szCs w:val="21"/>
                <w:u w:val="none"/>
                <w:lang w:val="en-US"/>
              </w:rPr>
            </w:pPr>
            <w:r>
              <w:rPr>
                <w:rFonts w:hint="eastAsia" w:ascii="Times New Roman" w:hAnsi="Times New Roman" w:eastAsia="宋体" w:cs="宋体"/>
                <w:i w:val="0"/>
                <w:iCs w:val="0"/>
                <w:snapToGrid w:val="0"/>
                <w:color w:val="auto"/>
                <w:kern w:val="0"/>
                <w:sz w:val="21"/>
                <w:szCs w:val="21"/>
                <w:u w:val="none"/>
                <w:lang w:val="en-US" w:eastAsia="zh-CN" w:bidi="ar"/>
              </w:rPr>
              <w:t>≤0.01</w:t>
            </w:r>
          </w:p>
        </w:tc>
      </w:tr>
      <w:tr w14:paraId="4960B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73" w:type="pct"/>
            <w:tcBorders>
              <w:tl2br w:val="nil"/>
              <w:tr2bl w:val="nil"/>
            </w:tcBorders>
            <w:shd w:val="clear" w:color="auto" w:fill="auto"/>
            <w:noWrap/>
            <w:vAlign w:val="center"/>
          </w:tcPr>
          <w:p w14:paraId="3E917BF9">
            <w:pPr>
              <w:keepNext w:val="0"/>
              <w:keepLines w:val="0"/>
              <w:pageBreakBefore w:val="0"/>
              <w:widowControl/>
              <w:numPr>
                <w:ilvl w:val="0"/>
                <w:numId w:val="3"/>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49" w:type="pct"/>
            <w:gridSpan w:val="2"/>
            <w:tcBorders>
              <w:tl2br w:val="nil"/>
              <w:tr2bl w:val="nil"/>
            </w:tcBorders>
            <w:shd w:val="clear" w:color="auto" w:fill="auto"/>
            <w:noWrap/>
            <w:vAlign w:val="center"/>
          </w:tcPr>
          <w:p w14:paraId="218279B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总铅/（mg/L）</w:t>
            </w:r>
          </w:p>
        </w:tc>
        <w:tc>
          <w:tcPr>
            <w:tcW w:w="1977" w:type="pct"/>
            <w:tcBorders>
              <w:tl2br w:val="nil"/>
              <w:tr2bl w:val="nil"/>
            </w:tcBorders>
            <w:shd w:val="clear" w:color="auto" w:fill="auto"/>
            <w:noWrap/>
            <w:vAlign w:val="center"/>
          </w:tcPr>
          <w:p w14:paraId="1D6BE95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color w:val="auto"/>
                <w:sz w:val="21"/>
                <w:szCs w:val="21"/>
                <w:u w:val="none"/>
                <w:lang w:val="en-US"/>
              </w:rPr>
            </w:pPr>
            <w:r>
              <w:rPr>
                <w:rFonts w:hint="eastAsia" w:ascii="Times New Roman" w:hAnsi="Times New Roman" w:eastAsia="宋体" w:cs="宋体"/>
                <w:i w:val="0"/>
                <w:iCs w:val="0"/>
                <w:snapToGrid w:val="0"/>
                <w:color w:val="auto"/>
                <w:kern w:val="0"/>
                <w:sz w:val="21"/>
                <w:szCs w:val="21"/>
                <w:u w:val="none"/>
                <w:lang w:val="en-US" w:eastAsia="zh-CN" w:bidi="ar"/>
              </w:rPr>
              <w:t>≤0.2</w:t>
            </w:r>
          </w:p>
        </w:tc>
      </w:tr>
      <w:tr w14:paraId="383AD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73" w:type="pct"/>
            <w:tcBorders>
              <w:tl2br w:val="nil"/>
              <w:tr2bl w:val="nil"/>
            </w:tcBorders>
            <w:shd w:val="clear" w:color="auto" w:fill="auto"/>
            <w:noWrap/>
            <w:vAlign w:val="center"/>
          </w:tcPr>
          <w:p w14:paraId="1C5C2483">
            <w:pPr>
              <w:keepNext w:val="0"/>
              <w:keepLines w:val="0"/>
              <w:pageBreakBefore w:val="0"/>
              <w:widowControl/>
              <w:numPr>
                <w:ilvl w:val="0"/>
                <w:numId w:val="3"/>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49" w:type="pct"/>
            <w:gridSpan w:val="2"/>
            <w:tcBorders>
              <w:tl2br w:val="nil"/>
              <w:tr2bl w:val="nil"/>
            </w:tcBorders>
            <w:shd w:val="clear" w:color="auto" w:fill="auto"/>
            <w:noWrap/>
            <w:vAlign w:val="center"/>
          </w:tcPr>
          <w:p w14:paraId="5F17058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总汞/（mg/L）</w:t>
            </w:r>
          </w:p>
        </w:tc>
        <w:tc>
          <w:tcPr>
            <w:tcW w:w="1977" w:type="pct"/>
            <w:tcBorders>
              <w:tl2br w:val="nil"/>
              <w:tr2bl w:val="nil"/>
            </w:tcBorders>
            <w:shd w:val="clear" w:color="auto" w:fill="auto"/>
            <w:noWrap/>
            <w:vAlign w:val="center"/>
          </w:tcPr>
          <w:p w14:paraId="29EE481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color w:val="auto"/>
                <w:sz w:val="21"/>
                <w:szCs w:val="21"/>
                <w:u w:val="none"/>
                <w:lang w:val="en-US"/>
              </w:rPr>
            </w:pPr>
            <w:r>
              <w:rPr>
                <w:rFonts w:hint="eastAsia" w:ascii="Times New Roman" w:hAnsi="Times New Roman" w:eastAsia="宋体" w:cs="宋体"/>
                <w:i w:val="0"/>
                <w:iCs w:val="0"/>
                <w:snapToGrid w:val="0"/>
                <w:color w:val="auto"/>
                <w:kern w:val="0"/>
                <w:sz w:val="21"/>
                <w:szCs w:val="21"/>
                <w:u w:val="none"/>
                <w:lang w:val="en-US" w:eastAsia="zh-CN" w:bidi="ar"/>
              </w:rPr>
              <w:t>≤0.001</w:t>
            </w:r>
          </w:p>
        </w:tc>
      </w:tr>
      <w:tr w14:paraId="20CEA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473" w:type="pct"/>
            <w:tcBorders>
              <w:tl2br w:val="nil"/>
              <w:tr2bl w:val="nil"/>
            </w:tcBorders>
            <w:shd w:val="clear" w:color="auto" w:fill="auto"/>
            <w:noWrap/>
            <w:vAlign w:val="center"/>
          </w:tcPr>
          <w:p w14:paraId="2AEDC1C7">
            <w:pPr>
              <w:keepNext w:val="0"/>
              <w:keepLines w:val="0"/>
              <w:pageBreakBefore w:val="0"/>
              <w:widowControl/>
              <w:numPr>
                <w:ilvl w:val="0"/>
                <w:numId w:val="3"/>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49" w:type="pct"/>
            <w:gridSpan w:val="2"/>
            <w:tcBorders>
              <w:tl2br w:val="nil"/>
              <w:tr2bl w:val="nil"/>
            </w:tcBorders>
            <w:shd w:val="clear" w:color="auto" w:fill="auto"/>
            <w:noWrap/>
            <w:vAlign w:val="center"/>
          </w:tcPr>
          <w:p w14:paraId="7E5714C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color w:val="auto"/>
                <w:sz w:val="21"/>
                <w:szCs w:val="21"/>
                <w:u w:val="none"/>
                <w:lang w:val="en-US"/>
              </w:rPr>
            </w:pPr>
            <w:r>
              <w:rPr>
                <w:rFonts w:hint="eastAsia" w:ascii="Times New Roman" w:hAnsi="Times New Roman" w:eastAsia="宋体" w:cs="宋体"/>
                <w:i w:val="0"/>
                <w:iCs w:val="0"/>
                <w:snapToGrid w:val="0"/>
                <w:color w:val="auto"/>
                <w:kern w:val="0"/>
                <w:sz w:val="21"/>
                <w:szCs w:val="21"/>
                <w:u w:val="none"/>
                <w:lang w:val="en-US" w:eastAsia="zh-CN" w:bidi="ar"/>
              </w:rPr>
              <w:t>钠吸收比（SAR）</w:t>
            </w:r>
            <w:r>
              <w:rPr>
                <w:rFonts w:hint="eastAsia" w:ascii="Times New Roman" w:hAnsi="Times New Roman" w:eastAsia="宋体" w:cs="宋体"/>
                <w:i w:val="0"/>
                <w:iCs w:val="0"/>
                <w:snapToGrid w:val="0"/>
                <w:color w:val="auto"/>
                <w:kern w:val="0"/>
                <w:sz w:val="21"/>
                <w:szCs w:val="21"/>
                <w:u w:val="none"/>
                <w:vertAlign w:val="superscript"/>
                <w:lang w:val="en-US" w:eastAsia="zh-CN" w:bidi="ar"/>
              </w:rPr>
              <w:t>a</w:t>
            </w:r>
          </w:p>
        </w:tc>
        <w:tc>
          <w:tcPr>
            <w:tcW w:w="1977" w:type="pct"/>
            <w:tcBorders>
              <w:tl2br w:val="nil"/>
              <w:tr2bl w:val="nil"/>
            </w:tcBorders>
            <w:shd w:val="clear" w:color="auto" w:fill="auto"/>
            <w:noWrap/>
            <w:vAlign w:val="center"/>
          </w:tcPr>
          <w:p w14:paraId="121141B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lang w:val="en-US" w:eastAsia="zh-CN"/>
              </w:rPr>
            </w:pPr>
            <w:r>
              <w:rPr>
                <w:rFonts w:hint="eastAsia" w:ascii="Times New Roman" w:hAnsi="Times New Roman" w:eastAsia="宋体" w:cs="宋体"/>
                <w:i w:val="0"/>
                <w:iCs w:val="0"/>
                <w:snapToGrid w:val="0"/>
                <w:color w:val="auto"/>
                <w:kern w:val="0"/>
                <w:sz w:val="21"/>
                <w:szCs w:val="21"/>
                <w:u w:val="none"/>
                <w:lang w:val="en-US" w:eastAsia="zh-CN" w:bidi="ar"/>
              </w:rPr>
              <w:t>≤</w:t>
            </w:r>
            <w:r>
              <w:rPr>
                <w:rFonts w:hint="eastAsia" w:ascii="Times New Roman" w:hAnsi="Times New Roman" w:eastAsia="宋体" w:cs="宋体"/>
                <w:i w:val="0"/>
                <w:iCs w:val="0"/>
                <w:color w:val="auto"/>
                <w:sz w:val="21"/>
                <w:szCs w:val="21"/>
                <w:u w:val="none"/>
                <w:lang w:val="en-US" w:eastAsia="zh-CN"/>
              </w:rPr>
              <w:t>9</w:t>
            </w:r>
          </w:p>
        </w:tc>
      </w:tr>
      <w:tr w14:paraId="013A4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5000" w:type="pct"/>
            <w:gridSpan w:val="4"/>
            <w:tcBorders>
              <w:tl2br w:val="nil"/>
              <w:tr2bl w:val="nil"/>
            </w:tcBorders>
            <w:shd w:val="clear" w:color="auto" w:fill="auto"/>
            <w:noWrap/>
            <w:vAlign w:val="top"/>
          </w:tcPr>
          <w:p w14:paraId="71EE9D1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snapToGrid w:val="0"/>
                <w:color w:val="auto"/>
                <w:kern w:val="0"/>
                <w:sz w:val="21"/>
                <w:szCs w:val="21"/>
                <w:u w:val="none"/>
                <w:lang w:val="en-US" w:eastAsia="zh-CN" w:bidi="ar"/>
              </w:rPr>
            </w:pPr>
            <w:r>
              <w:rPr>
                <w:rFonts w:hint="eastAsia" w:ascii="Times New Roman" w:hAnsi="Times New Roman" w:eastAsia="宋体" w:cs="宋体"/>
                <w:i w:val="0"/>
                <w:iCs w:val="0"/>
                <w:snapToGrid w:val="0"/>
                <w:color w:val="auto"/>
                <w:kern w:val="0"/>
                <w:sz w:val="21"/>
                <w:szCs w:val="21"/>
                <w:u w:val="none"/>
                <w:lang w:val="en-US" w:eastAsia="zh-CN" w:bidi="ar"/>
              </w:rPr>
              <w:t xml:space="preserve">a </w:t>
            </w:r>
            <w:r>
              <w:rPr>
                <w:color w:val="auto"/>
              </w:rPr>
              <w:drawing>
                <wp:inline distT="0" distB="0" distL="114300" distR="114300">
                  <wp:extent cx="1200785" cy="492760"/>
                  <wp:effectExtent l="0" t="0" r="18415" b="254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49"/>
                          <a:stretch>
                            <a:fillRect/>
                          </a:stretch>
                        </pic:blipFill>
                        <pic:spPr>
                          <a:xfrm>
                            <a:off x="0" y="0"/>
                            <a:ext cx="1200785" cy="492760"/>
                          </a:xfrm>
                          <a:prstGeom prst="rect">
                            <a:avLst/>
                          </a:prstGeom>
                          <a:noFill/>
                          <a:ln>
                            <a:noFill/>
                          </a:ln>
                        </pic:spPr>
                      </pic:pic>
                    </a:graphicData>
                  </a:graphic>
                </wp:inline>
              </w:drawing>
            </w:r>
            <w:r>
              <w:rPr>
                <w:rFonts w:hint="default" w:ascii="Times New Roman" w:hAnsi="Times New Roman" w:eastAsia="宋体" w:cs="Times New Roman"/>
                <w:color w:val="auto"/>
                <w:lang w:val="en-US" w:eastAsia="zh-CN"/>
              </w:rPr>
              <w:t>式中Na</w:t>
            </w:r>
            <w:r>
              <w:rPr>
                <w:rFonts w:hint="default" w:ascii="Times New Roman" w:hAnsi="Times New Roman" w:eastAsia="宋体" w:cs="Times New Roman"/>
                <w:color w:val="auto"/>
                <w:vertAlign w:val="superscript"/>
                <w:lang w:val="en-US" w:eastAsia="zh-CN"/>
              </w:rPr>
              <w:t>+</w:t>
            </w:r>
            <w:r>
              <w:rPr>
                <w:rFonts w:hint="default" w:ascii="Times New Roman" w:hAnsi="Times New Roman" w:eastAsia="宋体" w:cs="Times New Roman"/>
                <w:color w:val="auto"/>
                <w:lang w:val="en-US" w:eastAsia="zh-CN"/>
              </w:rPr>
              <w:t>、Ca</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、Mg</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浓度以mmol/L表示。</w:t>
            </w:r>
          </w:p>
        </w:tc>
      </w:tr>
    </w:tbl>
    <w:p w14:paraId="739F4239">
      <w:pPr>
        <w:pStyle w:val="30"/>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Times New Roman" w:hAnsi="Times New Roman" w:eastAsia="宋体" w:cs="宋体"/>
          <w:b/>
          <w:bCs w:val="0"/>
          <w:color w:val="auto"/>
          <w:lang w:val="en-US" w:eastAsia="zh-CN"/>
        </w:rPr>
      </w:pPr>
      <w:r>
        <w:rPr>
          <w:rFonts w:hint="eastAsia" w:ascii="Times New Roman" w:hAnsi="Times New Roman" w:eastAsia="宋体" w:cs="宋体"/>
          <w:b/>
          <w:bCs w:val="0"/>
          <w:color w:val="auto"/>
          <w:lang w:val="en-US" w:eastAsia="zh-CN"/>
        </w:rPr>
        <w:t>表4-15   加工废水汁水还田利用选择性控制项目及限值</w:t>
      </w:r>
    </w:p>
    <w:tbl>
      <w:tblPr>
        <w:tblStyle w:val="2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98"/>
        <w:gridCol w:w="4346"/>
        <w:gridCol w:w="1682"/>
        <w:gridCol w:w="5"/>
        <w:gridCol w:w="1688"/>
      </w:tblGrid>
      <w:tr w14:paraId="2B328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68" w:type="pct"/>
            <w:vMerge w:val="restart"/>
            <w:tcBorders>
              <w:tl2br w:val="nil"/>
              <w:tr2bl w:val="nil"/>
            </w:tcBorders>
            <w:shd w:val="clear" w:color="auto" w:fill="auto"/>
            <w:noWrap/>
            <w:vAlign w:val="center"/>
          </w:tcPr>
          <w:p w14:paraId="7A4CA62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b/>
                <w:bCs/>
                <w:i w:val="0"/>
                <w:iCs w:val="0"/>
                <w:snapToGrid w:val="0"/>
                <w:color w:val="auto"/>
                <w:kern w:val="0"/>
                <w:sz w:val="21"/>
                <w:szCs w:val="21"/>
                <w:u w:val="none"/>
                <w:lang w:val="en-US" w:eastAsia="zh-CN" w:bidi="ar"/>
              </w:rPr>
            </w:pPr>
            <w:r>
              <w:rPr>
                <w:rFonts w:hint="eastAsia" w:ascii="Times New Roman" w:hAnsi="Times New Roman" w:eastAsia="宋体" w:cs="宋体"/>
                <w:b/>
                <w:bCs/>
                <w:i w:val="0"/>
                <w:iCs w:val="0"/>
                <w:snapToGrid w:val="0"/>
                <w:color w:val="auto"/>
                <w:kern w:val="0"/>
                <w:sz w:val="21"/>
                <w:szCs w:val="21"/>
                <w:u w:val="none"/>
                <w:lang w:val="en-US" w:eastAsia="zh-CN" w:bidi="ar"/>
              </w:rPr>
              <w:t>序号</w:t>
            </w:r>
          </w:p>
        </w:tc>
        <w:tc>
          <w:tcPr>
            <w:tcW w:w="2550" w:type="pct"/>
            <w:vMerge w:val="restart"/>
            <w:tcBorders>
              <w:tl2br w:val="nil"/>
              <w:tr2bl w:val="nil"/>
            </w:tcBorders>
            <w:shd w:val="clear" w:color="auto" w:fill="auto"/>
            <w:noWrap/>
            <w:vAlign w:val="center"/>
          </w:tcPr>
          <w:p w14:paraId="1AF48A4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b/>
                <w:bCs/>
                <w:i w:val="0"/>
                <w:iCs w:val="0"/>
                <w:snapToGrid w:val="0"/>
                <w:color w:val="auto"/>
                <w:kern w:val="0"/>
                <w:sz w:val="21"/>
                <w:szCs w:val="21"/>
                <w:u w:val="none"/>
                <w:lang w:val="en-US" w:eastAsia="zh-CN" w:bidi="ar"/>
              </w:rPr>
            </w:pPr>
            <w:r>
              <w:rPr>
                <w:rFonts w:hint="eastAsia" w:ascii="Times New Roman" w:hAnsi="Times New Roman" w:eastAsia="宋体" w:cs="宋体"/>
                <w:b/>
                <w:bCs/>
                <w:i w:val="0"/>
                <w:iCs w:val="0"/>
                <w:snapToGrid w:val="0"/>
                <w:color w:val="auto"/>
                <w:kern w:val="0"/>
                <w:sz w:val="21"/>
                <w:szCs w:val="21"/>
                <w:u w:val="none"/>
                <w:lang w:val="en-US" w:eastAsia="zh-CN" w:bidi="ar"/>
              </w:rPr>
              <w:t>项目种类</w:t>
            </w:r>
          </w:p>
        </w:tc>
        <w:tc>
          <w:tcPr>
            <w:tcW w:w="1980" w:type="pct"/>
            <w:gridSpan w:val="3"/>
            <w:tcBorders>
              <w:tl2br w:val="nil"/>
              <w:tr2bl w:val="nil"/>
            </w:tcBorders>
            <w:shd w:val="clear" w:color="auto" w:fill="auto"/>
            <w:noWrap/>
            <w:vAlign w:val="center"/>
          </w:tcPr>
          <w:p w14:paraId="7F2D7BD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b/>
                <w:bCs/>
                <w:i w:val="0"/>
                <w:iCs w:val="0"/>
                <w:snapToGrid w:val="0"/>
                <w:color w:val="auto"/>
                <w:kern w:val="0"/>
                <w:sz w:val="21"/>
                <w:szCs w:val="21"/>
                <w:u w:val="none"/>
                <w:lang w:val="en-US" w:eastAsia="zh-CN" w:bidi="ar"/>
              </w:rPr>
            </w:pPr>
            <w:r>
              <w:rPr>
                <w:rFonts w:hint="eastAsia" w:ascii="Times New Roman" w:hAnsi="Times New Roman" w:eastAsia="宋体" w:cs="宋体"/>
                <w:b/>
                <w:bCs/>
                <w:i w:val="0"/>
                <w:iCs w:val="0"/>
                <w:snapToGrid w:val="0"/>
                <w:color w:val="auto"/>
                <w:kern w:val="0"/>
                <w:sz w:val="21"/>
                <w:szCs w:val="21"/>
                <w:u w:val="none"/>
                <w:lang w:val="en-US" w:eastAsia="zh-CN" w:bidi="ar"/>
              </w:rPr>
              <w:t>限值</w:t>
            </w:r>
          </w:p>
        </w:tc>
      </w:tr>
      <w:tr w14:paraId="60D94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68" w:type="pct"/>
            <w:vMerge w:val="continue"/>
            <w:tcBorders>
              <w:tl2br w:val="nil"/>
              <w:tr2bl w:val="nil"/>
            </w:tcBorders>
            <w:shd w:val="clear" w:color="auto" w:fill="auto"/>
            <w:noWrap/>
            <w:vAlign w:val="center"/>
          </w:tcPr>
          <w:p w14:paraId="246EEA01">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240" w:lineRule="auto"/>
              <w:ind w:leftChars="0" w:right="0" w:rightChars="0"/>
              <w:jc w:val="both"/>
              <w:textAlignment w:val="center"/>
              <w:rPr>
                <w:rFonts w:hint="eastAsia" w:ascii="Times New Roman" w:hAnsi="Times New Roman" w:eastAsia="宋体" w:cs="宋体"/>
                <w:b/>
                <w:bCs/>
                <w:i w:val="0"/>
                <w:iCs w:val="0"/>
                <w:snapToGrid w:val="0"/>
                <w:color w:val="auto"/>
                <w:kern w:val="0"/>
                <w:sz w:val="21"/>
                <w:szCs w:val="21"/>
                <w:u w:val="none"/>
                <w:lang w:val="en-US" w:eastAsia="zh-CN" w:bidi="ar"/>
              </w:rPr>
            </w:pPr>
          </w:p>
        </w:tc>
        <w:tc>
          <w:tcPr>
            <w:tcW w:w="2550" w:type="pct"/>
            <w:vMerge w:val="continue"/>
            <w:tcBorders>
              <w:tl2br w:val="nil"/>
              <w:tr2bl w:val="nil"/>
            </w:tcBorders>
            <w:shd w:val="clear" w:color="auto" w:fill="auto"/>
            <w:noWrap/>
            <w:vAlign w:val="center"/>
          </w:tcPr>
          <w:p w14:paraId="40FF667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b/>
                <w:bCs/>
                <w:i w:val="0"/>
                <w:iCs w:val="0"/>
                <w:snapToGrid w:val="0"/>
                <w:color w:val="auto"/>
                <w:kern w:val="0"/>
                <w:sz w:val="21"/>
                <w:szCs w:val="21"/>
                <w:u w:val="none"/>
                <w:lang w:val="en-US" w:eastAsia="zh-CN" w:bidi="ar"/>
              </w:rPr>
            </w:pPr>
          </w:p>
        </w:tc>
        <w:tc>
          <w:tcPr>
            <w:tcW w:w="987" w:type="pct"/>
            <w:tcBorders>
              <w:tl2br w:val="nil"/>
              <w:tr2bl w:val="nil"/>
            </w:tcBorders>
            <w:shd w:val="clear" w:color="auto" w:fill="auto"/>
            <w:noWrap/>
            <w:vAlign w:val="center"/>
          </w:tcPr>
          <w:p w14:paraId="5566C3F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b/>
                <w:bCs/>
                <w:i w:val="0"/>
                <w:iCs w:val="0"/>
                <w:snapToGrid w:val="0"/>
                <w:color w:val="auto"/>
                <w:kern w:val="0"/>
                <w:sz w:val="21"/>
                <w:szCs w:val="21"/>
                <w:u w:val="none"/>
                <w:lang w:val="en-US" w:eastAsia="zh-CN" w:bidi="ar"/>
              </w:rPr>
            </w:pPr>
            <w:r>
              <w:rPr>
                <w:rFonts w:hint="eastAsia" w:ascii="Times New Roman" w:hAnsi="Times New Roman" w:eastAsia="宋体" w:cs="宋体"/>
                <w:b/>
                <w:bCs/>
                <w:i w:val="0"/>
                <w:iCs w:val="0"/>
                <w:snapToGrid w:val="0"/>
                <w:color w:val="auto"/>
                <w:kern w:val="0"/>
                <w:sz w:val="21"/>
                <w:szCs w:val="21"/>
                <w:u w:val="none"/>
                <w:lang w:val="en-US" w:eastAsia="zh-CN" w:bidi="ar"/>
              </w:rPr>
              <w:t>旱作</w:t>
            </w:r>
          </w:p>
        </w:tc>
        <w:tc>
          <w:tcPr>
            <w:tcW w:w="993" w:type="pct"/>
            <w:gridSpan w:val="2"/>
            <w:tcBorders>
              <w:tl2br w:val="nil"/>
              <w:tr2bl w:val="nil"/>
            </w:tcBorders>
            <w:shd w:val="clear" w:color="auto" w:fill="auto"/>
            <w:noWrap/>
            <w:vAlign w:val="center"/>
          </w:tcPr>
          <w:p w14:paraId="20F7556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b/>
                <w:bCs/>
                <w:i w:val="0"/>
                <w:iCs w:val="0"/>
                <w:snapToGrid w:val="0"/>
                <w:color w:val="auto"/>
                <w:kern w:val="0"/>
                <w:sz w:val="21"/>
                <w:szCs w:val="21"/>
                <w:u w:val="none"/>
                <w:lang w:val="en-US" w:eastAsia="zh-CN" w:bidi="ar"/>
              </w:rPr>
            </w:pPr>
            <w:r>
              <w:rPr>
                <w:rFonts w:hint="eastAsia" w:ascii="Times New Roman" w:hAnsi="Times New Roman" w:eastAsia="宋体" w:cs="宋体"/>
                <w:b/>
                <w:bCs/>
                <w:i w:val="0"/>
                <w:iCs w:val="0"/>
                <w:snapToGrid w:val="0"/>
                <w:color w:val="auto"/>
                <w:kern w:val="0"/>
                <w:sz w:val="21"/>
                <w:szCs w:val="21"/>
                <w:u w:val="none"/>
                <w:lang w:val="en-US" w:eastAsia="zh-CN" w:bidi="ar"/>
              </w:rPr>
              <w:t>蔬菜</w:t>
            </w:r>
          </w:p>
        </w:tc>
      </w:tr>
      <w:tr w14:paraId="30A41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2" w:hRule="atLeast"/>
        </w:trPr>
        <w:tc>
          <w:tcPr>
            <w:tcW w:w="468" w:type="pct"/>
            <w:tcBorders>
              <w:tl2br w:val="nil"/>
              <w:tr2bl w:val="nil"/>
            </w:tcBorders>
            <w:shd w:val="clear" w:color="auto" w:fill="auto"/>
            <w:noWrap/>
            <w:vAlign w:val="center"/>
          </w:tcPr>
          <w:p w14:paraId="6F1D3AB0">
            <w:pPr>
              <w:keepNext w:val="0"/>
              <w:keepLines w:val="0"/>
              <w:pageBreakBefore w:val="0"/>
              <w:widowControl/>
              <w:numPr>
                <w:ilvl w:val="0"/>
                <w:numId w:val="4"/>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50" w:type="pct"/>
            <w:tcBorders>
              <w:tl2br w:val="nil"/>
              <w:tr2bl w:val="nil"/>
            </w:tcBorders>
            <w:shd w:val="clear" w:color="auto" w:fill="auto"/>
            <w:noWrap/>
            <w:vAlign w:val="center"/>
          </w:tcPr>
          <w:p w14:paraId="71617AF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color w:val="auto"/>
                <w:sz w:val="21"/>
                <w:szCs w:val="21"/>
                <w:u w:val="none"/>
                <w:lang w:val="en-US"/>
              </w:rPr>
            </w:pPr>
            <w:r>
              <w:rPr>
                <w:rFonts w:hint="eastAsia" w:ascii="Times New Roman" w:hAnsi="Times New Roman" w:eastAsia="宋体" w:cs="宋体"/>
                <w:i w:val="0"/>
                <w:iCs w:val="0"/>
                <w:snapToGrid w:val="0"/>
                <w:color w:val="auto"/>
                <w:kern w:val="0"/>
                <w:sz w:val="21"/>
                <w:szCs w:val="21"/>
                <w:u w:val="none"/>
                <w:lang w:val="en-US" w:eastAsia="zh-CN" w:bidi="ar"/>
              </w:rPr>
              <w:t>水温（℃）</w:t>
            </w:r>
          </w:p>
        </w:tc>
        <w:tc>
          <w:tcPr>
            <w:tcW w:w="1980" w:type="pct"/>
            <w:gridSpan w:val="3"/>
            <w:tcBorders>
              <w:tl2br w:val="nil"/>
              <w:tr2bl w:val="nil"/>
            </w:tcBorders>
            <w:shd w:val="clear" w:color="auto" w:fill="auto"/>
            <w:noWrap/>
            <w:vAlign w:val="center"/>
          </w:tcPr>
          <w:p w14:paraId="65FB105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snapToGrid w:val="0"/>
                <w:color w:val="auto"/>
                <w:kern w:val="0"/>
                <w:sz w:val="21"/>
                <w:szCs w:val="21"/>
                <w:u w:val="none"/>
                <w:lang w:val="en-US" w:eastAsia="zh-CN" w:bidi="ar"/>
              </w:rPr>
            </w:pPr>
            <w:r>
              <w:rPr>
                <w:rFonts w:hint="eastAsia" w:ascii="Times New Roman" w:hAnsi="Times New Roman" w:eastAsia="宋体" w:cs="宋体"/>
                <w:i w:val="0"/>
                <w:iCs w:val="0"/>
                <w:snapToGrid w:val="0"/>
                <w:color w:val="auto"/>
                <w:kern w:val="0"/>
                <w:sz w:val="21"/>
                <w:szCs w:val="21"/>
                <w:u w:val="none"/>
                <w:lang w:val="en-US" w:eastAsia="zh-CN" w:bidi="ar"/>
              </w:rPr>
              <w:t>≤35</w:t>
            </w:r>
          </w:p>
        </w:tc>
      </w:tr>
      <w:tr w14:paraId="4FEAE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68" w:type="pct"/>
            <w:tcBorders>
              <w:tl2br w:val="nil"/>
              <w:tr2bl w:val="nil"/>
            </w:tcBorders>
            <w:shd w:val="clear" w:color="auto" w:fill="auto"/>
            <w:noWrap/>
            <w:vAlign w:val="center"/>
          </w:tcPr>
          <w:p w14:paraId="775697A6">
            <w:pPr>
              <w:keepNext w:val="0"/>
              <w:keepLines w:val="0"/>
              <w:pageBreakBefore w:val="0"/>
              <w:widowControl/>
              <w:numPr>
                <w:ilvl w:val="0"/>
                <w:numId w:val="4"/>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50" w:type="pct"/>
            <w:tcBorders>
              <w:tl2br w:val="nil"/>
              <w:tr2bl w:val="nil"/>
            </w:tcBorders>
            <w:shd w:val="clear" w:color="auto" w:fill="auto"/>
            <w:noWrap/>
            <w:vAlign w:val="center"/>
          </w:tcPr>
          <w:p w14:paraId="1A7C358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lang w:val="en-US" w:eastAsia="zh-CN"/>
              </w:rPr>
            </w:pPr>
            <w:r>
              <w:rPr>
                <w:rFonts w:hint="eastAsia" w:ascii="Times New Roman" w:hAnsi="Times New Roman" w:eastAsia="宋体" w:cs="宋体"/>
                <w:i w:val="0"/>
                <w:iCs w:val="0"/>
                <w:color w:val="auto"/>
                <w:sz w:val="21"/>
                <w:szCs w:val="21"/>
                <w:u w:val="none"/>
                <w:lang w:val="en-US" w:eastAsia="zh-CN"/>
              </w:rPr>
              <w:t>氯化物</w:t>
            </w:r>
          </w:p>
        </w:tc>
        <w:tc>
          <w:tcPr>
            <w:tcW w:w="1980" w:type="pct"/>
            <w:gridSpan w:val="3"/>
            <w:tcBorders>
              <w:tl2br w:val="nil"/>
              <w:tr2bl w:val="nil"/>
            </w:tcBorders>
            <w:shd w:val="clear" w:color="auto" w:fill="auto"/>
            <w:noWrap/>
            <w:vAlign w:val="center"/>
          </w:tcPr>
          <w:p w14:paraId="29EC3FE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snapToGrid w:val="0"/>
                <w:color w:val="auto"/>
                <w:kern w:val="0"/>
                <w:sz w:val="21"/>
                <w:szCs w:val="21"/>
                <w:u w:val="none"/>
                <w:lang w:val="en-US" w:eastAsia="zh-CN" w:bidi="ar"/>
              </w:rPr>
            </w:pPr>
            <w:r>
              <w:rPr>
                <w:rFonts w:hint="eastAsia" w:ascii="Times New Roman" w:hAnsi="Times New Roman" w:eastAsia="宋体" w:cs="宋体"/>
                <w:i w:val="0"/>
                <w:iCs w:val="0"/>
                <w:snapToGrid w:val="0"/>
                <w:color w:val="auto"/>
                <w:kern w:val="0"/>
                <w:sz w:val="21"/>
                <w:szCs w:val="21"/>
                <w:u w:val="none"/>
                <w:lang w:val="en-US" w:eastAsia="zh-CN" w:bidi="ar"/>
              </w:rPr>
              <w:t>≤350</w:t>
            </w:r>
          </w:p>
        </w:tc>
      </w:tr>
      <w:tr w14:paraId="3A6C3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68" w:type="pct"/>
            <w:tcBorders>
              <w:tl2br w:val="nil"/>
              <w:tr2bl w:val="nil"/>
            </w:tcBorders>
            <w:shd w:val="clear" w:color="auto" w:fill="auto"/>
            <w:noWrap/>
            <w:vAlign w:val="center"/>
          </w:tcPr>
          <w:p w14:paraId="07230042">
            <w:pPr>
              <w:keepNext w:val="0"/>
              <w:keepLines w:val="0"/>
              <w:pageBreakBefore w:val="0"/>
              <w:widowControl/>
              <w:numPr>
                <w:ilvl w:val="0"/>
                <w:numId w:val="4"/>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50" w:type="pct"/>
            <w:tcBorders>
              <w:tl2br w:val="nil"/>
              <w:tr2bl w:val="nil"/>
            </w:tcBorders>
            <w:shd w:val="clear" w:color="auto" w:fill="auto"/>
            <w:noWrap/>
            <w:vAlign w:val="center"/>
          </w:tcPr>
          <w:p w14:paraId="41C8FBC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lang w:val="en-US" w:eastAsia="zh-CN"/>
              </w:rPr>
            </w:pPr>
            <w:r>
              <w:rPr>
                <w:rFonts w:hint="eastAsia" w:ascii="Times New Roman" w:hAnsi="Times New Roman" w:eastAsia="宋体" w:cs="宋体"/>
                <w:i w:val="0"/>
                <w:iCs w:val="0"/>
                <w:color w:val="auto"/>
                <w:sz w:val="21"/>
                <w:szCs w:val="21"/>
                <w:u w:val="none"/>
                <w:lang w:val="en-US" w:eastAsia="zh-CN"/>
              </w:rPr>
              <w:t>硫化物</w:t>
            </w:r>
          </w:p>
        </w:tc>
        <w:tc>
          <w:tcPr>
            <w:tcW w:w="1980" w:type="pct"/>
            <w:gridSpan w:val="3"/>
            <w:tcBorders>
              <w:tl2br w:val="nil"/>
              <w:tr2bl w:val="nil"/>
            </w:tcBorders>
            <w:shd w:val="clear" w:color="auto" w:fill="auto"/>
            <w:noWrap/>
            <w:vAlign w:val="center"/>
          </w:tcPr>
          <w:p w14:paraId="16DCDAA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snapToGrid w:val="0"/>
                <w:color w:val="auto"/>
                <w:kern w:val="0"/>
                <w:sz w:val="21"/>
                <w:szCs w:val="21"/>
                <w:u w:val="none"/>
                <w:lang w:val="en-US" w:eastAsia="zh-CN" w:bidi="ar"/>
              </w:rPr>
            </w:pPr>
            <w:r>
              <w:rPr>
                <w:rFonts w:hint="eastAsia" w:ascii="Times New Roman" w:hAnsi="Times New Roman" w:eastAsia="宋体" w:cs="宋体"/>
                <w:i w:val="0"/>
                <w:iCs w:val="0"/>
                <w:snapToGrid w:val="0"/>
                <w:color w:val="auto"/>
                <w:kern w:val="0"/>
                <w:sz w:val="21"/>
                <w:szCs w:val="21"/>
                <w:u w:val="none"/>
                <w:lang w:val="en-US" w:eastAsia="zh-CN" w:bidi="ar"/>
              </w:rPr>
              <w:t>≤1</w:t>
            </w:r>
          </w:p>
        </w:tc>
      </w:tr>
      <w:tr w14:paraId="627B3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68" w:type="pct"/>
            <w:tcBorders>
              <w:tl2br w:val="nil"/>
              <w:tr2bl w:val="nil"/>
            </w:tcBorders>
            <w:shd w:val="clear" w:color="auto" w:fill="auto"/>
            <w:noWrap/>
            <w:vAlign w:val="center"/>
          </w:tcPr>
          <w:p w14:paraId="68B90298">
            <w:pPr>
              <w:keepNext w:val="0"/>
              <w:keepLines w:val="0"/>
              <w:pageBreakBefore w:val="0"/>
              <w:widowControl/>
              <w:numPr>
                <w:ilvl w:val="0"/>
                <w:numId w:val="4"/>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50" w:type="pct"/>
            <w:tcBorders>
              <w:tl2br w:val="nil"/>
              <w:tr2bl w:val="nil"/>
            </w:tcBorders>
            <w:shd w:val="clear" w:color="auto" w:fill="auto"/>
            <w:noWrap/>
            <w:vAlign w:val="center"/>
          </w:tcPr>
          <w:p w14:paraId="1211A3C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lang w:val="en-US" w:eastAsia="zh-CN"/>
              </w:rPr>
            </w:pPr>
            <w:r>
              <w:rPr>
                <w:rFonts w:hint="eastAsia" w:ascii="Times New Roman" w:hAnsi="Times New Roman" w:eastAsia="宋体" w:cs="宋体"/>
                <w:i w:val="0"/>
                <w:iCs w:val="0"/>
                <w:color w:val="auto"/>
                <w:sz w:val="21"/>
                <w:szCs w:val="21"/>
                <w:u w:val="none"/>
                <w:lang w:val="en-US" w:eastAsia="zh-CN"/>
              </w:rPr>
              <w:t>氟化物</w:t>
            </w:r>
          </w:p>
        </w:tc>
        <w:tc>
          <w:tcPr>
            <w:tcW w:w="1980" w:type="pct"/>
            <w:gridSpan w:val="3"/>
            <w:tcBorders>
              <w:tl2br w:val="nil"/>
              <w:tr2bl w:val="nil"/>
            </w:tcBorders>
            <w:shd w:val="clear" w:color="auto" w:fill="auto"/>
            <w:noWrap/>
            <w:vAlign w:val="center"/>
          </w:tcPr>
          <w:p w14:paraId="58267BA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snapToGrid w:val="0"/>
                <w:color w:val="auto"/>
                <w:kern w:val="0"/>
                <w:sz w:val="21"/>
                <w:szCs w:val="21"/>
                <w:u w:val="none"/>
                <w:lang w:val="en-US" w:eastAsia="zh-CN" w:bidi="ar"/>
              </w:rPr>
            </w:pPr>
            <w:r>
              <w:rPr>
                <w:rFonts w:hint="eastAsia" w:ascii="Times New Roman" w:hAnsi="Times New Roman" w:eastAsia="宋体" w:cs="宋体"/>
                <w:i w:val="0"/>
                <w:iCs w:val="0"/>
                <w:snapToGrid w:val="0"/>
                <w:color w:val="auto"/>
                <w:kern w:val="0"/>
                <w:sz w:val="21"/>
                <w:szCs w:val="21"/>
                <w:u w:val="none"/>
                <w:lang w:val="en-US" w:eastAsia="zh-CN" w:bidi="ar"/>
              </w:rPr>
              <w:t>≤2</w:t>
            </w:r>
          </w:p>
        </w:tc>
      </w:tr>
      <w:tr w14:paraId="2AF62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68" w:type="pct"/>
            <w:tcBorders>
              <w:tl2br w:val="nil"/>
              <w:tr2bl w:val="nil"/>
            </w:tcBorders>
            <w:shd w:val="clear" w:color="auto" w:fill="auto"/>
            <w:noWrap/>
            <w:vAlign w:val="center"/>
          </w:tcPr>
          <w:p w14:paraId="14848962">
            <w:pPr>
              <w:keepNext w:val="0"/>
              <w:keepLines w:val="0"/>
              <w:pageBreakBefore w:val="0"/>
              <w:widowControl/>
              <w:numPr>
                <w:ilvl w:val="0"/>
                <w:numId w:val="4"/>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50" w:type="pct"/>
            <w:tcBorders>
              <w:tl2br w:val="nil"/>
              <w:tr2bl w:val="nil"/>
            </w:tcBorders>
            <w:shd w:val="clear" w:color="auto" w:fill="auto"/>
            <w:noWrap/>
            <w:vAlign w:val="center"/>
          </w:tcPr>
          <w:p w14:paraId="5E8F61E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color w:val="auto"/>
                <w:sz w:val="21"/>
                <w:szCs w:val="21"/>
                <w:u w:val="none"/>
                <w:lang w:val="en-US" w:eastAsia="zh-CN"/>
              </w:rPr>
            </w:pPr>
            <w:r>
              <w:rPr>
                <w:rFonts w:hint="eastAsia" w:ascii="Times New Roman" w:hAnsi="Times New Roman" w:eastAsia="宋体" w:cs="宋体"/>
                <w:i w:val="0"/>
                <w:iCs w:val="0"/>
                <w:color w:val="auto"/>
                <w:sz w:val="21"/>
                <w:szCs w:val="21"/>
                <w:u w:val="none"/>
                <w:lang w:val="en-US" w:eastAsia="zh-CN"/>
              </w:rPr>
              <w:t>阴离子表面活性剂</w:t>
            </w:r>
          </w:p>
        </w:tc>
        <w:tc>
          <w:tcPr>
            <w:tcW w:w="990" w:type="pct"/>
            <w:gridSpan w:val="2"/>
            <w:tcBorders>
              <w:tl2br w:val="nil"/>
              <w:tr2bl w:val="nil"/>
            </w:tcBorders>
            <w:shd w:val="clear" w:color="auto" w:fill="auto"/>
            <w:noWrap/>
            <w:vAlign w:val="center"/>
          </w:tcPr>
          <w:p w14:paraId="2E7F8A8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lang w:val="en-US" w:eastAsia="zh-CN"/>
              </w:rPr>
            </w:pPr>
            <w:r>
              <w:rPr>
                <w:rFonts w:hint="eastAsia" w:ascii="Times New Roman" w:hAnsi="Times New Roman" w:eastAsia="宋体" w:cs="宋体"/>
                <w:i w:val="0"/>
                <w:iCs w:val="0"/>
                <w:snapToGrid w:val="0"/>
                <w:color w:val="auto"/>
                <w:kern w:val="0"/>
                <w:sz w:val="21"/>
                <w:szCs w:val="21"/>
                <w:u w:val="none"/>
                <w:lang w:val="en-US" w:eastAsia="zh-CN" w:bidi="ar"/>
              </w:rPr>
              <w:t>≤</w:t>
            </w:r>
            <w:r>
              <w:rPr>
                <w:rFonts w:hint="eastAsia" w:ascii="Times New Roman" w:hAnsi="Times New Roman" w:eastAsia="宋体" w:cs="宋体"/>
                <w:i w:val="0"/>
                <w:iCs w:val="0"/>
                <w:color w:val="auto"/>
                <w:sz w:val="21"/>
                <w:szCs w:val="21"/>
                <w:u w:val="none"/>
                <w:lang w:val="en-US" w:eastAsia="zh-CN"/>
              </w:rPr>
              <w:t>8</w:t>
            </w:r>
          </w:p>
        </w:tc>
        <w:tc>
          <w:tcPr>
            <w:tcW w:w="990" w:type="pct"/>
            <w:tcBorders>
              <w:tl2br w:val="nil"/>
              <w:tr2bl w:val="nil"/>
            </w:tcBorders>
            <w:shd w:val="clear" w:color="auto" w:fill="auto"/>
            <w:noWrap/>
            <w:vAlign w:val="center"/>
          </w:tcPr>
          <w:p w14:paraId="1D0E8E7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lang w:val="en-US" w:eastAsia="zh-CN"/>
              </w:rPr>
            </w:pPr>
            <w:r>
              <w:rPr>
                <w:rFonts w:hint="eastAsia" w:ascii="Times New Roman" w:hAnsi="Times New Roman" w:eastAsia="宋体" w:cs="宋体"/>
                <w:i w:val="0"/>
                <w:iCs w:val="0"/>
                <w:snapToGrid w:val="0"/>
                <w:color w:val="auto"/>
                <w:kern w:val="0"/>
                <w:sz w:val="21"/>
                <w:szCs w:val="21"/>
                <w:u w:val="none"/>
                <w:lang w:val="en-US" w:eastAsia="zh-CN" w:bidi="ar"/>
              </w:rPr>
              <w:t>≤</w:t>
            </w:r>
            <w:r>
              <w:rPr>
                <w:rFonts w:hint="eastAsia" w:ascii="Times New Roman" w:hAnsi="Times New Roman" w:eastAsia="宋体" w:cs="宋体"/>
                <w:i w:val="0"/>
                <w:iCs w:val="0"/>
                <w:color w:val="auto"/>
                <w:sz w:val="21"/>
                <w:szCs w:val="21"/>
                <w:u w:val="none"/>
                <w:lang w:val="en-US" w:eastAsia="zh-CN"/>
              </w:rPr>
              <w:t>5</w:t>
            </w:r>
          </w:p>
        </w:tc>
      </w:tr>
      <w:tr w14:paraId="474D8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68" w:type="pct"/>
            <w:tcBorders>
              <w:tl2br w:val="nil"/>
              <w:tr2bl w:val="nil"/>
            </w:tcBorders>
            <w:shd w:val="clear" w:color="auto" w:fill="auto"/>
            <w:noWrap/>
            <w:vAlign w:val="center"/>
          </w:tcPr>
          <w:p w14:paraId="6454520A">
            <w:pPr>
              <w:keepNext w:val="0"/>
              <w:keepLines w:val="0"/>
              <w:pageBreakBefore w:val="0"/>
              <w:widowControl/>
              <w:numPr>
                <w:ilvl w:val="0"/>
                <w:numId w:val="4"/>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50" w:type="pct"/>
            <w:tcBorders>
              <w:tl2br w:val="nil"/>
              <w:tr2bl w:val="nil"/>
            </w:tcBorders>
            <w:shd w:val="clear" w:color="auto" w:fill="auto"/>
            <w:noWrap/>
            <w:vAlign w:val="center"/>
          </w:tcPr>
          <w:p w14:paraId="3B113ED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lang w:val="en-US" w:eastAsia="zh-CN"/>
              </w:rPr>
            </w:pPr>
            <w:r>
              <w:rPr>
                <w:rFonts w:hint="eastAsia" w:ascii="Times New Roman" w:hAnsi="Times New Roman" w:eastAsia="宋体" w:cs="宋体"/>
                <w:i w:val="0"/>
                <w:iCs w:val="0"/>
                <w:color w:val="auto"/>
                <w:sz w:val="21"/>
                <w:szCs w:val="21"/>
                <w:u w:val="none"/>
                <w:lang w:val="en-US" w:eastAsia="zh-CN"/>
              </w:rPr>
              <w:t>锌</w:t>
            </w:r>
          </w:p>
        </w:tc>
        <w:tc>
          <w:tcPr>
            <w:tcW w:w="1980" w:type="pct"/>
            <w:gridSpan w:val="3"/>
            <w:tcBorders>
              <w:tl2br w:val="nil"/>
              <w:tr2bl w:val="nil"/>
            </w:tcBorders>
            <w:shd w:val="clear" w:color="auto" w:fill="auto"/>
            <w:noWrap/>
            <w:vAlign w:val="center"/>
          </w:tcPr>
          <w:p w14:paraId="57BA58A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color w:val="auto"/>
                <w:sz w:val="21"/>
                <w:szCs w:val="21"/>
                <w:u w:val="none"/>
                <w:lang w:val="en-US" w:eastAsia="zh-CN"/>
              </w:rPr>
            </w:pPr>
            <w:r>
              <w:rPr>
                <w:rFonts w:hint="eastAsia" w:ascii="Times New Roman" w:hAnsi="Times New Roman" w:eastAsia="宋体" w:cs="宋体"/>
                <w:i w:val="0"/>
                <w:iCs w:val="0"/>
                <w:snapToGrid w:val="0"/>
                <w:color w:val="auto"/>
                <w:kern w:val="0"/>
                <w:sz w:val="21"/>
                <w:szCs w:val="21"/>
                <w:u w:val="none"/>
                <w:lang w:val="en-US" w:eastAsia="zh-CN" w:bidi="ar"/>
              </w:rPr>
              <w:t>≤</w:t>
            </w:r>
            <w:r>
              <w:rPr>
                <w:rFonts w:hint="eastAsia" w:ascii="Times New Roman" w:hAnsi="Times New Roman" w:eastAsia="宋体" w:cs="宋体"/>
                <w:i w:val="0"/>
                <w:iCs w:val="0"/>
                <w:color w:val="auto"/>
                <w:sz w:val="21"/>
                <w:szCs w:val="21"/>
                <w:u w:val="none"/>
                <w:lang w:val="en-US" w:eastAsia="zh-CN"/>
              </w:rPr>
              <w:t>2</w:t>
            </w:r>
          </w:p>
        </w:tc>
      </w:tr>
      <w:tr w14:paraId="4897A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68" w:type="pct"/>
            <w:tcBorders>
              <w:tl2br w:val="nil"/>
              <w:tr2bl w:val="nil"/>
            </w:tcBorders>
            <w:shd w:val="clear" w:color="auto" w:fill="auto"/>
            <w:noWrap/>
            <w:vAlign w:val="center"/>
          </w:tcPr>
          <w:p w14:paraId="46AB3798">
            <w:pPr>
              <w:keepNext w:val="0"/>
              <w:keepLines w:val="0"/>
              <w:pageBreakBefore w:val="0"/>
              <w:widowControl/>
              <w:numPr>
                <w:ilvl w:val="0"/>
                <w:numId w:val="4"/>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50" w:type="pct"/>
            <w:tcBorders>
              <w:tl2br w:val="nil"/>
              <w:tr2bl w:val="nil"/>
            </w:tcBorders>
            <w:shd w:val="clear" w:color="auto" w:fill="auto"/>
            <w:noWrap/>
            <w:vAlign w:val="center"/>
          </w:tcPr>
          <w:p w14:paraId="6D0579B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lang w:val="en-US" w:eastAsia="zh-CN"/>
              </w:rPr>
            </w:pPr>
            <w:r>
              <w:rPr>
                <w:rFonts w:hint="eastAsia" w:ascii="Times New Roman" w:hAnsi="Times New Roman" w:eastAsia="宋体" w:cs="宋体"/>
                <w:i w:val="0"/>
                <w:iCs w:val="0"/>
                <w:color w:val="auto"/>
                <w:sz w:val="21"/>
                <w:szCs w:val="21"/>
                <w:u w:val="none"/>
                <w:lang w:val="en-US" w:eastAsia="zh-CN"/>
              </w:rPr>
              <w:t>铜</w:t>
            </w:r>
          </w:p>
        </w:tc>
        <w:tc>
          <w:tcPr>
            <w:tcW w:w="1980" w:type="pct"/>
            <w:gridSpan w:val="3"/>
            <w:tcBorders>
              <w:tl2br w:val="nil"/>
              <w:tr2bl w:val="nil"/>
            </w:tcBorders>
            <w:shd w:val="clear" w:color="auto" w:fill="auto"/>
            <w:noWrap/>
            <w:vAlign w:val="center"/>
          </w:tcPr>
          <w:p w14:paraId="653DFC8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lang w:val="en-US" w:eastAsia="zh-CN"/>
              </w:rPr>
            </w:pPr>
            <w:r>
              <w:rPr>
                <w:rFonts w:hint="eastAsia" w:ascii="Times New Roman" w:hAnsi="Times New Roman" w:eastAsia="宋体" w:cs="宋体"/>
                <w:i w:val="0"/>
                <w:iCs w:val="0"/>
                <w:snapToGrid w:val="0"/>
                <w:color w:val="auto"/>
                <w:kern w:val="0"/>
                <w:sz w:val="21"/>
                <w:szCs w:val="21"/>
                <w:u w:val="none"/>
                <w:lang w:val="en-US" w:eastAsia="zh-CN" w:bidi="ar"/>
              </w:rPr>
              <w:t>≤</w:t>
            </w:r>
            <w:r>
              <w:rPr>
                <w:rFonts w:hint="eastAsia" w:ascii="Times New Roman" w:hAnsi="Times New Roman" w:eastAsia="宋体" w:cs="宋体"/>
                <w:i w:val="0"/>
                <w:iCs w:val="0"/>
                <w:color w:val="auto"/>
                <w:sz w:val="21"/>
                <w:szCs w:val="21"/>
                <w:u w:val="none"/>
                <w:lang w:val="en-US" w:eastAsia="zh-CN"/>
              </w:rPr>
              <w:t>1</w:t>
            </w:r>
          </w:p>
        </w:tc>
      </w:tr>
      <w:tr w14:paraId="4565F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68" w:type="pct"/>
            <w:tcBorders>
              <w:tl2br w:val="nil"/>
              <w:tr2bl w:val="nil"/>
            </w:tcBorders>
            <w:shd w:val="clear" w:color="auto" w:fill="auto"/>
            <w:noWrap/>
            <w:vAlign w:val="center"/>
          </w:tcPr>
          <w:p w14:paraId="2802A722">
            <w:pPr>
              <w:keepNext w:val="0"/>
              <w:keepLines w:val="0"/>
              <w:pageBreakBefore w:val="0"/>
              <w:widowControl/>
              <w:numPr>
                <w:ilvl w:val="0"/>
                <w:numId w:val="4"/>
              </w:numPr>
              <w:suppressLineNumbers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center"/>
              <w:rPr>
                <w:rFonts w:hint="eastAsia" w:ascii="Times New Roman" w:hAnsi="Times New Roman" w:eastAsia="宋体" w:cs="宋体"/>
                <w:i w:val="0"/>
                <w:iCs w:val="0"/>
                <w:snapToGrid w:val="0"/>
                <w:color w:val="auto"/>
                <w:kern w:val="0"/>
                <w:sz w:val="21"/>
                <w:szCs w:val="21"/>
                <w:u w:val="none"/>
                <w:lang w:val="en-US" w:eastAsia="zh-CN" w:bidi="ar"/>
              </w:rPr>
            </w:pPr>
          </w:p>
        </w:tc>
        <w:tc>
          <w:tcPr>
            <w:tcW w:w="2550" w:type="pct"/>
            <w:tcBorders>
              <w:tl2br w:val="nil"/>
              <w:tr2bl w:val="nil"/>
            </w:tcBorders>
            <w:shd w:val="clear" w:color="auto" w:fill="auto"/>
            <w:noWrap/>
            <w:vAlign w:val="center"/>
          </w:tcPr>
          <w:p w14:paraId="3A8CB62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color w:val="auto"/>
                <w:sz w:val="21"/>
                <w:szCs w:val="21"/>
                <w:u w:val="none"/>
                <w:lang w:val="en-US" w:eastAsia="zh-CN"/>
              </w:rPr>
            </w:pPr>
            <w:r>
              <w:rPr>
                <w:rFonts w:hint="eastAsia" w:ascii="Times New Roman" w:hAnsi="Times New Roman" w:eastAsia="宋体" w:cs="宋体"/>
                <w:i w:val="0"/>
                <w:iCs w:val="0"/>
                <w:color w:val="auto"/>
                <w:sz w:val="21"/>
                <w:szCs w:val="21"/>
                <w:u w:val="none"/>
                <w:lang w:val="en-US" w:eastAsia="zh-CN"/>
              </w:rPr>
              <w:t>石油类</w:t>
            </w:r>
          </w:p>
        </w:tc>
        <w:tc>
          <w:tcPr>
            <w:tcW w:w="990" w:type="pct"/>
            <w:gridSpan w:val="2"/>
            <w:tcBorders>
              <w:tl2br w:val="nil"/>
              <w:tr2bl w:val="nil"/>
            </w:tcBorders>
            <w:shd w:val="clear" w:color="auto" w:fill="auto"/>
            <w:noWrap/>
            <w:vAlign w:val="center"/>
          </w:tcPr>
          <w:p w14:paraId="11406EE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color w:val="auto"/>
                <w:sz w:val="21"/>
                <w:szCs w:val="21"/>
                <w:u w:val="none"/>
                <w:lang w:val="en-US" w:eastAsia="zh-CN"/>
              </w:rPr>
            </w:pPr>
            <w:r>
              <w:rPr>
                <w:rFonts w:hint="eastAsia" w:ascii="Times New Roman" w:hAnsi="Times New Roman" w:eastAsia="宋体" w:cs="宋体"/>
                <w:i w:val="0"/>
                <w:iCs w:val="0"/>
                <w:snapToGrid w:val="0"/>
                <w:color w:val="auto"/>
                <w:kern w:val="0"/>
                <w:sz w:val="21"/>
                <w:szCs w:val="21"/>
                <w:u w:val="none"/>
                <w:lang w:val="en-US" w:eastAsia="zh-CN" w:bidi="ar"/>
              </w:rPr>
              <w:t>≤</w:t>
            </w:r>
            <w:r>
              <w:rPr>
                <w:rFonts w:hint="eastAsia" w:ascii="Times New Roman" w:hAnsi="Times New Roman" w:eastAsia="宋体" w:cs="宋体"/>
                <w:i w:val="0"/>
                <w:iCs w:val="0"/>
                <w:color w:val="auto"/>
                <w:sz w:val="21"/>
                <w:szCs w:val="21"/>
                <w:u w:val="none"/>
                <w:lang w:val="en-US" w:eastAsia="zh-CN"/>
              </w:rPr>
              <w:t>10</w:t>
            </w:r>
          </w:p>
        </w:tc>
        <w:tc>
          <w:tcPr>
            <w:tcW w:w="990" w:type="pct"/>
            <w:tcBorders>
              <w:tl2br w:val="nil"/>
              <w:tr2bl w:val="nil"/>
            </w:tcBorders>
            <w:shd w:val="clear" w:color="auto" w:fill="auto"/>
            <w:noWrap/>
            <w:vAlign w:val="center"/>
          </w:tcPr>
          <w:p w14:paraId="73A1CD0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default" w:ascii="Times New Roman" w:hAnsi="Times New Roman" w:eastAsia="宋体" w:cs="宋体"/>
                <w:i w:val="0"/>
                <w:iCs w:val="0"/>
                <w:color w:val="auto"/>
                <w:sz w:val="21"/>
                <w:szCs w:val="21"/>
                <w:u w:val="none"/>
                <w:lang w:val="en-US" w:eastAsia="zh-CN"/>
              </w:rPr>
            </w:pPr>
            <w:r>
              <w:rPr>
                <w:rFonts w:hint="eastAsia" w:ascii="Times New Roman" w:hAnsi="Times New Roman" w:eastAsia="宋体" w:cs="宋体"/>
                <w:i w:val="0"/>
                <w:iCs w:val="0"/>
                <w:snapToGrid w:val="0"/>
                <w:color w:val="auto"/>
                <w:kern w:val="0"/>
                <w:sz w:val="21"/>
                <w:szCs w:val="21"/>
                <w:u w:val="none"/>
                <w:lang w:val="en-US" w:eastAsia="zh-CN" w:bidi="ar"/>
              </w:rPr>
              <w:t>≤</w:t>
            </w:r>
            <w:r>
              <w:rPr>
                <w:rFonts w:hint="eastAsia" w:ascii="Times New Roman" w:hAnsi="Times New Roman" w:eastAsia="宋体" w:cs="宋体"/>
                <w:i w:val="0"/>
                <w:iCs w:val="0"/>
                <w:color w:val="auto"/>
                <w:sz w:val="21"/>
                <w:szCs w:val="21"/>
                <w:u w:val="none"/>
                <w:lang w:val="en-US" w:eastAsia="zh-CN"/>
              </w:rPr>
              <w:t>1</w:t>
            </w:r>
          </w:p>
        </w:tc>
      </w:tr>
    </w:tbl>
    <w:p w14:paraId="42866831">
      <w:pPr>
        <w:pStyle w:val="30"/>
        <w:spacing w:line="240" w:lineRule="auto"/>
        <w:ind w:firstLine="198" w:firstLineChars="82"/>
        <w:jc w:val="center"/>
        <w:rPr>
          <w:rFonts w:hint="eastAsia" w:ascii="Times New Roman" w:hAnsi="Times New Roman" w:eastAsia="宋体" w:cs="宋体"/>
          <w:b/>
          <w:bCs w:val="0"/>
          <w:color w:val="auto"/>
          <w:lang w:val="en-US" w:eastAsia="zh-CN"/>
        </w:rPr>
      </w:pPr>
      <w:r>
        <w:rPr>
          <w:rFonts w:hint="eastAsia" w:ascii="Times New Roman" w:hAnsi="Times New Roman" w:eastAsia="宋体" w:cs="宋体"/>
          <w:b/>
          <w:bCs w:val="0"/>
          <w:color w:val="auto"/>
          <w:lang w:val="en-US" w:eastAsia="zh-CN"/>
        </w:rPr>
        <w:t>表4-16   沼渣的技术指标（摘录）</w:t>
      </w:r>
    </w:p>
    <w:tbl>
      <w:tblPr>
        <w:tblStyle w:val="21"/>
        <w:tblW w:w="840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021"/>
        <w:gridCol w:w="2055"/>
        <w:gridCol w:w="3330"/>
      </w:tblGrid>
      <w:tr w14:paraId="06A5E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173C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b/>
                <w:bCs/>
                <w:i w:val="0"/>
                <w:iCs w:val="0"/>
                <w:color w:val="auto"/>
                <w:sz w:val="21"/>
                <w:szCs w:val="21"/>
                <w:u w:val="none"/>
              </w:rPr>
            </w:pPr>
            <w:r>
              <w:rPr>
                <w:rFonts w:hint="eastAsia" w:ascii="Times New Roman" w:hAnsi="Times New Roman" w:eastAsia="宋体" w:cs="宋体"/>
                <w:b/>
                <w:bCs/>
                <w:i w:val="0"/>
                <w:iCs w:val="0"/>
                <w:snapToGrid w:val="0"/>
                <w:color w:val="auto"/>
                <w:kern w:val="0"/>
                <w:sz w:val="21"/>
                <w:szCs w:val="21"/>
                <w:u w:val="none"/>
                <w:lang w:val="en-US" w:eastAsia="zh-CN" w:bidi="ar"/>
              </w:rPr>
              <w:t>项目</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E743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b/>
                <w:bCs/>
                <w:i w:val="0"/>
                <w:iCs w:val="0"/>
                <w:color w:val="auto"/>
                <w:sz w:val="21"/>
                <w:szCs w:val="21"/>
                <w:u w:val="none"/>
              </w:rPr>
            </w:pPr>
            <w:r>
              <w:rPr>
                <w:rFonts w:hint="eastAsia" w:ascii="Times New Roman" w:hAnsi="Times New Roman" w:eastAsia="宋体" w:cs="宋体"/>
                <w:b/>
                <w:bCs/>
                <w:i w:val="0"/>
                <w:iCs w:val="0"/>
                <w:snapToGrid w:val="0"/>
                <w:color w:val="auto"/>
                <w:kern w:val="0"/>
                <w:sz w:val="21"/>
                <w:szCs w:val="21"/>
                <w:u w:val="none"/>
                <w:lang w:val="en-US" w:eastAsia="zh-CN" w:bidi="ar"/>
              </w:rPr>
              <w:t>技术指标</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1AA3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b/>
                <w:bCs/>
                <w:i w:val="0"/>
                <w:iCs w:val="0"/>
                <w:color w:val="auto"/>
                <w:sz w:val="21"/>
                <w:szCs w:val="21"/>
                <w:u w:val="none"/>
              </w:rPr>
            </w:pPr>
            <w:r>
              <w:rPr>
                <w:rFonts w:hint="eastAsia" w:ascii="Times New Roman" w:hAnsi="Times New Roman" w:eastAsia="宋体" w:cs="宋体"/>
                <w:b/>
                <w:bCs/>
                <w:i w:val="0"/>
                <w:iCs w:val="0"/>
                <w:snapToGrid w:val="0"/>
                <w:color w:val="auto"/>
                <w:kern w:val="0"/>
                <w:sz w:val="21"/>
                <w:szCs w:val="21"/>
                <w:u w:val="none"/>
                <w:lang w:val="en-US" w:eastAsia="zh-CN" w:bidi="ar"/>
              </w:rPr>
              <w:t>检测依据</w:t>
            </w:r>
          </w:p>
        </w:tc>
      </w:tr>
      <w:tr w14:paraId="0053E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99B0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水分，%</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902D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≤30.0</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3EDE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按照GB/T8576的规定执行</w:t>
            </w:r>
          </w:p>
        </w:tc>
      </w:tr>
      <w:tr w14:paraId="0FD9E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0827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酸碱度（PH)</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56A7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5.5-8.5</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B366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按照NY/T1973的规定执行</w:t>
            </w:r>
          </w:p>
        </w:tc>
      </w:tr>
      <w:tr w14:paraId="158E8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9A0C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粪大肠菌群数，个/g</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C22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≤100.0</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FCEF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按照GB/T19524.1的规定执行</w:t>
            </w:r>
          </w:p>
        </w:tc>
      </w:tr>
      <w:tr w14:paraId="6437C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6C68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蛔虫卵死亡率，%</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A5C4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≥95.0</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9A07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按照GB/T19524.2的规定执行</w:t>
            </w:r>
          </w:p>
        </w:tc>
      </w:tr>
      <w:tr w14:paraId="1B0CD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87FB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种子发芽指数（GI)，%</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F944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≥70.0</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3843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按照NY/T525的规定执行</w:t>
            </w:r>
          </w:p>
        </w:tc>
      </w:tr>
      <w:tr w14:paraId="41D8B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C5F6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总砷（以As计)，mg/kg</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C940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≤15.0</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CB90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p>
        </w:tc>
      </w:tr>
      <w:tr w14:paraId="0589B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B3DA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总镉（以cd计)，mg/kg</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F97A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≤3.0</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6CFA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p>
        </w:tc>
      </w:tr>
      <w:tr w14:paraId="5AE70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3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BC46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总铅（以pb计)，mg/kg</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6DA4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≤50.0</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80C1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按照NY/T1978的规定执行</w:t>
            </w:r>
          </w:p>
        </w:tc>
      </w:tr>
      <w:tr w14:paraId="71908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616F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总铬（以cr计)，mg/kg</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2341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≤150.0</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116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p>
        </w:tc>
      </w:tr>
      <w:tr w14:paraId="0CFD7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3E4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总汞（以Hg计)，mg/kg</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F74F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snapToGrid w:val="0"/>
                <w:color w:val="auto"/>
                <w:kern w:val="0"/>
                <w:sz w:val="21"/>
                <w:szCs w:val="21"/>
                <w:u w:val="none"/>
                <w:lang w:val="en-US" w:eastAsia="zh-CN" w:bidi="ar"/>
              </w:rPr>
              <w:t>≤2.0</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B11A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leftChars="0" w:right="0"/>
              <w:jc w:val="center"/>
              <w:textAlignment w:val="center"/>
              <w:rPr>
                <w:rFonts w:hint="eastAsia" w:ascii="Times New Roman" w:hAnsi="Times New Roman" w:eastAsia="宋体" w:cs="宋体"/>
                <w:i w:val="0"/>
                <w:iCs w:val="0"/>
                <w:color w:val="auto"/>
                <w:sz w:val="21"/>
                <w:szCs w:val="21"/>
                <w:u w:val="none"/>
              </w:rPr>
            </w:pPr>
          </w:p>
        </w:tc>
      </w:tr>
    </w:tbl>
    <w:p w14:paraId="4FFBFDB6">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bookmarkStart w:id="51" w:name="_Toc20790"/>
      <w:r>
        <w:rPr>
          <w:rFonts w:hint="eastAsia" w:ascii="Times New Roman" w:hAnsi="Times New Roman" w:eastAsia="宋体" w:cs="宋体"/>
          <w:b/>
          <w:color w:val="auto"/>
          <w:sz w:val="24"/>
          <w:lang w:val="en-US" w:eastAsia="zh-CN"/>
        </w:rPr>
        <w:t>4</w:t>
      </w:r>
      <w:r>
        <w:rPr>
          <w:rFonts w:hint="default" w:ascii="Times New Roman" w:hAnsi="Times New Roman" w:eastAsia="宋体" w:cs="宋体"/>
          <w:b/>
          <w:color w:val="auto"/>
          <w:sz w:val="24"/>
          <w:lang w:val="en-US" w:eastAsia="zh-CN"/>
        </w:rPr>
        <w:t>.</w:t>
      </w:r>
      <w:r>
        <w:rPr>
          <w:rFonts w:hint="eastAsia" w:ascii="Times New Roman" w:hAnsi="Times New Roman" w:eastAsia="宋体" w:cs="宋体"/>
          <w:b/>
          <w:color w:val="auto"/>
          <w:sz w:val="24"/>
          <w:lang w:val="en-US" w:eastAsia="zh-CN"/>
        </w:rPr>
        <w:t>10</w:t>
      </w:r>
      <w:r>
        <w:rPr>
          <w:rFonts w:hint="default" w:ascii="Times New Roman" w:hAnsi="Times New Roman" w:eastAsia="宋体" w:cs="宋体"/>
          <w:b/>
          <w:color w:val="auto"/>
          <w:sz w:val="24"/>
          <w:lang w:val="en-US" w:eastAsia="zh-CN"/>
        </w:rPr>
        <w:t>.</w:t>
      </w:r>
      <w:r>
        <w:rPr>
          <w:rFonts w:hint="eastAsia" w:ascii="Times New Roman" w:hAnsi="Times New Roman" w:eastAsia="宋体" w:cs="宋体"/>
          <w:b/>
          <w:color w:val="auto"/>
          <w:sz w:val="24"/>
          <w:lang w:val="en-US" w:eastAsia="zh-CN"/>
        </w:rPr>
        <w:t>3、还田消纳可行性分析</w:t>
      </w:r>
      <w:bookmarkEnd w:id="51"/>
    </w:p>
    <w:p w14:paraId="0436898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w:t>
      </w:r>
      <w:r>
        <w:rPr>
          <w:rFonts w:hint="default" w:ascii="Times New Roman" w:hAnsi="Times New Roman" w:eastAsia="宋体" w:cs="宋体"/>
          <w:snapToGrid w:val="0"/>
          <w:color w:val="auto"/>
          <w:kern w:val="0"/>
          <w:sz w:val="24"/>
          <w:szCs w:val="24"/>
          <w:lang w:val="en-US" w:eastAsia="zh-CN" w:bidi="ar"/>
        </w:rPr>
        <w:t>施用时间</w:t>
      </w:r>
    </w:p>
    <w:p w14:paraId="3C2321C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本项目</w:t>
      </w:r>
      <w:r>
        <w:rPr>
          <w:rFonts w:hint="default" w:ascii="Times New Roman" w:hAnsi="Times New Roman" w:eastAsia="宋体" w:cs="宋体"/>
          <w:snapToGrid w:val="0"/>
          <w:color w:val="auto"/>
          <w:kern w:val="0"/>
          <w:sz w:val="24"/>
          <w:szCs w:val="24"/>
          <w:lang w:val="en-US" w:eastAsia="zh-CN" w:bidi="ar"/>
        </w:rPr>
        <w:t>淀粉生产时间为每年</w:t>
      </w:r>
      <w:r>
        <w:rPr>
          <w:rFonts w:hint="eastAsia" w:ascii="Times New Roman" w:hAnsi="Times New Roman" w:eastAsia="宋体" w:cs="宋体"/>
          <w:snapToGrid w:val="0"/>
          <w:color w:val="auto"/>
          <w:kern w:val="0"/>
          <w:sz w:val="24"/>
          <w:szCs w:val="24"/>
          <w:lang w:val="en-US" w:eastAsia="zh-CN" w:bidi="ar"/>
        </w:rPr>
        <w:t>8</w:t>
      </w:r>
      <w:r>
        <w:rPr>
          <w:rFonts w:hint="default" w:ascii="Times New Roman" w:hAnsi="Times New Roman" w:eastAsia="宋体" w:cs="宋体"/>
          <w:snapToGrid w:val="0"/>
          <w:color w:val="auto"/>
          <w:kern w:val="0"/>
          <w:sz w:val="24"/>
          <w:szCs w:val="24"/>
          <w:lang w:val="en-US" w:eastAsia="zh-CN" w:bidi="ar"/>
        </w:rPr>
        <w:t>月</w:t>
      </w:r>
      <w:r>
        <w:rPr>
          <w:rFonts w:hint="eastAsia" w:ascii="Times New Roman" w:hAnsi="Times New Roman" w:eastAsia="宋体" w:cs="宋体"/>
          <w:snapToGrid w:val="0"/>
          <w:color w:val="auto"/>
          <w:kern w:val="0"/>
          <w:sz w:val="24"/>
          <w:szCs w:val="24"/>
          <w:lang w:val="en-US" w:eastAsia="zh-CN" w:bidi="ar"/>
        </w:rPr>
        <w:t>～次年1</w:t>
      </w:r>
      <w:r>
        <w:rPr>
          <w:rFonts w:hint="default" w:ascii="Times New Roman" w:hAnsi="Times New Roman" w:eastAsia="宋体" w:cs="宋体"/>
          <w:snapToGrid w:val="0"/>
          <w:color w:val="auto"/>
          <w:kern w:val="0"/>
          <w:sz w:val="24"/>
          <w:szCs w:val="24"/>
          <w:lang w:val="en-US" w:eastAsia="zh-CN" w:bidi="ar"/>
        </w:rPr>
        <w:t>月，生产天数约为1</w:t>
      </w:r>
      <w:r>
        <w:rPr>
          <w:rFonts w:hint="eastAsia" w:ascii="Times New Roman" w:hAnsi="Times New Roman" w:eastAsia="宋体" w:cs="宋体"/>
          <w:snapToGrid w:val="0"/>
          <w:color w:val="auto"/>
          <w:kern w:val="0"/>
          <w:sz w:val="24"/>
          <w:szCs w:val="24"/>
          <w:lang w:val="en-US" w:eastAsia="zh-CN" w:bidi="ar"/>
        </w:rPr>
        <w:t>8</w:t>
      </w:r>
      <w:r>
        <w:rPr>
          <w:rFonts w:hint="default" w:ascii="Times New Roman" w:hAnsi="Times New Roman" w:eastAsia="宋体" w:cs="宋体"/>
          <w:snapToGrid w:val="0"/>
          <w:color w:val="auto"/>
          <w:kern w:val="0"/>
          <w:sz w:val="24"/>
          <w:szCs w:val="24"/>
          <w:lang w:val="en-US" w:eastAsia="zh-CN" w:bidi="ar"/>
        </w:rPr>
        <w:t>0d。生产期</w:t>
      </w:r>
      <w:r>
        <w:rPr>
          <w:rFonts w:hint="eastAsia" w:ascii="Times New Roman" w:hAnsi="Times New Roman" w:eastAsia="宋体" w:cs="宋体"/>
          <w:snapToGrid w:val="0"/>
          <w:color w:val="auto"/>
          <w:kern w:val="0"/>
          <w:sz w:val="24"/>
          <w:szCs w:val="24"/>
          <w:lang w:val="en-US" w:eastAsia="zh-CN" w:bidi="ar"/>
        </w:rPr>
        <w:t>加工</w:t>
      </w:r>
      <w:r>
        <w:rPr>
          <w:rFonts w:hint="default" w:ascii="Times New Roman" w:hAnsi="Times New Roman" w:eastAsia="宋体" w:cs="宋体"/>
          <w:snapToGrid w:val="0"/>
          <w:color w:val="auto"/>
          <w:kern w:val="0"/>
          <w:sz w:val="24"/>
          <w:szCs w:val="24"/>
          <w:lang w:val="en-US" w:eastAsia="zh-CN" w:bidi="ar"/>
        </w:rPr>
        <w:t>汁水等废水</w:t>
      </w:r>
      <w:r>
        <w:rPr>
          <w:rFonts w:hint="eastAsia" w:ascii="Times New Roman" w:hAnsi="Times New Roman" w:eastAsia="宋体" w:cs="宋体"/>
          <w:snapToGrid w:val="0"/>
          <w:color w:val="auto"/>
          <w:kern w:val="0"/>
          <w:sz w:val="24"/>
          <w:szCs w:val="24"/>
          <w:lang w:val="en-US" w:eastAsia="zh-CN" w:bidi="ar"/>
        </w:rPr>
        <w:t>经黑膜氧化池</w:t>
      </w:r>
      <w:r>
        <w:rPr>
          <w:rFonts w:hint="default" w:ascii="Times New Roman" w:hAnsi="Times New Roman" w:eastAsia="宋体" w:cs="宋体"/>
          <w:snapToGrid w:val="0"/>
          <w:color w:val="auto"/>
          <w:kern w:val="0"/>
          <w:sz w:val="24"/>
          <w:szCs w:val="24"/>
          <w:lang w:val="en-US" w:eastAsia="zh-CN" w:bidi="ar"/>
        </w:rPr>
        <w:t>发酵</w:t>
      </w:r>
      <w:r>
        <w:rPr>
          <w:rFonts w:hint="eastAsia" w:ascii="Times New Roman" w:hAnsi="Times New Roman" w:eastAsia="宋体" w:cs="宋体"/>
          <w:snapToGrid w:val="0"/>
          <w:color w:val="auto"/>
          <w:kern w:val="0"/>
          <w:sz w:val="24"/>
          <w:szCs w:val="24"/>
          <w:lang w:val="en-US" w:eastAsia="zh-CN" w:bidi="ar"/>
        </w:rPr>
        <w:t>30天</w:t>
      </w:r>
      <w:r>
        <w:rPr>
          <w:rFonts w:hint="default" w:ascii="Times New Roman" w:hAnsi="Times New Roman" w:eastAsia="宋体" w:cs="宋体"/>
          <w:snapToGrid w:val="0"/>
          <w:color w:val="auto"/>
          <w:kern w:val="0"/>
          <w:sz w:val="24"/>
          <w:szCs w:val="24"/>
          <w:lang w:val="en-US" w:eastAsia="zh-CN" w:bidi="ar"/>
        </w:rPr>
        <w:t>后对沼液进行监测，沼液质量符合</w:t>
      </w:r>
      <w:r>
        <w:rPr>
          <w:rFonts w:hint="eastAsia" w:ascii="Times New Roman" w:hAnsi="Times New Roman" w:eastAsia="宋体" w:cs="宋体"/>
          <w:snapToGrid w:val="0"/>
          <w:color w:val="auto"/>
          <w:kern w:val="0"/>
          <w:sz w:val="24"/>
          <w:szCs w:val="24"/>
          <w:lang w:val="en-US" w:eastAsia="zh-CN" w:bidi="ar"/>
        </w:rPr>
        <w:t>表4-14、表4-15限制标准</w:t>
      </w:r>
      <w:r>
        <w:rPr>
          <w:rFonts w:hint="default" w:ascii="Times New Roman" w:hAnsi="Times New Roman" w:eastAsia="宋体" w:cs="宋体"/>
          <w:snapToGrid w:val="0"/>
          <w:color w:val="auto"/>
          <w:kern w:val="0"/>
          <w:sz w:val="24"/>
          <w:szCs w:val="24"/>
          <w:lang w:val="en-US" w:eastAsia="zh-CN" w:bidi="ar"/>
        </w:rPr>
        <w:t>后，可</w:t>
      </w:r>
      <w:r>
        <w:rPr>
          <w:rFonts w:hint="eastAsia" w:ascii="Times New Roman" w:hAnsi="Times New Roman" w:eastAsia="宋体" w:cs="宋体"/>
          <w:snapToGrid w:val="0"/>
          <w:color w:val="auto"/>
          <w:kern w:val="0"/>
          <w:sz w:val="24"/>
          <w:szCs w:val="24"/>
          <w:lang w:val="en-US" w:eastAsia="zh-CN" w:bidi="ar"/>
        </w:rPr>
        <w:t>在秋收后至来年春播前土地空闲期</w:t>
      </w:r>
      <w:r>
        <w:rPr>
          <w:rFonts w:hint="default" w:ascii="Times New Roman" w:hAnsi="Times New Roman" w:eastAsia="宋体" w:cs="宋体"/>
          <w:snapToGrid w:val="0"/>
          <w:color w:val="auto"/>
          <w:kern w:val="0"/>
          <w:sz w:val="24"/>
          <w:szCs w:val="24"/>
          <w:lang w:val="en-US" w:eastAsia="zh-CN" w:bidi="ar"/>
        </w:rPr>
        <w:t>进行还田利用。</w:t>
      </w:r>
    </w:p>
    <w:p w14:paraId="26BCAEE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2、还田方式</w:t>
      </w:r>
    </w:p>
    <w:p w14:paraId="224DBA5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w:t>
      </w:r>
      <w:r>
        <w:rPr>
          <w:rFonts w:hint="default" w:ascii="Times New Roman" w:hAnsi="Times New Roman" w:eastAsia="宋体" w:cs="宋体"/>
          <w:snapToGrid w:val="0"/>
          <w:color w:val="auto"/>
          <w:kern w:val="0"/>
          <w:sz w:val="24"/>
          <w:szCs w:val="24"/>
          <w:lang w:val="en-US" w:eastAsia="zh-CN" w:bidi="ar"/>
        </w:rPr>
        <w:t>采用小孔出流施用方式</w:t>
      </w:r>
      <w:r>
        <w:rPr>
          <w:rFonts w:hint="eastAsia" w:ascii="Times New Roman" w:hAnsi="Times New Roman" w:eastAsia="宋体" w:cs="宋体"/>
          <w:snapToGrid w:val="0"/>
          <w:color w:val="auto"/>
          <w:kern w:val="0"/>
          <w:sz w:val="24"/>
          <w:szCs w:val="24"/>
          <w:lang w:val="en-US" w:eastAsia="zh-CN" w:bidi="ar"/>
        </w:rPr>
        <w:t>，微灌速率一般为2.0L/h</w:t>
      </w:r>
      <w:r>
        <w:rPr>
          <w:rFonts w:hint="default" w:ascii="Times New Roman" w:hAnsi="Times New Roman" w:eastAsia="宋体" w:cs="宋体"/>
          <w:snapToGrid w:val="0"/>
          <w:color w:val="auto"/>
          <w:kern w:val="0"/>
          <w:sz w:val="24"/>
          <w:szCs w:val="24"/>
          <w:lang w:val="en-US" w:eastAsia="zh-CN" w:bidi="ar"/>
        </w:rPr>
        <w:t>；沼液资源化利用后应</w:t>
      </w:r>
      <w:r>
        <w:rPr>
          <w:rFonts w:hint="eastAsia" w:ascii="Times New Roman" w:hAnsi="Times New Roman" w:eastAsia="宋体" w:cs="宋体"/>
          <w:snapToGrid w:val="0"/>
          <w:color w:val="auto"/>
          <w:kern w:val="0"/>
          <w:sz w:val="24"/>
          <w:szCs w:val="24"/>
          <w:lang w:val="en-US" w:eastAsia="zh-CN" w:bidi="ar"/>
        </w:rPr>
        <w:t>要求</w:t>
      </w:r>
      <w:r>
        <w:rPr>
          <w:rFonts w:hint="default" w:ascii="Times New Roman" w:hAnsi="Times New Roman" w:eastAsia="宋体" w:cs="宋体"/>
          <w:snapToGrid w:val="0"/>
          <w:color w:val="auto"/>
          <w:kern w:val="0"/>
          <w:sz w:val="24"/>
          <w:szCs w:val="24"/>
          <w:lang w:val="en-US" w:eastAsia="zh-CN" w:bidi="ar"/>
        </w:rPr>
        <w:t>及时进行翻耕，翻耕深度</w:t>
      </w:r>
      <w:r>
        <w:rPr>
          <w:rFonts w:hint="eastAsia" w:ascii="Times New Roman" w:hAnsi="Times New Roman" w:eastAsia="宋体" w:cs="宋体"/>
          <w:snapToGrid w:val="0"/>
          <w:color w:val="auto"/>
          <w:kern w:val="0"/>
          <w:sz w:val="24"/>
          <w:szCs w:val="24"/>
          <w:lang w:val="en-US" w:eastAsia="zh-CN" w:bidi="ar"/>
        </w:rPr>
        <w:t>需</w:t>
      </w:r>
      <w:r>
        <w:rPr>
          <w:rFonts w:hint="default" w:ascii="Times New Roman" w:hAnsi="Times New Roman" w:eastAsia="宋体" w:cs="宋体"/>
          <w:snapToGrid w:val="0"/>
          <w:color w:val="auto"/>
          <w:kern w:val="0"/>
          <w:sz w:val="24"/>
          <w:szCs w:val="24"/>
          <w:lang w:val="en-US" w:eastAsia="zh-CN" w:bidi="ar"/>
        </w:rPr>
        <w:t>达到20～30cm</w:t>
      </w:r>
      <w:r>
        <w:rPr>
          <w:rFonts w:hint="eastAsia" w:ascii="Times New Roman" w:hAnsi="Times New Roman" w:eastAsia="宋体" w:cs="宋体"/>
          <w:snapToGrid w:val="0"/>
          <w:color w:val="auto"/>
          <w:kern w:val="0"/>
          <w:sz w:val="24"/>
          <w:szCs w:val="24"/>
          <w:lang w:val="en-US" w:eastAsia="zh-CN" w:bidi="ar"/>
        </w:rPr>
        <w:t>，以减少沼液恶臭气体浓度</w:t>
      </w:r>
      <w:r>
        <w:rPr>
          <w:rFonts w:hint="default" w:ascii="Times New Roman" w:hAnsi="Times New Roman" w:eastAsia="宋体" w:cs="宋体"/>
          <w:snapToGrid w:val="0"/>
          <w:color w:val="auto"/>
          <w:kern w:val="0"/>
          <w:sz w:val="24"/>
          <w:szCs w:val="24"/>
          <w:lang w:val="en-US" w:eastAsia="zh-CN" w:bidi="ar"/>
        </w:rPr>
        <w:t>。</w:t>
      </w:r>
    </w:p>
    <w:p w14:paraId="299CC17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w:t>
      </w:r>
      <w:r>
        <w:rPr>
          <w:rFonts w:hint="default" w:ascii="Times New Roman" w:hAnsi="Times New Roman" w:eastAsia="宋体" w:cs="宋体"/>
          <w:snapToGrid w:val="0"/>
          <w:color w:val="auto"/>
          <w:kern w:val="0"/>
          <w:sz w:val="24"/>
          <w:szCs w:val="24"/>
          <w:lang w:val="en-US" w:eastAsia="zh-CN" w:bidi="ar"/>
        </w:rPr>
        <w:t>灌溉周期：本项目灌溉周期为</w:t>
      </w:r>
      <w:r>
        <w:rPr>
          <w:rFonts w:hint="eastAsia" w:ascii="Times New Roman" w:hAnsi="Times New Roman" w:eastAsia="宋体" w:cs="宋体"/>
          <w:snapToGrid w:val="0"/>
          <w:color w:val="auto"/>
          <w:kern w:val="0"/>
          <w:sz w:val="24"/>
          <w:szCs w:val="24"/>
          <w:lang w:val="en-US" w:eastAsia="zh-CN" w:bidi="ar"/>
        </w:rPr>
        <w:t>6</w:t>
      </w:r>
      <w:r>
        <w:rPr>
          <w:rFonts w:hint="default" w:ascii="Times New Roman" w:hAnsi="Times New Roman" w:eastAsia="宋体" w:cs="宋体"/>
          <w:snapToGrid w:val="0"/>
          <w:color w:val="auto"/>
          <w:kern w:val="0"/>
          <w:sz w:val="24"/>
          <w:szCs w:val="24"/>
          <w:lang w:val="en-US" w:eastAsia="zh-CN" w:bidi="ar"/>
        </w:rPr>
        <w:t>天一次</w:t>
      </w:r>
      <w:r>
        <w:rPr>
          <w:rFonts w:hint="eastAsia" w:ascii="Times New Roman" w:hAnsi="Times New Roman" w:eastAsia="宋体" w:cs="宋体"/>
          <w:snapToGrid w:val="0"/>
          <w:color w:val="auto"/>
          <w:kern w:val="0"/>
          <w:sz w:val="24"/>
          <w:szCs w:val="24"/>
          <w:vertAlign w:val="baseline"/>
          <w:lang w:val="en-US" w:eastAsia="zh-CN" w:bidi="ar"/>
        </w:rPr>
        <w:t>。</w:t>
      </w:r>
    </w:p>
    <w:p w14:paraId="2D83F8A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3、还田水量的可行性</w:t>
      </w:r>
    </w:p>
    <w:p w14:paraId="3C93D3F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（1）实际还田水量</w:t>
      </w:r>
    </w:p>
    <w:p w14:paraId="7D97A70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企业预计配套消纳沼液及沼渣的农田约为</w:t>
      </w:r>
      <w:r>
        <w:rPr>
          <w:rFonts w:hint="eastAsia" w:ascii="Times New Roman" w:hAnsi="Times New Roman" w:eastAsia="宋体" w:cs="宋体"/>
          <w:snapToGrid w:val="0"/>
          <w:color w:val="auto"/>
          <w:kern w:val="0"/>
          <w:sz w:val="24"/>
          <w:szCs w:val="24"/>
          <w:lang w:val="en-US" w:eastAsia="zh-CN" w:bidi="ar"/>
        </w:rPr>
        <w:t>1500</w:t>
      </w:r>
      <w:r>
        <w:rPr>
          <w:rFonts w:hint="default" w:ascii="Times New Roman" w:hAnsi="Times New Roman" w:eastAsia="宋体" w:cs="宋体"/>
          <w:snapToGrid w:val="0"/>
          <w:color w:val="auto"/>
          <w:kern w:val="0"/>
          <w:sz w:val="24"/>
          <w:szCs w:val="24"/>
          <w:lang w:val="en-US" w:eastAsia="zh-CN" w:bidi="ar"/>
        </w:rPr>
        <w:t>亩，</w:t>
      </w:r>
      <w:r>
        <w:rPr>
          <w:rFonts w:hint="eastAsia" w:ascii="Times New Roman" w:hAnsi="Times New Roman" w:eastAsia="宋体" w:cs="宋体"/>
          <w:snapToGrid w:val="0"/>
          <w:color w:val="auto"/>
          <w:kern w:val="0"/>
          <w:sz w:val="24"/>
          <w:szCs w:val="24"/>
          <w:lang w:val="en-US" w:eastAsia="zh-CN" w:bidi="ar"/>
        </w:rPr>
        <w:t>黑膜氧化池废水每30天发酵还田一次，每次发酵还田水量约</w:t>
      </w:r>
      <w:r>
        <w:rPr>
          <w:rFonts w:hint="default" w:ascii="Times New Roman" w:hAnsi="Times New Roman" w:eastAsia="宋体" w:cs="宋体"/>
          <w:snapToGrid w:val="0"/>
          <w:color w:val="auto"/>
          <w:kern w:val="0"/>
          <w:sz w:val="24"/>
          <w:szCs w:val="24"/>
          <w:lang w:val="en-US" w:eastAsia="zh-CN" w:bidi="ar"/>
        </w:rPr>
        <w:t>为</w:t>
      </w:r>
      <w:r>
        <w:rPr>
          <w:rFonts w:hint="eastAsia" w:ascii="Times New Roman" w:hAnsi="Times New Roman" w:eastAsia="宋体" w:cs="宋体"/>
          <w:snapToGrid w:val="0"/>
          <w:color w:val="auto"/>
          <w:kern w:val="0"/>
          <w:sz w:val="24"/>
          <w:szCs w:val="24"/>
          <w:lang w:val="en-US" w:eastAsia="zh-CN" w:bidi="ar"/>
        </w:rPr>
        <w:t>3000</w:t>
      </w:r>
      <w:r>
        <w:rPr>
          <w:rFonts w:hint="default" w:ascii="Times New Roman" w:hAnsi="Times New Roman" w:eastAsia="宋体" w:cs="宋体"/>
          <w:snapToGrid w:val="0"/>
          <w:color w:val="auto"/>
          <w:kern w:val="0"/>
          <w:sz w:val="24"/>
          <w:szCs w:val="24"/>
          <w:lang w:val="en-US" w:eastAsia="zh-CN" w:bidi="ar"/>
        </w:rPr>
        <w:t>m</w:t>
      </w:r>
      <w:r>
        <w:rPr>
          <w:rFonts w:hint="default" w:ascii="Times New Roman" w:hAnsi="Times New Roman" w:eastAsia="宋体" w:cs="宋体"/>
          <w:snapToGrid w:val="0"/>
          <w:color w:val="auto"/>
          <w:kern w:val="0"/>
          <w:sz w:val="24"/>
          <w:szCs w:val="24"/>
          <w:vertAlign w:val="superscript"/>
          <w:lang w:val="en-US" w:eastAsia="zh-CN" w:bidi="ar"/>
        </w:rPr>
        <w:t>3</w:t>
      </w:r>
      <w:r>
        <w:rPr>
          <w:rFonts w:hint="eastAsia" w:ascii="Times New Roman" w:hAnsi="Times New Roman" w:eastAsia="宋体" w:cs="宋体"/>
          <w:snapToGrid w:val="0"/>
          <w:color w:val="auto"/>
          <w:kern w:val="0"/>
          <w:sz w:val="24"/>
          <w:szCs w:val="24"/>
          <w:vertAlign w:val="baseline"/>
          <w:lang w:val="en-US" w:eastAsia="zh-CN" w:bidi="ar"/>
        </w:rPr>
        <w:t>/次</w:t>
      </w: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实际单位面积土地施</w:t>
      </w:r>
      <w:r>
        <w:rPr>
          <w:rFonts w:hint="default" w:ascii="Times New Roman" w:hAnsi="Times New Roman" w:eastAsia="宋体" w:cs="宋体"/>
          <w:snapToGrid w:val="0"/>
          <w:color w:val="auto"/>
          <w:kern w:val="0"/>
          <w:sz w:val="24"/>
          <w:szCs w:val="24"/>
          <w:lang w:val="en-US" w:eastAsia="zh-CN" w:bidi="ar"/>
        </w:rPr>
        <w:t>用量为</w:t>
      </w:r>
      <w:r>
        <w:rPr>
          <w:rFonts w:hint="eastAsia" w:ascii="Times New Roman" w:hAnsi="Times New Roman" w:eastAsia="宋体" w:cs="宋体"/>
          <w:snapToGrid w:val="0"/>
          <w:color w:val="auto"/>
          <w:kern w:val="0"/>
          <w:sz w:val="24"/>
          <w:szCs w:val="24"/>
          <w:lang w:val="en-US" w:eastAsia="zh-CN" w:bidi="ar"/>
        </w:rPr>
        <w:t>2</w:t>
      </w:r>
      <w:r>
        <w:rPr>
          <w:rFonts w:hint="default" w:ascii="Times New Roman" w:hAnsi="Times New Roman" w:eastAsia="宋体" w:cs="宋体"/>
          <w:snapToGrid w:val="0"/>
          <w:color w:val="auto"/>
          <w:kern w:val="0"/>
          <w:sz w:val="24"/>
          <w:szCs w:val="24"/>
          <w:lang w:val="en-US" w:eastAsia="zh-CN" w:bidi="ar"/>
        </w:rPr>
        <w:t>m</w:t>
      </w:r>
      <w:r>
        <w:rPr>
          <w:rFonts w:hint="default" w:ascii="Times New Roman" w:hAnsi="Times New Roman" w:eastAsia="宋体" w:cs="宋体"/>
          <w:snapToGrid w:val="0"/>
          <w:color w:val="auto"/>
          <w:kern w:val="0"/>
          <w:sz w:val="24"/>
          <w:szCs w:val="24"/>
          <w:vertAlign w:val="superscript"/>
          <w:lang w:val="en-US" w:eastAsia="zh-CN" w:bidi="ar"/>
        </w:rPr>
        <w:t>3</w:t>
      </w:r>
      <w:r>
        <w:rPr>
          <w:rFonts w:hint="default" w:ascii="Times New Roman" w:hAnsi="Times New Roman" w:eastAsia="宋体" w:cs="宋体"/>
          <w:snapToGrid w:val="0"/>
          <w:color w:val="auto"/>
          <w:kern w:val="0"/>
          <w:sz w:val="24"/>
          <w:szCs w:val="24"/>
          <w:lang w:val="en-US" w:eastAsia="zh-CN" w:bidi="ar"/>
        </w:rPr>
        <w:t>/亩</w:t>
      </w:r>
      <w:r>
        <w:rPr>
          <w:rFonts w:hint="eastAsia" w:ascii="Times New Roman" w:hAnsi="Times New Roman" w:eastAsia="宋体" w:cs="宋体"/>
          <w:snapToGrid w:val="0"/>
          <w:color w:val="auto"/>
          <w:kern w:val="0"/>
          <w:sz w:val="24"/>
          <w:szCs w:val="24"/>
          <w:lang w:val="en-US" w:eastAsia="zh-CN" w:bidi="ar"/>
        </w:rPr>
        <w:t>。</w:t>
      </w:r>
    </w:p>
    <w:p w14:paraId="239FF01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（2）“以氮定量”年施用量</w:t>
      </w:r>
    </w:p>
    <w:p w14:paraId="55CA571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参照宁夏回族自治区《马铃薯淀粉加工废水汁水还田利用技术规范（试行）》附录B中以氮负荷为限值因子的加工废水汁水年施用量推荐公式进行计算，公式如下：</w:t>
      </w:r>
    </w:p>
    <w:p w14:paraId="3F1F38D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Chars="0" w:firstLine="0" w:firstLineChars="0"/>
        <w:jc w:val="center"/>
        <w:textAlignment w:val="baseline"/>
        <w:rPr>
          <w:rFonts w:hint="eastAsia" w:ascii="Times New Roman" w:hAnsi="Times New Roman" w:eastAsia="宋体" w:cs="宋体"/>
          <w:bCs/>
          <w:snapToGrid w:val="0"/>
          <w:color w:val="auto"/>
          <w:kern w:val="0"/>
          <w:sz w:val="24"/>
          <w:szCs w:val="21"/>
          <w:highlight w:val="none"/>
          <w:lang w:val="en-US" w:eastAsia="zh-CN" w:bidi="ar-SA"/>
        </w:rPr>
      </w:pPr>
      <w:r>
        <w:rPr>
          <w:rFonts w:hint="eastAsia" w:ascii="Times New Roman" w:hAnsi="Times New Roman" w:eastAsia="宋体" w:cs="宋体"/>
          <w:bCs/>
          <w:snapToGrid w:val="0"/>
          <w:color w:val="auto"/>
          <w:kern w:val="0"/>
          <w:position w:val="-14"/>
          <w:sz w:val="24"/>
          <w:szCs w:val="21"/>
          <w:highlight w:val="none"/>
          <w:lang w:val="en-US" w:eastAsia="zh-CN" w:bidi="ar-SA"/>
        </w:rPr>
        <w:object>
          <v:shape id="_x0000_i1031" o:spt="75" type="#_x0000_t75" style="height:19pt;width:64pt;" o:ole="t" filled="f" o:preferrelative="t" stroked="f" coordsize="21600,21600">
            <v:path/>
            <v:fill on="f" focussize="0,0"/>
            <v:stroke on="f"/>
            <v:imagedata r:id="rId51" o:title=""/>
            <o:lock v:ext="edit" aspectratio="t"/>
            <w10:wrap type="none"/>
            <w10:anchorlock/>
          </v:shape>
          <o:OLEObject Type="Embed" ProgID="Equation.KSEE3" ShapeID="_x0000_i1031" DrawAspect="Content" ObjectID="_1468075731" r:id="rId50">
            <o:LockedField>false</o:LockedField>
          </o:OLEObject>
        </w:object>
      </w:r>
    </w:p>
    <w:p w14:paraId="199B7A98">
      <w:pPr>
        <w:pStyle w:val="13"/>
        <w:jc w:val="center"/>
        <w:rPr>
          <w:rFonts w:hint="eastAsia" w:ascii="Times New Roman" w:hAnsi="Times New Roman" w:eastAsia="宋体" w:cs="宋体"/>
          <w:bCs/>
          <w:snapToGrid w:val="0"/>
          <w:color w:val="auto"/>
          <w:kern w:val="0"/>
          <w:sz w:val="24"/>
          <w:szCs w:val="21"/>
          <w:highlight w:val="none"/>
          <w:lang w:val="en-US" w:eastAsia="zh-CN" w:bidi="ar-SA"/>
        </w:rPr>
      </w:pPr>
      <w:r>
        <w:rPr>
          <w:rFonts w:hint="eastAsia" w:ascii="Times New Roman" w:hAnsi="Times New Roman" w:eastAsia="宋体" w:cs="宋体"/>
          <w:bCs/>
          <w:snapToGrid w:val="0"/>
          <w:color w:val="auto"/>
          <w:kern w:val="0"/>
          <w:position w:val="-24"/>
          <w:sz w:val="24"/>
          <w:szCs w:val="21"/>
          <w:highlight w:val="none"/>
          <w:lang w:val="en-US" w:eastAsia="zh-CN" w:bidi="ar-SA"/>
        </w:rPr>
        <w:object>
          <v:shape id="_x0000_i1032" o:spt="75" type="#_x0000_t75" style="height:31pt;width:76pt;" o:ole="t" filled="f" o:preferrelative="t" stroked="f" coordsize="21600,21600">
            <v:path/>
            <v:fill on="f" focussize="0,0"/>
            <v:stroke on="f"/>
            <v:imagedata r:id="rId53" o:title=""/>
            <o:lock v:ext="edit" aspectratio="t"/>
            <w10:wrap type="none"/>
            <w10:anchorlock/>
          </v:shape>
          <o:OLEObject Type="Embed" ProgID="Equation.KSEE3" ShapeID="_x0000_i1032" DrawAspect="Content" ObjectID="_1468075732" r:id="rId52">
            <o:LockedField>false</o:LockedField>
          </o:OLEObject>
        </w:object>
      </w:r>
    </w:p>
    <w:p w14:paraId="04E312DD">
      <w:pPr>
        <w:jc w:val="center"/>
        <w:rPr>
          <w:rFonts w:hint="eastAsia"/>
          <w:color w:val="auto"/>
          <w:lang w:val="en-US" w:eastAsia="zh-CN"/>
        </w:rPr>
      </w:pPr>
      <w:r>
        <w:rPr>
          <w:rFonts w:hint="eastAsia"/>
          <w:color w:val="auto"/>
          <w:position w:val="-28"/>
          <w:lang w:val="en-US" w:eastAsia="zh-CN"/>
        </w:rPr>
        <w:object>
          <v:shape id="_x0000_i1033" o:spt="75" type="#_x0000_t75" style="height:33pt;width:114.95pt;" o:ole="t" filled="f" o:preferrelative="t" stroked="f" coordsize="21600,21600">
            <v:path/>
            <v:fill on="f" focussize="0,0"/>
            <v:stroke on="f"/>
            <v:imagedata r:id="rId55" o:title=""/>
            <o:lock v:ext="edit" aspectratio="t"/>
            <w10:wrap type="none"/>
            <w10:anchorlock/>
          </v:shape>
          <o:OLEObject Type="Embed" ProgID="Equation.KSEE3" ShapeID="_x0000_i1033" DrawAspect="Content" ObjectID="_1468075733" r:id="rId54">
            <o:LockedField>false</o:LockedField>
          </o:OLEObject>
        </w:object>
      </w:r>
    </w:p>
    <w:p w14:paraId="450E98A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Chars="0" w:firstLine="0" w:firstLineChars="0"/>
        <w:jc w:val="left"/>
        <w:textAlignment w:val="baseline"/>
        <w:rPr>
          <w:rFonts w:hint="default" w:ascii="Times New Roman" w:hAnsi="Times New Roman" w:eastAsia="宋体" w:cs="Times New Roman"/>
          <w:bCs/>
          <w:snapToGrid w:val="0"/>
          <w:color w:val="auto"/>
          <w:kern w:val="0"/>
          <w:sz w:val="24"/>
          <w:szCs w:val="21"/>
          <w:highlight w:val="none"/>
          <w:lang w:val="en-US" w:eastAsia="zh-CN" w:bidi="ar-SA"/>
        </w:rPr>
      </w:pPr>
      <w:r>
        <w:rPr>
          <w:rFonts w:hint="eastAsia" w:ascii="Times New Roman" w:hAnsi="Times New Roman" w:eastAsia="宋体" w:cs="宋体"/>
          <w:bCs/>
          <w:snapToGrid w:val="0"/>
          <w:color w:val="auto"/>
          <w:kern w:val="0"/>
          <w:sz w:val="24"/>
          <w:szCs w:val="21"/>
          <w:highlight w:val="none"/>
          <w:lang w:val="en-US" w:eastAsia="zh-CN" w:bidi="ar-SA"/>
        </w:rPr>
        <w:t>式中：</w:t>
      </w:r>
      <w:r>
        <w:rPr>
          <w:rFonts w:hint="default" w:ascii="Times New Roman" w:hAnsi="Times New Roman" w:eastAsia="宋体" w:cs="Times New Roman"/>
          <w:bCs/>
          <w:snapToGrid w:val="0"/>
          <w:color w:val="auto"/>
          <w:kern w:val="0"/>
          <w:sz w:val="24"/>
          <w:szCs w:val="21"/>
          <w:highlight w:val="none"/>
          <w:lang w:val="en-US" w:eastAsia="zh-CN" w:bidi="ar-SA"/>
        </w:rPr>
        <w:t>V</w:t>
      </w:r>
      <w:r>
        <w:rPr>
          <w:rFonts w:hint="eastAsia" w:ascii="Times New Roman" w:hAnsi="Times New Roman" w:eastAsia="宋体" w:cs="Times New Roman"/>
          <w:bCs/>
          <w:snapToGrid w:val="0"/>
          <w:color w:val="auto"/>
          <w:kern w:val="0"/>
          <w:sz w:val="24"/>
          <w:szCs w:val="21"/>
          <w:highlight w:val="none"/>
          <w:vertAlign w:val="subscript"/>
          <w:lang w:val="en-US" w:eastAsia="zh-CN" w:bidi="ar-SA"/>
        </w:rPr>
        <w:t>a</w:t>
      </w:r>
      <w:r>
        <w:rPr>
          <w:rFonts w:hint="default" w:ascii="Times New Roman" w:hAnsi="Times New Roman" w:eastAsia="宋体" w:cs="Times New Roman"/>
          <w:bCs/>
          <w:snapToGrid w:val="0"/>
          <w:color w:val="auto"/>
          <w:kern w:val="0"/>
          <w:sz w:val="24"/>
          <w:szCs w:val="21"/>
          <w:highlight w:val="none"/>
          <w:lang w:val="en-US" w:eastAsia="zh-CN" w:bidi="ar-SA"/>
        </w:rPr>
        <w:t>——</w:t>
      </w:r>
      <w:r>
        <w:rPr>
          <w:rFonts w:hint="eastAsia" w:ascii="Times New Roman" w:hAnsi="Times New Roman" w:eastAsia="宋体" w:cs="Times New Roman"/>
          <w:bCs/>
          <w:snapToGrid w:val="0"/>
          <w:color w:val="auto"/>
          <w:kern w:val="0"/>
          <w:sz w:val="24"/>
          <w:szCs w:val="21"/>
          <w:highlight w:val="none"/>
          <w:lang w:val="en-US" w:eastAsia="zh-CN" w:bidi="ar-SA"/>
        </w:rPr>
        <w:t>单位面积土地加工废水汁水年施用量</w:t>
      </w:r>
      <w:r>
        <w:rPr>
          <w:rFonts w:hint="default" w:ascii="Times New Roman" w:hAnsi="Times New Roman" w:eastAsia="宋体" w:cs="Times New Roman"/>
          <w:bCs/>
          <w:snapToGrid w:val="0"/>
          <w:color w:val="auto"/>
          <w:kern w:val="0"/>
          <w:sz w:val="24"/>
          <w:szCs w:val="21"/>
          <w:highlight w:val="none"/>
          <w:lang w:val="en-US" w:eastAsia="zh-CN" w:bidi="ar-SA"/>
        </w:rPr>
        <w:t>，单位为m</w:t>
      </w:r>
      <w:r>
        <w:rPr>
          <w:rFonts w:hint="default" w:ascii="Times New Roman" w:hAnsi="Times New Roman" w:eastAsia="宋体" w:cs="Times New Roman"/>
          <w:bCs/>
          <w:snapToGrid w:val="0"/>
          <w:color w:val="auto"/>
          <w:kern w:val="0"/>
          <w:sz w:val="24"/>
          <w:szCs w:val="21"/>
          <w:highlight w:val="none"/>
          <w:vertAlign w:val="superscript"/>
          <w:lang w:val="en-US" w:eastAsia="zh-CN" w:bidi="ar-SA"/>
        </w:rPr>
        <w:t>3</w:t>
      </w:r>
      <w:r>
        <w:rPr>
          <w:rFonts w:hint="default" w:ascii="Times New Roman" w:hAnsi="Times New Roman" w:eastAsia="宋体" w:cs="Times New Roman"/>
          <w:bCs/>
          <w:snapToGrid w:val="0"/>
          <w:color w:val="auto"/>
          <w:kern w:val="0"/>
          <w:sz w:val="24"/>
          <w:szCs w:val="21"/>
          <w:highlight w:val="none"/>
          <w:lang w:val="en-US" w:eastAsia="zh-CN" w:bidi="ar-SA"/>
        </w:rPr>
        <w:t>/亩；</w:t>
      </w:r>
    </w:p>
    <w:p w14:paraId="1D4B6F8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Chars="0" w:firstLine="720" w:firstLineChars="300"/>
        <w:jc w:val="left"/>
        <w:textAlignment w:val="baseline"/>
        <w:rPr>
          <w:rFonts w:hint="default" w:ascii="Times New Roman" w:hAnsi="Times New Roman" w:eastAsia="宋体" w:cs="Times New Roman"/>
          <w:bCs/>
          <w:snapToGrid w:val="0"/>
          <w:color w:val="auto"/>
          <w:kern w:val="0"/>
          <w:sz w:val="24"/>
          <w:szCs w:val="21"/>
          <w:highlight w:val="none"/>
          <w:lang w:val="en-US" w:eastAsia="zh-CN" w:bidi="ar-SA"/>
        </w:rPr>
      </w:pPr>
      <w:r>
        <w:rPr>
          <w:rFonts w:hint="eastAsia" w:ascii="Times New Roman" w:hAnsi="Times New Roman" w:eastAsia="宋体" w:cs="Times New Roman"/>
          <w:bCs/>
          <w:snapToGrid w:val="0"/>
          <w:color w:val="auto"/>
          <w:kern w:val="0"/>
          <w:sz w:val="24"/>
          <w:szCs w:val="21"/>
          <w:highlight w:val="none"/>
          <w:lang w:val="en-US" w:eastAsia="zh-CN" w:bidi="ar-SA"/>
        </w:rPr>
        <w:t>V</w:t>
      </w:r>
      <w:r>
        <w:rPr>
          <w:rFonts w:hint="eastAsia" w:ascii="Times New Roman" w:hAnsi="Times New Roman" w:eastAsia="宋体" w:cs="Times New Roman"/>
          <w:bCs/>
          <w:snapToGrid w:val="0"/>
          <w:color w:val="auto"/>
          <w:kern w:val="0"/>
          <w:sz w:val="24"/>
          <w:szCs w:val="21"/>
          <w:highlight w:val="none"/>
          <w:vertAlign w:val="subscript"/>
          <w:lang w:val="en-US" w:eastAsia="zh-CN" w:bidi="ar-SA"/>
        </w:rPr>
        <w:t>b</w:t>
      </w:r>
      <w:r>
        <w:rPr>
          <w:rFonts w:hint="default" w:ascii="Times New Roman" w:hAnsi="Times New Roman" w:eastAsia="宋体" w:cs="Times New Roman"/>
          <w:bCs/>
          <w:snapToGrid w:val="0"/>
          <w:color w:val="auto"/>
          <w:kern w:val="0"/>
          <w:sz w:val="24"/>
          <w:szCs w:val="21"/>
          <w:highlight w:val="none"/>
          <w:lang w:val="en-US" w:eastAsia="zh-CN" w:bidi="ar-SA"/>
        </w:rPr>
        <w:t>——</w:t>
      </w:r>
      <w:r>
        <w:rPr>
          <w:rFonts w:hint="eastAsia" w:ascii="Times New Roman" w:hAnsi="Times New Roman" w:eastAsia="宋体" w:cs="Times New Roman"/>
          <w:bCs/>
          <w:snapToGrid w:val="0"/>
          <w:color w:val="auto"/>
          <w:kern w:val="0"/>
          <w:sz w:val="24"/>
          <w:szCs w:val="21"/>
          <w:highlight w:val="none"/>
          <w:lang w:val="en-US" w:eastAsia="zh-CN" w:bidi="ar-SA"/>
        </w:rPr>
        <w:t>氮平衡施用量</w:t>
      </w:r>
      <w:r>
        <w:rPr>
          <w:rFonts w:hint="default" w:ascii="Times New Roman" w:hAnsi="Times New Roman" w:eastAsia="宋体" w:cs="Times New Roman"/>
          <w:bCs/>
          <w:snapToGrid w:val="0"/>
          <w:color w:val="auto"/>
          <w:kern w:val="0"/>
          <w:sz w:val="24"/>
          <w:szCs w:val="21"/>
          <w:highlight w:val="none"/>
          <w:lang w:val="en-US" w:eastAsia="zh-CN" w:bidi="ar-SA"/>
        </w:rPr>
        <w:t>，单位为m</w:t>
      </w:r>
      <w:r>
        <w:rPr>
          <w:rFonts w:hint="default" w:ascii="Times New Roman" w:hAnsi="Times New Roman" w:eastAsia="宋体" w:cs="Times New Roman"/>
          <w:bCs/>
          <w:snapToGrid w:val="0"/>
          <w:color w:val="auto"/>
          <w:kern w:val="0"/>
          <w:sz w:val="24"/>
          <w:szCs w:val="21"/>
          <w:highlight w:val="none"/>
          <w:vertAlign w:val="superscript"/>
          <w:lang w:val="en-US" w:eastAsia="zh-CN" w:bidi="ar-SA"/>
        </w:rPr>
        <w:t>3</w:t>
      </w:r>
      <w:r>
        <w:rPr>
          <w:rFonts w:hint="default" w:ascii="Times New Roman" w:hAnsi="Times New Roman" w:eastAsia="宋体" w:cs="Times New Roman"/>
          <w:bCs/>
          <w:snapToGrid w:val="0"/>
          <w:color w:val="auto"/>
          <w:kern w:val="0"/>
          <w:sz w:val="24"/>
          <w:szCs w:val="21"/>
          <w:highlight w:val="none"/>
          <w:lang w:val="en-US" w:eastAsia="zh-CN" w:bidi="ar-SA"/>
        </w:rPr>
        <w:t>/亩；</w:t>
      </w:r>
    </w:p>
    <w:p w14:paraId="6B9F5AE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rightChars="0" w:firstLine="720" w:firstLineChars="300"/>
        <w:jc w:val="left"/>
        <w:textAlignment w:val="baseline"/>
        <w:rPr>
          <w:rFonts w:hint="default" w:ascii="Times New Roman" w:hAnsi="Times New Roman" w:eastAsia="宋体" w:cs="Times New Roman"/>
          <w:bCs/>
          <w:snapToGrid w:val="0"/>
          <w:color w:val="auto"/>
          <w:kern w:val="0"/>
          <w:sz w:val="24"/>
          <w:szCs w:val="21"/>
          <w:highlight w:val="none"/>
          <w:lang w:val="en-US" w:eastAsia="zh-CN" w:bidi="ar-SA"/>
        </w:rPr>
      </w:pPr>
      <w:r>
        <w:rPr>
          <w:rFonts w:hint="eastAsia" w:ascii="Times New Roman" w:hAnsi="Times New Roman" w:eastAsia="宋体" w:cs="Times New Roman"/>
          <w:snapToGrid w:val="0"/>
          <w:color w:val="auto"/>
          <w:kern w:val="0"/>
          <w:sz w:val="24"/>
          <w:szCs w:val="24"/>
          <w:lang w:val="en-US" w:eastAsia="zh-CN" w:bidi="ar"/>
        </w:rPr>
        <w:t>V</w:t>
      </w:r>
      <w:r>
        <w:rPr>
          <w:rFonts w:hint="eastAsia" w:ascii="Times New Roman" w:hAnsi="Times New Roman" w:eastAsia="宋体" w:cs="Times New Roman"/>
          <w:snapToGrid w:val="0"/>
          <w:color w:val="auto"/>
          <w:kern w:val="0"/>
          <w:sz w:val="24"/>
          <w:szCs w:val="24"/>
          <w:vertAlign w:val="subscript"/>
          <w:lang w:val="en-US" w:eastAsia="zh-CN" w:bidi="ar"/>
        </w:rPr>
        <w:t>p</w:t>
      </w:r>
      <w:r>
        <w:rPr>
          <w:rFonts w:hint="default" w:ascii="Times New Roman" w:hAnsi="Times New Roman" w:eastAsia="宋体" w:cs="Times New Roman"/>
          <w:bCs/>
          <w:snapToGrid w:val="0"/>
          <w:color w:val="auto"/>
          <w:kern w:val="0"/>
          <w:sz w:val="24"/>
          <w:szCs w:val="21"/>
          <w:highlight w:val="none"/>
          <w:lang w:val="en-US" w:eastAsia="zh-CN" w:bidi="ar-SA"/>
        </w:rPr>
        <w:t>——</w:t>
      </w:r>
      <w:r>
        <w:rPr>
          <w:rFonts w:hint="eastAsia" w:ascii="Times New Roman" w:hAnsi="Times New Roman" w:eastAsia="宋体" w:cs="Times New Roman"/>
          <w:bCs/>
          <w:snapToGrid w:val="0"/>
          <w:color w:val="auto"/>
          <w:kern w:val="0"/>
          <w:sz w:val="24"/>
          <w:szCs w:val="21"/>
          <w:highlight w:val="none"/>
          <w:lang w:val="en-US" w:eastAsia="zh-CN" w:bidi="ar-SA"/>
        </w:rPr>
        <w:t>土壤改良施用量，</w:t>
      </w:r>
      <w:r>
        <w:rPr>
          <w:rFonts w:hint="default" w:ascii="Times New Roman" w:hAnsi="Times New Roman" w:eastAsia="宋体" w:cs="Times New Roman"/>
          <w:bCs/>
          <w:snapToGrid w:val="0"/>
          <w:color w:val="auto"/>
          <w:kern w:val="0"/>
          <w:sz w:val="24"/>
          <w:szCs w:val="21"/>
          <w:highlight w:val="none"/>
          <w:lang w:val="en-US" w:eastAsia="zh-CN" w:bidi="ar-SA"/>
        </w:rPr>
        <w:t>单位为m</w:t>
      </w:r>
      <w:r>
        <w:rPr>
          <w:rFonts w:hint="default" w:ascii="Times New Roman" w:hAnsi="Times New Roman" w:eastAsia="宋体" w:cs="Times New Roman"/>
          <w:bCs/>
          <w:snapToGrid w:val="0"/>
          <w:color w:val="auto"/>
          <w:kern w:val="0"/>
          <w:sz w:val="24"/>
          <w:szCs w:val="21"/>
          <w:highlight w:val="none"/>
          <w:vertAlign w:val="superscript"/>
          <w:lang w:val="en-US" w:eastAsia="zh-CN" w:bidi="ar-SA"/>
        </w:rPr>
        <w:t>3</w:t>
      </w:r>
      <w:r>
        <w:rPr>
          <w:rFonts w:hint="default" w:ascii="Times New Roman" w:hAnsi="Times New Roman" w:eastAsia="宋体" w:cs="Times New Roman"/>
          <w:bCs/>
          <w:snapToGrid w:val="0"/>
          <w:color w:val="auto"/>
          <w:kern w:val="0"/>
          <w:sz w:val="24"/>
          <w:szCs w:val="21"/>
          <w:highlight w:val="none"/>
          <w:lang w:val="en-US" w:eastAsia="zh-CN" w:bidi="ar-SA"/>
        </w:rPr>
        <w:t>/亩</w:t>
      </w:r>
      <w:r>
        <w:rPr>
          <w:rFonts w:hint="eastAsia" w:ascii="Times New Roman" w:hAnsi="Times New Roman" w:eastAsia="宋体" w:cs="Times New Roman"/>
          <w:bCs/>
          <w:snapToGrid w:val="0"/>
          <w:color w:val="auto"/>
          <w:kern w:val="0"/>
          <w:sz w:val="24"/>
          <w:szCs w:val="21"/>
          <w:highlight w:val="none"/>
          <w:lang w:val="en-US" w:eastAsia="zh-CN" w:bidi="ar-SA"/>
        </w:rPr>
        <w:t>，</w:t>
      </w:r>
      <w:r>
        <w:rPr>
          <w:rFonts w:hint="eastAsia" w:ascii="Times New Roman" w:hAnsi="Times New Roman" w:eastAsia="宋体" w:cs="宋体"/>
          <w:bCs/>
          <w:snapToGrid w:val="0"/>
          <w:color w:val="auto"/>
          <w:kern w:val="0"/>
          <w:sz w:val="24"/>
          <w:szCs w:val="21"/>
          <w:highlight w:val="none"/>
          <w:lang w:val="en-US" w:eastAsia="zh-CN" w:bidi="ar-SA"/>
        </w:rPr>
        <w:t>本项目取0.3m</w:t>
      </w:r>
      <w:r>
        <w:rPr>
          <w:rFonts w:hint="default" w:ascii="Times New Roman" w:hAnsi="Times New Roman" w:eastAsia="宋体" w:cs="Times New Roman"/>
          <w:bCs/>
          <w:snapToGrid w:val="0"/>
          <w:color w:val="auto"/>
          <w:kern w:val="0"/>
          <w:sz w:val="24"/>
          <w:szCs w:val="21"/>
          <w:highlight w:val="none"/>
          <w:lang w:val="en-US" w:eastAsia="zh-CN" w:bidi="ar-SA"/>
        </w:rPr>
        <w:t>；</w:t>
      </w:r>
    </w:p>
    <w:p w14:paraId="700FAF2E">
      <w:pPr>
        <w:keepNext w:val="0"/>
        <w:keepLines w:val="0"/>
        <w:pageBreakBefore w:val="0"/>
        <w:widowControl/>
        <w:kinsoku w:val="0"/>
        <w:wordWrap/>
        <w:overflowPunct/>
        <w:topLinePunct w:val="0"/>
        <w:autoSpaceDE w:val="0"/>
        <w:autoSpaceDN w:val="0"/>
        <w:bidi w:val="0"/>
        <w:adjustRightInd w:val="0"/>
        <w:snapToGrid w:val="0"/>
        <w:spacing w:line="360" w:lineRule="auto"/>
        <w:ind w:rightChars="0" w:firstLine="720" w:firstLineChars="300"/>
        <w:jc w:val="left"/>
        <w:textAlignment w:val="baseline"/>
        <w:rPr>
          <w:rFonts w:hint="eastAsia" w:ascii="Times New Roman" w:hAnsi="Times New Roman" w:eastAsia="宋体" w:cs="Times New Roman"/>
          <w:bCs/>
          <w:snapToGrid w:val="0"/>
          <w:color w:val="auto"/>
          <w:kern w:val="0"/>
          <w:sz w:val="24"/>
          <w:szCs w:val="21"/>
          <w:highlight w:val="none"/>
          <w:lang w:val="en-US" w:eastAsia="zh-CN" w:bidi="ar-SA"/>
        </w:rPr>
      </w:pPr>
      <w:r>
        <w:rPr>
          <w:rFonts w:hint="eastAsia" w:ascii="Times New Roman" w:hAnsi="Times New Roman" w:eastAsia="宋体" w:cs="Times New Roman"/>
          <w:bCs/>
          <w:snapToGrid w:val="0"/>
          <w:color w:val="auto"/>
          <w:kern w:val="0"/>
          <w:sz w:val="24"/>
          <w:szCs w:val="21"/>
          <w:highlight w:val="none"/>
          <w:lang w:val="en-US" w:eastAsia="zh-CN" w:bidi="ar-SA"/>
        </w:rPr>
        <w:t>l</w:t>
      </w:r>
      <w:r>
        <w:rPr>
          <w:rFonts w:hint="default" w:ascii="Times New Roman" w:hAnsi="Times New Roman" w:eastAsia="宋体" w:cs="Times New Roman"/>
          <w:bCs/>
          <w:snapToGrid w:val="0"/>
          <w:color w:val="auto"/>
          <w:kern w:val="0"/>
          <w:sz w:val="24"/>
          <w:szCs w:val="21"/>
          <w:highlight w:val="none"/>
          <w:lang w:val="en-US" w:eastAsia="zh-CN" w:bidi="ar-SA"/>
        </w:rPr>
        <w:t>——</w:t>
      </w:r>
      <w:r>
        <w:rPr>
          <w:rFonts w:hint="eastAsia" w:ascii="Times New Roman" w:hAnsi="Times New Roman" w:eastAsia="宋体" w:cs="Times New Roman"/>
          <w:bCs/>
          <w:snapToGrid w:val="0"/>
          <w:color w:val="auto"/>
          <w:kern w:val="0"/>
          <w:sz w:val="24"/>
          <w:szCs w:val="21"/>
          <w:highlight w:val="none"/>
          <w:lang w:val="en-US" w:eastAsia="zh-CN" w:bidi="ar-SA"/>
        </w:rPr>
        <w:t>土壤中氮损失补偿系数，</w:t>
      </w:r>
      <w:r>
        <w:rPr>
          <w:rFonts w:hint="eastAsia" w:ascii="Times New Roman" w:hAnsi="Times New Roman" w:eastAsia="宋体" w:cs="宋体"/>
          <w:bCs/>
          <w:snapToGrid w:val="0"/>
          <w:color w:val="auto"/>
          <w:kern w:val="0"/>
          <w:sz w:val="24"/>
          <w:szCs w:val="21"/>
          <w:highlight w:val="none"/>
          <w:lang w:val="en-US" w:eastAsia="zh-CN" w:bidi="ar-SA"/>
        </w:rPr>
        <w:t>本项目取1.5</w:t>
      </w:r>
      <w:r>
        <w:rPr>
          <w:rFonts w:hint="eastAsia" w:ascii="Times New Roman" w:hAnsi="Times New Roman" w:eastAsia="宋体" w:cs="Times New Roman"/>
          <w:bCs/>
          <w:snapToGrid w:val="0"/>
          <w:color w:val="auto"/>
          <w:kern w:val="0"/>
          <w:sz w:val="24"/>
          <w:szCs w:val="21"/>
          <w:highlight w:val="none"/>
          <w:lang w:val="en-US" w:eastAsia="zh-CN" w:bidi="ar-SA"/>
        </w:rPr>
        <w:t>；</w:t>
      </w:r>
    </w:p>
    <w:p w14:paraId="76E733B1">
      <w:pPr>
        <w:keepNext w:val="0"/>
        <w:keepLines w:val="0"/>
        <w:pageBreakBefore w:val="0"/>
        <w:widowControl/>
        <w:kinsoku w:val="0"/>
        <w:wordWrap/>
        <w:overflowPunct/>
        <w:topLinePunct w:val="0"/>
        <w:autoSpaceDE w:val="0"/>
        <w:autoSpaceDN w:val="0"/>
        <w:bidi w:val="0"/>
        <w:adjustRightInd w:val="0"/>
        <w:snapToGrid w:val="0"/>
        <w:spacing w:line="360" w:lineRule="auto"/>
        <w:ind w:rightChars="0" w:firstLine="720" w:firstLineChars="300"/>
        <w:jc w:val="left"/>
        <w:textAlignment w:val="baseline"/>
        <w:rPr>
          <w:rFonts w:hint="default" w:ascii="Times New Roman" w:hAnsi="Times New Roman" w:eastAsia="宋体" w:cs="Times New Roman"/>
          <w:bCs/>
          <w:snapToGrid w:val="0"/>
          <w:color w:val="auto"/>
          <w:kern w:val="0"/>
          <w:sz w:val="24"/>
          <w:szCs w:val="21"/>
          <w:highlight w:val="none"/>
          <w:lang w:val="en-US" w:eastAsia="zh-CN" w:bidi="ar-SA"/>
        </w:rPr>
      </w:pPr>
      <w:r>
        <w:rPr>
          <w:rFonts w:hint="eastAsia" w:ascii="Times New Roman" w:hAnsi="Times New Roman" w:eastAsia="宋体" w:cs="Times New Roman"/>
          <w:bCs/>
          <w:snapToGrid w:val="0"/>
          <w:color w:val="auto"/>
          <w:kern w:val="0"/>
          <w:sz w:val="24"/>
          <w:szCs w:val="21"/>
          <w:highlight w:val="none"/>
          <w:lang w:val="en-US" w:eastAsia="zh-CN" w:bidi="ar-SA"/>
        </w:rPr>
        <w:t>y</w:t>
      </w:r>
      <w:r>
        <w:rPr>
          <w:rFonts w:hint="eastAsia" w:ascii="Times New Roman" w:hAnsi="Times New Roman" w:eastAsia="宋体" w:cs="Times New Roman"/>
          <w:bCs/>
          <w:snapToGrid w:val="0"/>
          <w:color w:val="auto"/>
          <w:kern w:val="0"/>
          <w:sz w:val="24"/>
          <w:szCs w:val="21"/>
          <w:highlight w:val="none"/>
          <w:vertAlign w:val="subscript"/>
          <w:lang w:val="en-US" w:eastAsia="zh-CN" w:bidi="ar-SA"/>
        </w:rPr>
        <w:t>i</w:t>
      </w:r>
      <w:r>
        <w:rPr>
          <w:rFonts w:hint="default" w:ascii="Times New Roman" w:hAnsi="Times New Roman" w:eastAsia="宋体" w:cs="Times New Roman"/>
          <w:bCs/>
          <w:snapToGrid w:val="0"/>
          <w:color w:val="auto"/>
          <w:kern w:val="0"/>
          <w:sz w:val="24"/>
          <w:szCs w:val="21"/>
          <w:highlight w:val="none"/>
          <w:lang w:val="en-US" w:eastAsia="zh-CN" w:bidi="ar-SA"/>
        </w:rPr>
        <w:t>——</w:t>
      </w:r>
      <w:r>
        <w:rPr>
          <w:rFonts w:hint="eastAsia" w:ascii="Times New Roman" w:hAnsi="Times New Roman" w:eastAsia="宋体" w:cs="Times New Roman"/>
          <w:bCs/>
          <w:snapToGrid w:val="0"/>
          <w:color w:val="auto"/>
          <w:kern w:val="0"/>
          <w:sz w:val="24"/>
          <w:szCs w:val="21"/>
          <w:highlight w:val="none"/>
          <w:lang w:val="en-US" w:eastAsia="zh-CN" w:bidi="ar-SA"/>
        </w:rPr>
        <w:t>单位面积第i季作物预期产量，单位为kg/亩，</w:t>
      </w:r>
      <w:r>
        <w:rPr>
          <w:rFonts w:hint="eastAsia" w:ascii="Times New Roman" w:hAnsi="Times New Roman" w:eastAsia="宋体" w:cs="宋体"/>
          <w:bCs/>
          <w:snapToGrid w:val="0"/>
          <w:color w:val="auto"/>
          <w:kern w:val="0"/>
          <w:sz w:val="24"/>
          <w:szCs w:val="21"/>
          <w:highlight w:val="none"/>
          <w:lang w:val="en-US" w:eastAsia="zh-CN" w:bidi="ar-SA"/>
        </w:rPr>
        <w:t>本项目取296</w:t>
      </w:r>
      <w:r>
        <w:rPr>
          <w:rFonts w:hint="eastAsia" w:ascii="Times New Roman" w:hAnsi="Times New Roman" w:eastAsia="宋体" w:cs="Times New Roman"/>
          <w:bCs/>
          <w:snapToGrid w:val="0"/>
          <w:color w:val="auto"/>
          <w:kern w:val="0"/>
          <w:sz w:val="24"/>
          <w:szCs w:val="21"/>
          <w:highlight w:val="none"/>
          <w:lang w:val="en-US" w:eastAsia="zh-CN" w:bidi="ar-SA"/>
        </w:rPr>
        <w:t>kg/亩；</w:t>
      </w:r>
    </w:p>
    <w:p w14:paraId="7BA69093">
      <w:pPr>
        <w:pStyle w:val="13"/>
        <w:keepNext w:val="0"/>
        <w:keepLines w:val="0"/>
        <w:pageBreakBefore w:val="0"/>
        <w:widowControl/>
        <w:kinsoku w:val="0"/>
        <w:wordWrap/>
        <w:overflowPunct/>
        <w:topLinePunct w:val="0"/>
        <w:autoSpaceDE w:val="0"/>
        <w:autoSpaceDN w:val="0"/>
        <w:bidi w:val="0"/>
        <w:adjustRightInd w:val="0"/>
        <w:snapToGrid w:val="0"/>
        <w:spacing w:after="0" w:afterLines="0" w:line="360" w:lineRule="auto"/>
        <w:ind w:left="0" w:leftChars="0" w:rightChars="0" w:firstLine="720" w:firstLineChars="300"/>
        <w:jc w:val="left"/>
        <w:textAlignment w:val="baseline"/>
        <w:rPr>
          <w:rFonts w:hint="default" w:ascii="Times New Roman" w:hAnsi="Times New Roman" w:eastAsia="宋体" w:cs="Times New Roman"/>
          <w:bCs/>
          <w:snapToGrid w:val="0"/>
          <w:color w:val="auto"/>
          <w:kern w:val="0"/>
          <w:sz w:val="24"/>
          <w:szCs w:val="21"/>
          <w:highlight w:val="none"/>
          <w:lang w:val="en-US" w:eastAsia="zh-CN" w:bidi="ar-SA"/>
        </w:rPr>
      </w:pPr>
      <w:r>
        <w:rPr>
          <w:rFonts w:hint="eastAsia" w:ascii="Times New Roman" w:hAnsi="Times New Roman" w:eastAsia="宋体" w:cs="Times New Roman"/>
          <w:bCs/>
          <w:snapToGrid w:val="0"/>
          <w:color w:val="auto"/>
          <w:kern w:val="0"/>
          <w:sz w:val="24"/>
          <w:szCs w:val="21"/>
          <w:highlight w:val="none"/>
          <w:lang w:val="en-US" w:eastAsia="zh-CN" w:bidi="ar-SA"/>
        </w:rPr>
        <w:t>a</w:t>
      </w:r>
      <w:r>
        <w:rPr>
          <w:rFonts w:hint="eastAsia" w:ascii="Times New Roman" w:hAnsi="Times New Roman" w:eastAsia="宋体" w:cs="Times New Roman"/>
          <w:bCs/>
          <w:snapToGrid w:val="0"/>
          <w:color w:val="auto"/>
          <w:kern w:val="0"/>
          <w:sz w:val="24"/>
          <w:szCs w:val="21"/>
          <w:highlight w:val="none"/>
          <w:vertAlign w:val="subscript"/>
          <w:lang w:val="en-US" w:eastAsia="zh-CN" w:bidi="ar-SA"/>
        </w:rPr>
        <w:t>i</w:t>
      </w:r>
      <w:r>
        <w:rPr>
          <w:rFonts w:hint="default" w:ascii="Times New Roman" w:hAnsi="Times New Roman" w:eastAsia="宋体" w:cs="Times New Roman"/>
          <w:bCs/>
          <w:snapToGrid w:val="0"/>
          <w:color w:val="auto"/>
          <w:kern w:val="0"/>
          <w:sz w:val="24"/>
          <w:szCs w:val="21"/>
          <w:highlight w:val="none"/>
          <w:lang w:val="en-US" w:eastAsia="zh-CN" w:bidi="ar-SA"/>
        </w:rPr>
        <w:t>——</w:t>
      </w:r>
      <w:r>
        <w:rPr>
          <w:rFonts w:hint="eastAsia" w:ascii="Times New Roman" w:hAnsi="Times New Roman" w:eastAsia="宋体" w:cs="Times New Roman"/>
          <w:bCs/>
          <w:snapToGrid w:val="0"/>
          <w:color w:val="auto"/>
          <w:kern w:val="0"/>
          <w:sz w:val="24"/>
          <w:szCs w:val="21"/>
          <w:highlight w:val="none"/>
          <w:lang w:val="en-US" w:eastAsia="zh-CN" w:bidi="ar-SA"/>
        </w:rPr>
        <w:t>第i季作物形成100kg产品吸收的氮量，单位为kg/100kg，</w:t>
      </w:r>
      <w:r>
        <w:rPr>
          <w:rFonts w:hint="eastAsia" w:ascii="Times New Roman" w:hAnsi="Times New Roman" w:eastAsia="宋体" w:cs="宋体"/>
          <w:bCs/>
          <w:snapToGrid w:val="0"/>
          <w:color w:val="auto"/>
          <w:kern w:val="0"/>
          <w:sz w:val="24"/>
          <w:szCs w:val="21"/>
          <w:highlight w:val="none"/>
          <w:lang w:val="en-US" w:eastAsia="zh-CN" w:bidi="ar-SA"/>
        </w:rPr>
        <w:t>本项目取2.3</w:t>
      </w:r>
      <w:r>
        <w:rPr>
          <w:rFonts w:hint="eastAsia" w:ascii="Times New Roman" w:hAnsi="Times New Roman" w:eastAsia="宋体" w:cs="Times New Roman"/>
          <w:bCs/>
          <w:snapToGrid w:val="0"/>
          <w:color w:val="auto"/>
          <w:kern w:val="0"/>
          <w:sz w:val="24"/>
          <w:szCs w:val="21"/>
          <w:highlight w:val="none"/>
          <w:lang w:val="en-US" w:eastAsia="zh-CN" w:bidi="ar-SA"/>
        </w:rPr>
        <w:t>kg/100kg；</w:t>
      </w:r>
    </w:p>
    <w:p w14:paraId="6906151E">
      <w:pPr>
        <w:keepNext w:val="0"/>
        <w:keepLines w:val="0"/>
        <w:pageBreakBefore w:val="0"/>
        <w:widowControl/>
        <w:kinsoku w:val="0"/>
        <w:wordWrap/>
        <w:overflowPunct/>
        <w:topLinePunct w:val="0"/>
        <w:autoSpaceDE w:val="0"/>
        <w:autoSpaceDN w:val="0"/>
        <w:bidi w:val="0"/>
        <w:adjustRightInd w:val="0"/>
        <w:snapToGrid w:val="0"/>
        <w:spacing w:line="360" w:lineRule="auto"/>
        <w:ind w:rightChars="0" w:firstLine="720" w:firstLineChars="300"/>
        <w:jc w:val="left"/>
        <w:textAlignment w:val="baseline"/>
        <w:rPr>
          <w:rFonts w:hint="default" w:ascii="Times New Roman" w:hAnsi="Times New Roman" w:eastAsia="宋体" w:cs="Times New Roman"/>
          <w:bCs/>
          <w:snapToGrid w:val="0"/>
          <w:color w:val="auto"/>
          <w:kern w:val="0"/>
          <w:sz w:val="24"/>
          <w:szCs w:val="21"/>
          <w:highlight w:val="none"/>
          <w:vertAlign w:val="baseline"/>
          <w:lang w:val="en-US" w:eastAsia="zh-CN" w:bidi="ar-SA"/>
        </w:rPr>
      </w:pPr>
      <w:r>
        <w:rPr>
          <w:rFonts w:hint="eastAsia" w:ascii="Times New Roman" w:hAnsi="Times New Roman" w:eastAsia="宋体" w:cs="Times New Roman"/>
          <w:bCs/>
          <w:snapToGrid w:val="0"/>
          <w:color w:val="auto"/>
          <w:kern w:val="0"/>
          <w:sz w:val="24"/>
          <w:szCs w:val="21"/>
          <w:highlight w:val="none"/>
          <w:lang w:val="en-US" w:eastAsia="zh-CN" w:bidi="ar-SA"/>
        </w:rPr>
        <w:t>c</w:t>
      </w:r>
      <w:r>
        <w:rPr>
          <w:rFonts w:hint="default" w:ascii="Times New Roman" w:hAnsi="Times New Roman" w:eastAsia="宋体" w:cs="Times New Roman"/>
          <w:bCs/>
          <w:snapToGrid w:val="0"/>
          <w:color w:val="auto"/>
          <w:kern w:val="0"/>
          <w:sz w:val="24"/>
          <w:szCs w:val="21"/>
          <w:highlight w:val="none"/>
          <w:lang w:val="en-US" w:eastAsia="zh-CN" w:bidi="ar-SA"/>
        </w:rPr>
        <w:t>——</w:t>
      </w:r>
      <w:r>
        <w:rPr>
          <w:rFonts w:hint="eastAsia" w:ascii="Times New Roman" w:hAnsi="Times New Roman" w:eastAsia="宋体" w:cs="Times New Roman"/>
          <w:bCs/>
          <w:snapToGrid w:val="0"/>
          <w:color w:val="auto"/>
          <w:kern w:val="0"/>
          <w:sz w:val="24"/>
          <w:szCs w:val="21"/>
          <w:highlight w:val="none"/>
          <w:lang w:val="en-US" w:eastAsia="zh-CN" w:bidi="ar-SA"/>
        </w:rPr>
        <w:t>加工废水汁水中总氮含量，单位为kg/m</w:t>
      </w:r>
      <w:r>
        <w:rPr>
          <w:rFonts w:hint="eastAsia" w:ascii="Times New Roman" w:hAnsi="Times New Roman" w:eastAsia="宋体" w:cs="Times New Roman"/>
          <w:bCs/>
          <w:snapToGrid w:val="0"/>
          <w:color w:val="auto"/>
          <w:kern w:val="0"/>
          <w:sz w:val="24"/>
          <w:szCs w:val="21"/>
          <w:highlight w:val="none"/>
          <w:vertAlign w:val="superscript"/>
          <w:lang w:val="en-US" w:eastAsia="zh-CN" w:bidi="ar-SA"/>
        </w:rPr>
        <w:t>3</w:t>
      </w:r>
      <w:r>
        <w:rPr>
          <w:rFonts w:hint="eastAsia" w:ascii="Times New Roman" w:hAnsi="Times New Roman" w:eastAsia="宋体" w:cs="Times New Roman"/>
          <w:bCs/>
          <w:snapToGrid w:val="0"/>
          <w:color w:val="auto"/>
          <w:kern w:val="0"/>
          <w:sz w:val="24"/>
          <w:szCs w:val="21"/>
          <w:highlight w:val="none"/>
          <w:vertAlign w:val="baseline"/>
          <w:lang w:val="en-US" w:eastAsia="zh-CN" w:bidi="ar-SA"/>
        </w:rPr>
        <w:t>，</w:t>
      </w:r>
      <w:r>
        <w:rPr>
          <w:rFonts w:hint="eastAsia" w:ascii="Times New Roman" w:hAnsi="Times New Roman" w:eastAsia="宋体" w:cs="宋体"/>
          <w:bCs/>
          <w:snapToGrid w:val="0"/>
          <w:color w:val="auto"/>
          <w:kern w:val="0"/>
          <w:sz w:val="24"/>
          <w:szCs w:val="21"/>
          <w:highlight w:val="none"/>
          <w:lang w:val="en-US" w:eastAsia="zh-CN" w:bidi="ar-SA"/>
        </w:rPr>
        <w:t>本项目取2</w:t>
      </w:r>
      <w:r>
        <w:rPr>
          <w:rFonts w:hint="eastAsia" w:ascii="Times New Roman" w:hAnsi="Times New Roman" w:eastAsia="宋体" w:cs="Times New Roman"/>
          <w:bCs/>
          <w:snapToGrid w:val="0"/>
          <w:color w:val="auto"/>
          <w:kern w:val="0"/>
          <w:sz w:val="24"/>
          <w:szCs w:val="21"/>
          <w:highlight w:val="none"/>
          <w:lang w:val="en-US" w:eastAsia="zh-CN" w:bidi="ar-SA"/>
        </w:rPr>
        <w:t>kg/m</w:t>
      </w:r>
      <w:r>
        <w:rPr>
          <w:rFonts w:hint="eastAsia" w:ascii="Times New Roman" w:hAnsi="Times New Roman" w:eastAsia="宋体" w:cs="Times New Roman"/>
          <w:bCs/>
          <w:snapToGrid w:val="0"/>
          <w:color w:val="auto"/>
          <w:kern w:val="0"/>
          <w:sz w:val="24"/>
          <w:szCs w:val="21"/>
          <w:highlight w:val="none"/>
          <w:vertAlign w:val="superscript"/>
          <w:lang w:val="en-US" w:eastAsia="zh-CN" w:bidi="ar-SA"/>
        </w:rPr>
        <w:t>3</w:t>
      </w:r>
      <w:r>
        <w:rPr>
          <w:rFonts w:hint="eastAsia" w:ascii="Times New Roman" w:hAnsi="Times New Roman" w:eastAsia="宋体" w:cs="Times New Roman"/>
          <w:bCs/>
          <w:snapToGrid w:val="0"/>
          <w:color w:val="auto"/>
          <w:kern w:val="0"/>
          <w:sz w:val="24"/>
          <w:szCs w:val="21"/>
          <w:highlight w:val="none"/>
          <w:vertAlign w:val="baseline"/>
          <w:lang w:val="en-US" w:eastAsia="zh-CN" w:bidi="ar-SA"/>
        </w:rPr>
        <w:t>；</w:t>
      </w:r>
    </w:p>
    <w:p w14:paraId="7218BD53">
      <w:pPr>
        <w:pStyle w:val="13"/>
        <w:keepNext w:val="0"/>
        <w:keepLines w:val="0"/>
        <w:pageBreakBefore w:val="0"/>
        <w:widowControl/>
        <w:kinsoku w:val="0"/>
        <w:wordWrap/>
        <w:overflowPunct/>
        <w:topLinePunct w:val="0"/>
        <w:autoSpaceDE w:val="0"/>
        <w:autoSpaceDN w:val="0"/>
        <w:bidi w:val="0"/>
        <w:adjustRightInd w:val="0"/>
        <w:snapToGrid w:val="0"/>
        <w:spacing w:after="0" w:afterLines="0" w:line="360" w:lineRule="auto"/>
        <w:ind w:left="0" w:leftChars="0" w:rightChars="0" w:firstLine="720" w:firstLineChars="300"/>
        <w:jc w:val="left"/>
        <w:textAlignment w:val="baseline"/>
        <w:rPr>
          <w:rFonts w:hint="default" w:ascii="Times New Roman" w:hAnsi="Times New Roman" w:eastAsia="宋体" w:cs="Times New Roman"/>
          <w:bCs/>
          <w:snapToGrid w:val="0"/>
          <w:color w:val="auto"/>
          <w:kern w:val="0"/>
          <w:sz w:val="24"/>
          <w:szCs w:val="21"/>
          <w:highlight w:val="none"/>
          <w:lang w:val="en-US" w:eastAsia="zh-CN" w:bidi="ar-SA"/>
        </w:rPr>
      </w:pPr>
      <w:r>
        <w:rPr>
          <w:rFonts w:hint="eastAsia" w:ascii="Times New Roman" w:hAnsi="Times New Roman" w:eastAsia="宋体" w:cs="Times New Roman"/>
          <w:bCs/>
          <w:snapToGrid w:val="0"/>
          <w:color w:val="auto"/>
          <w:kern w:val="0"/>
          <w:sz w:val="24"/>
          <w:szCs w:val="21"/>
          <w:highlight w:val="none"/>
          <w:lang w:val="en-US" w:eastAsia="zh-CN" w:bidi="ar-SA"/>
        </w:rPr>
        <w:t>s</w:t>
      </w:r>
      <w:r>
        <w:rPr>
          <w:rFonts w:hint="default" w:ascii="Times New Roman" w:hAnsi="Times New Roman" w:eastAsia="宋体" w:cs="Times New Roman"/>
          <w:bCs/>
          <w:snapToGrid w:val="0"/>
          <w:color w:val="auto"/>
          <w:kern w:val="0"/>
          <w:sz w:val="24"/>
          <w:szCs w:val="21"/>
          <w:highlight w:val="none"/>
          <w:lang w:val="en-US" w:eastAsia="zh-CN" w:bidi="ar-SA"/>
        </w:rPr>
        <w:t>———</w:t>
      </w:r>
      <w:r>
        <w:rPr>
          <w:rFonts w:hint="eastAsia" w:ascii="Times New Roman" w:hAnsi="Times New Roman" w:eastAsia="宋体" w:cs="Times New Roman"/>
          <w:bCs/>
          <w:snapToGrid w:val="0"/>
          <w:color w:val="auto"/>
          <w:kern w:val="0"/>
          <w:sz w:val="24"/>
          <w:szCs w:val="21"/>
          <w:highlight w:val="none"/>
          <w:lang w:val="en-US" w:eastAsia="zh-CN" w:bidi="ar-SA"/>
        </w:rPr>
        <w:t>单位土壤面积，单位为m</w:t>
      </w:r>
      <w:r>
        <w:rPr>
          <w:rFonts w:hint="eastAsia" w:ascii="Times New Roman" w:hAnsi="Times New Roman" w:eastAsia="宋体" w:cs="Times New Roman"/>
          <w:bCs/>
          <w:snapToGrid w:val="0"/>
          <w:color w:val="auto"/>
          <w:kern w:val="0"/>
          <w:sz w:val="24"/>
          <w:szCs w:val="21"/>
          <w:highlight w:val="none"/>
          <w:vertAlign w:val="superscript"/>
          <w:lang w:val="en-US" w:eastAsia="zh-CN" w:bidi="ar-SA"/>
        </w:rPr>
        <w:t>2</w:t>
      </w:r>
      <w:r>
        <w:rPr>
          <w:rFonts w:hint="eastAsia" w:ascii="Times New Roman" w:hAnsi="Times New Roman" w:eastAsia="宋体" w:cs="Times New Roman"/>
          <w:bCs/>
          <w:snapToGrid w:val="0"/>
          <w:color w:val="auto"/>
          <w:kern w:val="0"/>
          <w:sz w:val="24"/>
          <w:szCs w:val="21"/>
          <w:highlight w:val="none"/>
          <w:lang w:val="en-US" w:eastAsia="zh-CN" w:bidi="ar-SA"/>
        </w:rPr>
        <w:t>/亩，</w:t>
      </w:r>
      <w:r>
        <w:rPr>
          <w:rFonts w:hint="eastAsia" w:ascii="Times New Roman" w:hAnsi="Times New Roman" w:eastAsia="宋体" w:cs="宋体"/>
          <w:bCs/>
          <w:snapToGrid w:val="0"/>
          <w:color w:val="auto"/>
          <w:kern w:val="0"/>
          <w:sz w:val="24"/>
          <w:szCs w:val="21"/>
          <w:highlight w:val="none"/>
          <w:lang w:val="en-US" w:eastAsia="zh-CN" w:bidi="ar-SA"/>
        </w:rPr>
        <w:t>本项目取667</w:t>
      </w:r>
      <w:r>
        <w:rPr>
          <w:rFonts w:hint="eastAsia" w:ascii="Times New Roman" w:hAnsi="Times New Roman" w:eastAsia="宋体" w:cs="Times New Roman"/>
          <w:bCs/>
          <w:snapToGrid w:val="0"/>
          <w:color w:val="auto"/>
          <w:kern w:val="0"/>
          <w:sz w:val="24"/>
          <w:szCs w:val="21"/>
          <w:highlight w:val="none"/>
          <w:lang w:val="en-US" w:eastAsia="zh-CN" w:bidi="ar-SA"/>
        </w:rPr>
        <w:t>m</w:t>
      </w:r>
      <w:r>
        <w:rPr>
          <w:rFonts w:hint="eastAsia" w:ascii="Times New Roman" w:hAnsi="Times New Roman" w:eastAsia="宋体" w:cs="Times New Roman"/>
          <w:bCs/>
          <w:snapToGrid w:val="0"/>
          <w:color w:val="auto"/>
          <w:kern w:val="0"/>
          <w:sz w:val="24"/>
          <w:szCs w:val="21"/>
          <w:highlight w:val="none"/>
          <w:vertAlign w:val="superscript"/>
          <w:lang w:val="en-US" w:eastAsia="zh-CN" w:bidi="ar-SA"/>
        </w:rPr>
        <w:t>2</w:t>
      </w:r>
      <w:r>
        <w:rPr>
          <w:rFonts w:hint="eastAsia" w:ascii="Times New Roman" w:hAnsi="Times New Roman" w:eastAsia="宋体" w:cs="Times New Roman"/>
          <w:bCs/>
          <w:snapToGrid w:val="0"/>
          <w:color w:val="auto"/>
          <w:kern w:val="0"/>
          <w:sz w:val="24"/>
          <w:szCs w:val="21"/>
          <w:highlight w:val="none"/>
          <w:lang w:val="en-US" w:eastAsia="zh-CN" w:bidi="ar-SA"/>
        </w:rPr>
        <w:t>/亩；</w:t>
      </w:r>
    </w:p>
    <w:p w14:paraId="2478247F">
      <w:pPr>
        <w:keepNext w:val="0"/>
        <w:keepLines w:val="0"/>
        <w:pageBreakBefore w:val="0"/>
        <w:widowControl/>
        <w:kinsoku w:val="0"/>
        <w:wordWrap/>
        <w:overflowPunct/>
        <w:topLinePunct w:val="0"/>
        <w:autoSpaceDE w:val="0"/>
        <w:autoSpaceDN w:val="0"/>
        <w:bidi w:val="0"/>
        <w:adjustRightInd w:val="0"/>
        <w:snapToGrid w:val="0"/>
        <w:spacing w:line="360" w:lineRule="auto"/>
        <w:ind w:rightChars="0" w:firstLine="720" w:firstLineChars="300"/>
        <w:jc w:val="left"/>
        <w:textAlignment w:val="baseline"/>
        <w:rPr>
          <w:rFonts w:hint="default" w:ascii="Times New Roman" w:hAnsi="Times New Roman"/>
          <w:color w:val="auto"/>
          <w:lang w:val="en-US" w:eastAsia="zh-CN"/>
        </w:rPr>
      </w:pPr>
      <w:r>
        <w:rPr>
          <w:rFonts w:hint="eastAsia" w:ascii="Times New Roman" w:hAnsi="Times New Roman" w:eastAsia="宋体" w:cs="Times New Roman"/>
          <w:bCs/>
          <w:snapToGrid w:val="0"/>
          <w:color w:val="auto"/>
          <w:kern w:val="0"/>
          <w:sz w:val="24"/>
          <w:szCs w:val="21"/>
          <w:highlight w:val="none"/>
          <w:lang w:val="en-US" w:eastAsia="zh-CN" w:bidi="ar-SA"/>
        </w:rPr>
        <w:t>h</w:t>
      </w:r>
      <w:r>
        <w:rPr>
          <w:rFonts w:hint="default" w:ascii="Times New Roman" w:hAnsi="Times New Roman" w:eastAsia="宋体" w:cs="Times New Roman"/>
          <w:bCs/>
          <w:snapToGrid w:val="0"/>
          <w:color w:val="auto"/>
          <w:kern w:val="0"/>
          <w:sz w:val="24"/>
          <w:szCs w:val="21"/>
          <w:highlight w:val="none"/>
          <w:lang w:val="en-US" w:eastAsia="zh-CN" w:bidi="ar-SA"/>
        </w:rPr>
        <w:t>——</w:t>
      </w:r>
      <w:r>
        <w:rPr>
          <w:rFonts w:hint="eastAsia" w:ascii="Times New Roman" w:hAnsi="Times New Roman" w:eastAsia="宋体" w:cs="Times New Roman"/>
          <w:bCs/>
          <w:snapToGrid w:val="0"/>
          <w:color w:val="auto"/>
          <w:kern w:val="0"/>
          <w:sz w:val="24"/>
          <w:szCs w:val="21"/>
          <w:highlight w:val="none"/>
          <w:lang w:val="en-US" w:eastAsia="zh-CN" w:bidi="ar-SA"/>
        </w:rPr>
        <w:t>土壤耕作层深度，单位为m，</w:t>
      </w:r>
      <w:r>
        <w:rPr>
          <w:rFonts w:hint="eastAsia" w:ascii="Times New Roman" w:hAnsi="Times New Roman" w:eastAsia="宋体" w:cs="宋体"/>
          <w:bCs/>
          <w:snapToGrid w:val="0"/>
          <w:color w:val="auto"/>
          <w:kern w:val="0"/>
          <w:sz w:val="24"/>
          <w:szCs w:val="21"/>
          <w:highlight w:val="none"/>
          <w:lang w:val="en-US" w:eastAsia="zh-CN" w:bidi="ar-SA"/>
        </w:rPr>
        <w:t>本项目取0.2m</w:t>
      </w:r>
      <w:r>
        <w:rPr>
          <w:rFonts w:hint="eastAsia" w:ascii="Times New Roman" w:hAnsi="Times New Roman" w:eastAsia="宋体" w:cs="Times New Roman"/>
          <w:bCs/>
          <w:snapToGrid w:val="0"/>
          <w:color w:val="auto"/>
          <w:kern w:val="0"/>
          <w:sz w:val="24"/>
          <w:szCs w:val="21"/>
          <w:highlight w:val="none"/>
          <w:lang w:val="en-US" w:eastAsia="zh-CN" w:bidi="ar-SA"/>
        </w:rPr>
        <w:t>；</w:t>
      </w:r>
    </w:p>
    <w:p w14:paraId="2CCCE941">
      <w:pPr>
        <w:keepNext w:val="0"/>
        <w:keepLines w:val="0"/>
        <w:pageBreakBefore w:val="0"/>
        <w:widowControl/>
        <w:kinsoku w:val="0"/>
        <w:wordWrap/>
        <w:overflowPunct/>
        <w:topLinePunct w:val="0"/>
        <w:autoSpaceDE w:val="0"/>
        <w:autoSpaceDN w:val="0"/>
        <w:bidi w:val="0"/>
        <w:adjustRightInd w:val="0"/>
        <w:snapToGrid w:val="0"/>
        <w:spacing w:line="360" w:lineRule="auto"/>
        <w:ind w:rightChars="0" w:firstLine="720" w:firstLineChars="300"/>
        <w:jc w:val="left"/>
        <w:textAlignment w:val="baseline"/>
        <w:rPr>
          <w:rFonts w:hint="default" w:ascii="Times New Roman" w:hAnsi="Times New Roman" w:eastAsia="宋体" w:cs="Times New Roman"/>
          <w:bCs/>
          <w:snapToGrid w:val="0"/>
          <w:color w:val="auto"/>
          <w:kern w:val="0"/>
          <w:sz w:val="24"/>
          <w:szCs w:val="21"/>
          <w:highlight w:val="none"/>
          <w:lang w:val="en-US" w:eastAsia="zh-CN" w:bidi="ar-SA"/>
        </w:rPr>
      </w:pPr>
      <w:r>
        <w:rPr>
          <w:rFonts w:hint="default" w:ascii="Times New Roman" w:hAnsi="Times New Roman" w:eastAsia="宋体" w:cs="Times New Roman"/>
          <w:bCs/>
          <w:snapToGrid w:val="0"/>
          <w:color w:val="auto"/>
          <w:kern w:val="0"/>
          <w:sz w:val="24"/>
          <w:szCs w:val="21"/>
          <w:highlight w:val="none"/>
          <w:lang w:val="en-US" w:eastAsia="zh-CN" w:bidi="ar-SA"/>
        </w:rPr>
        <w:t>ρ——</w:t>
      </w:r>
      <w:r>
        <w:rPr>
          <w:rFonts w:hint="eastAsia" w:ascii="Times New Roman" w:hAnsi="Times New Roman" w:eastAsia="宋体" w:cs="Times New Roman"/>
          <w:bCs/>
          <w:snapToGrid w:val="0"/>
          <w:color w:val="auto"/>
          <w:kern w:val="0"/>
          <w:sz w:val="24"/>
          <w:szCs w:val="21"/>
          <w:highlight w:val="none"/>
          <w:lang w:val="en-US" w:eastAsia="zh-CN" w:bidi="ar-SA"/>
        </w:rPr>
        <w:t>土壤容重，单位为g/cm</w:t>
      </w:r>
      <w:r>
        <w:rPr>
          <w:rFonts w:hint="eastAsia" w:ascii="Times New Roman" w:hAnsi="Times New Roman" w:eastAsia="宋体" w:cs="Times New Roman"/>
          <w:bCs/>
          <w:snapToGrid w:val="0"/>
          <w:color w:val="auto"/>
          <w:kern w:val="0"/>
          <w:sz w:val="24"/>
          <w:szCs w:val="21"/>
          <w:highlight w:val="none"/>
          <w:vertAlign w:val="superscript"/>
          <w:lang w:val="en-US" w:eastAsia="zh-CN" w:bidi="ar-SA"/>
        </w:rPr>
        <w:t>3</w:t>
      </w:r>
      <w:r>
        <w:rPr>
          <w:rFonts w:hint="eastAsia" w:ascii="Times New Roman" w:hAnsi="Times New Roman" w:eastAsia="宋体" w:cs="Times New Roman"/>
          <w:bCs/>
          <w:snapToGrid w:val="0"/>
          <w:color w:val="auto"/>
          <w:kern w:val="0"/>
          <w:sz w:val="24"/>
          <w:szCs w:val="21"/>
          <w:highlight w:val="none"/>
          <w:vertAlign w:val="baseline"/>
          <w:lang w:val="en-US" w:eastAsia="zh-CN" w:bidi="ar-SA"/>
        </w:rPr>
        <w:t>，</w:t>
      </w:r>
      <w:r>
        <w:rPr>
          <w:rFonts w:hint="eastAsia" w:ascii="Times New Roman" w:hAnsi="Times New Roman" w:eastAsia="宋体" w:cs="宋体"/>
          <w:bCs/>
          <w:snapToGrid w:val="0"/>
          <w:color w:val="auto"/>
          <w:kern w:val="0"/>
          <w:sz w:val="24"/>
          <w:szCs w:val="21"/>
          <w:highlight w:val="none"/>
          <w:lang w:val="en-US" w:eastAsia="zh-CN" w:bidi="ar-SA"/>
        </w:rPr>
        <w:t>本项目取1.6</w:t>
      </w:r>
      <w:r>
        <w:rPr>
          <w:rFonts w:hint="eastAsia" w:ascii="Times New Roman" w:hAnsi="Times New Roman" w:eastAsia="宋体" w:cs="Times New Roman"/>
          <w:bCs/>
          <w:snapToGrid w:val="0"/>
          <w:color w:val="auto"/>
          <w:kern w:val="0"/>
          <w:sz w:val="24"/>
          <w:szCs w:val="21"/>
          <w:highlight w:val="none"/>
          <w:lang w:val="en-US" w:eastAsia="zh-CN" w:bidi="ar-SA"/>
        </w:rPr>
        <w:t>g/cm</w:t>
      </w:r>
      <w:r>
        <w:rPr>
          <w:rFonts w:hint="eastAsia" w:ascii="Times New Roman" w:hAnsi="Times New Roman" w:eastAsia="宋体" w:cs="Times New Roman"/>
          <w:bCs/>
          <w:snapToGrid w:val="0"/>
          <w:color w:val="auto"/>
          <w:kern w:val="0"/>
          <w:sz w:val="24"/>
          <w:szCs w:val="21"/>
          <w:highlight w:val="none"/>
          <w:vertAlign w:val="superscript"/>
          <w:lang w:val="en-US" w:eastAsia="zh-CN" w:bidi="ar-SA"/>
        </w:rPr>
        <w:t>3</w:t>
      </w:r>
      <w:r>
        <w:rPr>
          <w:rFonts w:hint="eastAsia" w:ascii="Times New Roman" w:hAnsi="Times New Roman"/>
          <w:color w:val="auto"/>
          <w:lang w:val="en-US" w:eastAsia="zh-CN"/>
        </w:rPr>
        <w:t>；</w:t>
      </w:r>
    </w:p>
    <w:p w14:paraId="64E611BB">
      <w:pPr>
        <w:keepNext w:val="0"/>
        <w:keepLines w:val="0"/>
        <w:pageBreakBefore w:val="0"/>
        <w:widowControl/>
        <w:kinsoku w:val="0"/>
        <w:wordWrap/>
        <w:overflowPunct/>
        <w:topLinePunct w:val="0"/>
        <w:autoSpaceDE w:val="0"/>
        <w:autoSpaceDN w:val="0"/>
        <w:bidi w:val="0"/>
        <w:adjustRightInd w:val="0"/>
        <w:snapToGrid w:val="0"/>
        <w:spacing w:line="360" w:lineRule="auto"/>
        <w:ind w:rightChars="0" w:firstLine="720" w:firstLineChars="300"/>
        <w:jc w:val="left"/>
        <w:textAlignment w:val="baseline"/>
        <w:rPr>
          <w:rFonts w:hint="eastAsia" w:ascii="Times New Roman" w:hAnsi="Times New Roman" w:eastAsia="宋体" w:cs="Times New Roman"/>
          <w:bCs/>
          <w:snapToGrid w:val="0"/>
          <w:color w:val="auto"/>
          <w:kern w:val="0"/>
          <w:sz w:val="24"/>
          <w:szCs w:val="21"/>
          <w:highlight w:val="none"/>
          <w:lang w:val="en-US" w:eastAsia="zh-CN" w:bidi="ar-SA"/>
        </w:rPr>
      </w:pPr>
      <w:r>
        <w:rPr>
          <w:rFonts w:hint="eastAsia" w:ascii="Times New Roman" w:hAnsi="Times New Roman" w:eastAsia="宋体" w:cs="Times New Roman"/>
          <w:bCs/>
          <w:snapToGrid w:val="0"/>
          <w:color w:val="auto"/>
          <w:kern w:val="0"/>
          <w:sz w:val="24"/>
          <w:szCs w:val="21"/>
          <w:highlight w:val="none"/>
          <w:lang w:val="en-US" w:eastAsia="zh-CN" w:bidi="ar-SA"/>
        </w:rPr>
        <w:t>W</w:t>
      </w:r>
      <w:r>
        <w:rPr>
          <w:rFonts w:hint="eastAsia" w:ascii="Times New Roman" w:hAnsi="Times New Roman" w:eastAsia="宋体" w:cs="Times New Roman"/>
          <w:bCs/>
          <w:snapToGrid w:val="0"/>
          <w:color w:val="auto"/>
          <w:kern w:val="0"/>
          <w:sz w:val="24"/>
          <w:szCs w:val="21"/>
          <w:highlight w:val="none"/>
          <w:vertAlign w:val="subscript"/>
          <w:lang w:val="en-US" w:eastAsia="zh-CN" w:bidi="ar-SA"/>
        </w:rPr>
        <w:t>max</w:t>
      </w:r>
      <w:r>
        <w:rPr>
          <w:rFonts w:hint="default" w:ascii="Times New Roman" w:hAnsi="Times New Roman" w:eastAsia="宋体" w:cs="Times New Roman"/>
          <w:bCs/>
          <w:snapToGrid w:val="0"/>
          <w:color w:val="auto"/>
          <w:kern w:val="0"/>
          <w:sz w:val="24"/>
          <w:szCs w:val="21"/>
          <w:highlight w:val="none"/>
          <w:lang w:val="en-US" w:eastAsia="zh-CN" w:bidi="ar-SA"/>
        </w:rPr>
        <w:t>——</w:t>
      </w:r>
      <w:r>
        <w:rPr>
          <w:rFonts w:hint="eastAsia" w:ascii="Times New Roman" w:hAnsi="Times New Roman" w:eastAsia="宋体" w:cs="Times New Roman"/>
          <w:bCs/>
          <w:snapToGrid w:val="0"/>
          <w:color w:val="auto"/>
          <w:kern w:val="0"/>
          <w:sz w:val="24"/>
          <w:szCs w:val="21"/>
          <w:highlight w:val="none"/>
          <w:lang w:val="en-US" w:eastAsia="zh-CN" w:bidi="ar-SA"/>
        </w:rPr>
        <w:t>改良后土壤目标全氮含量，单位为g/kg，</w:t>
      </w:r>
      <w:r>
        <w:rPr>
          <w:rFonts w:hint="eastAsia" w:ascii="Times New Roman" w:hAnsi="Times New Roman" w:eastAsia="宋体" w:cs="宋体"/>
          <w:bCs/>
          <w:snapToGrid w:val="0"/>
          <w:color w:val="auto"/>
          <w:kern w:val="0"/>
          <w:sz w:val="24"/>
          <w:szCs w:val="21"/>
          <w:highlight w:val="none"/>
          <w:lang w:val="en-US" w:eastAsia="zh-CN" w:bidi="ar-SA"/>
        </w:rPr>
        <w:t>本项目取1.5</w:t>
      </w:r>
      <w:r>
        <w:rPr>
          <w:rFonts w:hint="eastAsia" w:ascii="Times New Roman" w:hAnsi="Times New Roman" w:eastAsia="宋体" w:cs="Times New Roman"/>
          <w:bCs/>
          <w:snapToGrid w:val="0"/>
          <w:color w:val="auto"/>
          <w:kern w:val="0"/>
          <w:sz w:val="24"/>
          <w:szCs w:val="21"/>
          <w:highlight w:val="none"/>
          <w:lang w:val="en-US" w:eastAsia="zh-CN" w:bidi="ar-SA"/>
        </w:rPr>
        <w:t>g/kg；</w:t>
      </w:r>
    </w:p>
    <w:p w14:paraId="5413E48C">
      <w:pPr>
        <w:keepNext w:val="0"/>
        <w:keepLines w:val="0"/>
        <w:pageBreakBefore w:val="0"/>
        <w:widowControl/>
        <w:kinsoku w:val="0"/>
        <w:wordWrap/>
        <w:overflowPunct/>
        <w:topLinePunct w:val="0"/>
        <w:autoSpaceDE w:val="0"/>
        <w:autoSpaceDN w:val="0"/>
        <w:bidi w:val="0"/>
        <w:adjustRightInd w:val="0"/>
        <w:snapToGrid w:val="0"/>
        <w:spacing w:line="360" w:lineRule="auto"/>
        <w:ind w:rightChars="0" w:firstLine="720" w:firstLineChars="300"/>
        <w:jc w:val="left"/>
        <w:textAlignment w:val="baseline"/>
        <w:rPr>
          <w:rFonts w:hint="eastAsia" w:ascii="Times New Roman" w:hAnsi="Times New Roman" w:eastAsia="宋体" w:cs="Times New Roman"/>
          <w:bCs/>
          <w:snapToGrid w:val="0"/>
          <w:color w:val="auto"/>
          <w:kern w:val="0"/>
          <w:sz w:val="24"/>
          <w:szCs w:val="21"/>
          <w:highlight w:val="none"/>
          <w:lang w:val="en-US" w:eastAsia="zh-CN" w:bidi="ar-SA"/>
        </w:rPr>
      </w:pPr>
      <w:r>
        <w:rPr>
          <w:rFonts w:hint="eastAsia" w:ascii="Times New Roman" w:hAnsi="Times New Roman" w:eastAsia="宋体" w:cs="Times New Roman"/>
          <w:bCs/>
          <w:snapToGrid w:val="0"/>
          <w:color w:val="auto"/>
          <w:kern w:val="0"/>
          <w:sz w:val="24"/>
          <w:szCs w:val="21"/>
          <w:highlight w:val="none"/>
          <w:lang w:val="en-US" w:eastAsia="zh-CN" w:bidi="ar-SA"/>
        </w:rPr>
        <w:t>W</w:t>
      </w:r>
      <w:r>
        <w:rPr>
          <w:rFonts w:hint="eastAsia" w:ascii="Times New Roman" w:hAnsi="Times New Roman" w:eastAsia="宋体" w:cs="Times New Roman"/>
          <w:bCs/>
          <w:snapToGrid w:val="0"/>
          <w:color w:val="auto"/>
          <w:kern w:val="0"/>
          <w:sz w:val="24"/>
          <w:szCs w:val="21"/>
          <w:highlight w:val="none"/>
          <w:vertAlign w:val="subscript"/>
          <w:lang w:val="en-US" w:eastAsia="zh-CN" w:bidi="ar-SA"/>
        </w:rPr>
        <w:t>0</w:t>
      </w:r>
      <w:r>
        <w:rPr>
          <w:rFonts w:hint="default" w:ascii="Times New Roman" w:hAnsi="Times New Roman" w:eastAsia="宋体" w:cs="Times New Roman"/>
          <w:bCs/>
          <w:snapToGrid w:val="0"/>
          <w:color w:val="auto"/>
          <w:kern w:val="0"/>
          <w:sz w:val="24"/>
          <w:szCs w:val="21"/>
          <w:highlight w:val="none"/>
          <w:lang w:val="en-US" w:eastAsia="zh-CN" w:bidi="ar-SA"/>
        </w:rPr>
        <w:t>——</w:t>
      </w:r>
      <w:r>
        <w:rPr>
          <w:rFonts w:hint="eastAsia" w:ascii="Times New Roman" w:hAnsi="Times New Roman" w:eastAsia="宋体" w:cs="Times New Roman"/>
          <w:bCs/>
          <w:snapToGrid w:val="0"/>
          <w:color w:val="auto"/>
          <w:kern w:val="0"/>
          <w:sz w:val="24"/>
          <w:szCs w:val="21"/>
          <w:highlight w:val="none"/>
          <w:lang w:val="en-US" w:eastAsia="zh-CN" w:bidi="ar-SA"/>
        </w:rPr>
        <w:t>当前土壤全氮含量，单位为g/kg，</w:t>
      </w:r>
      <w:r>
        <w:rPr>
          <w:rFonts w:hint="eastAsia" w:ascii="Times New Roman" w:hAnsi="Times New Roman" w:eastAsia="宋体" w:cs="宋体"/>
          <w:bCs/>
          <w:snapToGrid w:val="0"/>
          <w:color w:val="auto"/>
          <w:kern w:val="0"/>
          <w:sz w:val="24"/>
          <w:szCs w:val="21"/>
          <w:highlight w:val="none"/>
          <w:lang w:val="en-US" w:eastAsia="zh-CN" w:bidi="ar-SA"/>
        </w:rPr>
        <w:t>本项目取0.83</w:t>
      </w:r>
      <w:r>
        <w:rPr>
          <w:rFonts w:hint="eastAsia" w:ascii="Times New Roman" w:hAnsi="Times New Roman" w:eastAsia="宋体" w:cs="Times New Roman"/>
          <w:bCs/>
          <w:snapToGrid w:val="0"/>
          <w:color w:val="auto"/>
          <w:kern w:val="0"/>
          <w:sz w:val="24"/>
          <w:szCs w:val="21"/>
          <w:highlight w:val="none"/>
          <w:lang w:val="en-US" w:eastAsia="zh-CN" w:bidi="ar-SA"/>
        </w:rPr>
        <w:t>g/kg；</w:t>
      </w:r>
    </w:p>
    <w:p w14:paraId="146DADAB">
      <w:pPr>
        <w:pStyle w:val="13"/>
        <w:keepNext w:val="0"/>
        <w:keepLines w:val="0"/>
        <w:pageBreakBefore w:val="0"/>
        <w:widowControl/>
        <w:kinsoku w:val="0"/>
        <w:wordWrap/>
        <w:overflowPunct/>
        <w:topLinePunct w:val="0"/>
        <w:autoSpaceDE w:val="0"/>
        <w:autoSpaceDN w:val="0"/>
        <w:bidi w:val="0"/>
        <w:adjustRightInd w:val="0"/>
        <w:snapToGrid w:val="0"/>
        <w:spacing w:after="0" w:afterLines="0" w:line="360" w:lineRule="auto"/>
        <w:ind w:left="0" w:leftChars="0" w:rightChars="0" w:firstLine="720" w:firstLineChars="300"/>
        <w:jc w:val="left"/>
        <w:textAlignment w:val="baseline"/>
        <w:rPr>
          <w:rFonts w:hint="default" w:ascii="Times New Roman" w:hAnsi="Times New Roman" w:eastAsia="宋体" w:cs="Times New Roman"/>
          <w:bCs/>
          <w:snapToGrid w:val="0"/>
          <w:color w:val="auto"/>
          <w:kern w:val="0"/>
          <w:sz w:val="24"/>
          <w:szCs w:val="21"/>
          <w:highlight w:val="none"/>
          <w:lang w:val="en-US" w:eastAsia="zh-CN" w:bidi="ar-SA"/>
        </w:rPr>
      </w:pPr>
      <w:r>
        <w:rPr>
          <w:rFonts w:hint="eastAsia" w:ascii="Times New Roman" w:hAnsi="Times New Roman" w:eastAsia="宋体" w:cs="Times New Roman"/>
          <w:bCs/>
          <w:snapToGrid w:val="0"/>
          <w:color w:val="auto"/>
          <w:kern w:val="0"/>
          <w:sz w:val="24"/>
          <w:szCs w:val="21"/>
          <w:highlight w:val="none"/>
          <w:lang w:val="en-US" w:eastAsia="zh-CN" w:bidi="ar-SA"/>
        </w:rPr>
        <w:t>f</w:t>
      </w:r>
      <w:r>
        <w:rPr>
          <w:rFonts w:hint="default" w:ascii="Times New Roman" w:hAnsi="Times New Roman" w:eastAsia="宋体" w:cs="Times New Roman"/>
          <w:bCs/>
          <w:snapToGrid w:val="0"/>
          <w:color w:val="auto"/>
          <w:kern w:val="0"/>
          <w:sz w:val="24"/>
          <w:szCs w:val="21"/>
          <w:highlight w:val="none"/>
          <w:lang w:val="en-US" w:eastAsia="zh-CN" w:bidi="ar-SA"/>
        </w:rPr>
        <w:t>——</w:t>
      </w:r>
      <w:r>
        <w:rPr>
          <w:rFonts w:hint="eastAsia" w:ascii="Times New Roman" w:hAnsi="Times New Roman" w:eastAsia="宋体" w:cs="Times New Roman"/>
          <w:bCs/>
          <w:snapToGrid w:val="0"/>
          <w:color w:val="auto"/>
          <w:kern w:val="0"/>
          <w:sz w:val="24"/>
          <w:szCs w:val="21"/>
          <w:highlight w:val="none"/>
          <w:lang w:val="en-US" w:eastAsia="zh-CN" w:bidi="ar-SA"/>
        </w:rPr>
        <w:t>还田利用风险系数，单位为年，</w:t>
      </w:r>
      <w:r>
        <w:rPr>
          <w:rFonts w:hint="eastAsia" w:ascii="Times New Roman" w:hAnsi="Times New Roman" w:eastAsia="宋体" w:cs="宋体"/>
          <w:bCs/>
          <w:snapToGrid w:val="0"/>
          <w:color w:val="auto"/>
          <w:kern w:val="0"/>
          <w:sz w:val="24"/>
          <w:szCs w:val="21"/>
          <w:highlight w:val="none"/>
          <w:lang w:val="en-US" w:eastAsia="zh-CN" w:bidi="ar-SA"/>
        </w:rPr>
        <w:t>本项目取8年</w:t>
      </w:r>
      <w:r>
        <w:rPr>
          <w:rFonts w:hint="eastAsia" w:ascii="Times New Roman" w:hAnsi="Times New Roman" w:eastAsia="宋体" w:cs="Times New Roman"/>
          <w:bCs/>
          <w:snapToGrid w:val="0"/>
          <w:color w:val="auto"/>
          <w:kern w:val="0"/>
          <w:sz w:val="24"/>
          <w:szCs w:val="21"/>
          <w:highlight w:val="none"/>
          <w:lang w:val="en-US" w:eastAsia="zh-CN" w:bidi="ar-SA"/>
        </w:rPr>
        <w:t>；</w:t>
      </w:r>
    </w:p>
    <w:p w14:paraId="008842A7">
      <w:pPr>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80" w:firstLineChars="200"/>
        <w:jc w:val="both"/>
        <w:textAlignment w:val="baseline"/>
        <w:rPr>
          <w:rFonts w:hint="default" w:ascii="Times New Roman" w:hAnsi="Times New Roman" w:eastAsia="宋体" w:cs="宋体"/>
          <w:bCs/>
          <w:snapToGrid w:val="0"/>
          <w:color w:val="auto"/>
          <w:kern w:val="0"/>
          <w:sz w:val="24"/>
          <w:szCs w:val="21"/>
          <w:highlight w:val="none"/>
          <w:vertAlign w:val="subscript"/>
          <w:lang w:val="en-US" w:eastAsia="zh-CN" w:bidi="ar-SA"/>
        </w:rPr>
      </w:pPr>
      <w:r>
        <w:rPr>
          <w:rFonts w:hint="default" w:ascii="Times New Roman" w:hAnsi="Times New Roman" w:eastAsia="宋体" w:cs="宋体"/>
          <w:bCs/>
          <w:snapToGrid w:val="0"/>
          <w:color w:val="auto"/>
          <w:kern w:val="0"/>
          <w:sz w:val="24"/>
          <w:szCs w:val="21"/>
          <w:highlight w:val="none"/>
          <w:lang w:val="en-US" w:eastAsia="zh-CN" w:bidi="ar-SA"/>
        </w:rPr>
        <w:t>经计算，本项目</w:t>
      </w:r>
      <w:r>
        <w:rPr>
          <w:rFonts w:hint="eastAsia" w:ascii="Times New Roman" w:hAnsi="Times New Roman" w:eastAsia="宋体" w:cs="宋体"/>
          <w:bCs/>
          <w:snapToGrid w:val="0"/>
          <w:color w:val="auto"/>
          <w:kern w:val="0"/>
          <w:sz w:val="24"/>
          <w:szCs w:val="21"/>
          <w:highlight w:val="none"/>
          <w:lang w:val="en-US" w:eastAsia="zh-CN" w:bidi="ar-SA"/>
        </w:rPr>
        <w:t>加工废水汁水中氮平衡施用量V</w:t>
      </w:r>
      <w:r>
        <w:rPr>
          <w:rFonts w:hint="eastAsia" w:ascii="Times New Roman" w:hAnsi="Times New Roman" w:eastAsia="宋体" w:cs="宋体"/>
          <w:bCs/>
          <w:snapToGrid w:val="0"/>
          <w:color w:val="auto"/>
          <w:kern w:val="0"/>
          <w:sz w:val="24"/>
          <w:szCs w:val="21"/>
          <w:highlight w:val="none"/>
          <w:vertAlign w:val="subscript"/>
          <w:lang w:val="en-US" w:eastAsia="zh-CN" w:bidi="ar-SA"/>
        </w:rPr>
        <w:t>b</w:t>
      </w:r>
      <w:r>
        <w:rPr>
          <w:rFonts w:hint="eastAsia" w:ascii="Times New Roman" w:hAnsi="Times New Roman" w:eastAsia="宋体" w:cs="宋体"/>
          <w:bCs/>
          <w:snapToGrid w:val="0"/>
          <w:color w:val="auto"/>
          <w:kern w:val="0"/>
          <w:sz w:val="24"/>
          <w:szCs w:val="21"/>
          <w:highlight w:val="none"/>
          <w:lang w:val="en-US" w:eastAsia="zh-CN" w:bidi="ar-SA"/>
        </w:rPr>
        <w:t>为5.1</w:t>
      </w:r>
      <w:r>
        <w:rPr>
          <w:rFonts w:hint="default" w:ascii="Times New Roman" w:hAnsi="Times New Roman" w:eastAsia="宋体" w:cs="Times New Roman"/>
          <w:bCs/>
          <w:snapToGrid w:val="0"/>
          <w:color w:val="auto"/>
          <w:kern w:val="0"/>
          <w:sz w:val="24"/>
          <w:szCs w:val="21"/>
          <w:highlight w:val="none"/>
          <w:lang w:val="en-US" w:eastAsia="zh-CN" w:bidi="ar-SA"/>
        </w:rPr>
        <w:t>m</w:t>
      </w:r>
      <w:r>
        <w:rPr>
          <w:rFonts w:hint="default" w:ascii="Times New Roman" w:hAnsi="Times New Roman" w:eastAsia="宋体" w:cs="Times New Roman"/>
          <w:bCs/>
          <w:snapToGrid w:val="0"/>
          <w:color w:val="auto"/>
          <w:kern w:val="0"/>
          <w:sz w:val="24"/>
          <w:szCs w:val="21"/>
          <w:highlight w:val="none"/>
          <w:vertAlign w:val="superscript"/>
          <w:lang w:val="en-US" w:eastAsia="zh-CN" w:bidi="ar-SA"/>
        </w:rPr>
        <w:t>3</w:t>
      </w:r>
      <w:r>
        <w:rPr>
          <w:rFonts w:hint="default" w:ascii="Times New Roman" w:hAnsi="Times New Roman" w:eastAsia="宋体" w:cs="Times New Roman"/>
          <w:bCs/>
          <w:snapToGrid w:val="0"/>
          <w:color w:val="auto"/>
          <w:kern w:val="0"/>
          <w:sz w:val="24"/>
          <w:szCs w:val="21"/>
          <w:highlight w:val="none"/>
          <w:lang w:val="en-US" w:eastAsia="zh-CN" w:bidi="ar-SA"/>
        </w:rPr>
        <w:t>/亩</w:t>
      </w:r>
      <w:r>
        <w:rPr>
          <w:rFonts w:hint="eastAsia" w:ascii="Times New Roman" w:hAnsi="Times New Roman" w:eastAsia="宋体" w:cs="Times New Roman"/>
          <w:bCs/>
          <w:snapToGrid w:val="0"/>
          <w:color w:val="auto"/>
          <w:kern w:val="0"/>
          <w:sz w:val="24"/>
          <w:szCs w:val="21"/>
          <w:highlight w:val="none"/>
          <w:lang w:val="en-US" w:eastAsia="zh-CN" w:bidi="ar-SA"/>
        </w:rPr>
        <w:t>，土壤改良施用量V</w:t>
      </w:r>
      <w:r>
        <w:rPr>
          <w:rFonts w:hint="eastAsia" w:ascii="Times New Roman" w:hAnsi="Times New Roman" w:eastAsia="宋体" w:cs="Times New Roman"/>
          <w:bCs/>
          <w:snapToGrid w:val="0"/>
          <w:color w:val="auto"/>
          <w:kern w:val="0"/>
          <w:sz w:val="24"/>
          <w:szCs w:val="21"/>
          <w:highlight w:val="none"/>
          <w:vertAlign w:val="subscript"/>
          <w:lang w:val="en-US" w:eastAsia="zh-CN" w:bidi="ar-SA"/>
        </w:rPr>
        <w:t>p</w:t>
      </w:r>
      <w:r>
        <w:rPr>
          <w:rFonts w:hint="eastAsia" w:ascii="Times New Roman" w:hAnsi="Times New Roman" w:eastAsia="宋体" w:cs="Times New Roman"/>
          <w:bCs/>
          <w:snapToGrid w:val="0"/>
          <w:color w:val="auto"/>
          <w:kern w:val="0"/>
          <w:sz w:val="24"/>
          <w:szCs w:val="21"/>
          <w:highlight w:val="none"/>
          <w:vertAlign w:val="baseline"/>
          <w:lang w:val="en-US" w:eastAsia="zh-CN" w:bidi="ar-SA"/>
        </w:rPr>
        <w:t>为13.4</w:t>
      </w:r>
      <w:r>
        <w:rPr>
          <w:rFonts w:hint="default" w:ascii="Times New Roman" w:hAnsi="Times New Roman" w:eastAsia="宋体" w:cs="Times New Roman"/>
          <w:bCs/>
          <w:snapToGrid w:val="0"/>
          <w:color w:val="auto"/>
          <w:kern w:val="0"/>
          <w:sz w:val="24"/>
          <w:szCs w:val="21"/>
          <w:highlight w:val="none"/>
          <w:lang w:val="en-US" w:eastAsia="zh-CN" w:bidi="ar-SA"/>
        </w:rPr>
        <w:t>m</w:t>
      </w:r>
      <w:r>
        <w:rPr>
          <w:rFonts w:hint="default" w:ascii="Times New Roman" w:hAnsi="Times New Roman" w:eastAsia="宋体" w:cs="Times New Roman"/>
          <w:bCs/>
          <w:snapToGrid w:val="0"/>
          <w:color w:val="auto"/>
          <w:kern w:val="0"/>
          <w:sz w:val="24"/>
          <w:szCs w:val="21"/>
          <w:highlight w:val="none"/>
          <w:vertAlign w:val="superscript"/>
          <w:lang w:val="en-US" w:eastAsia="zh-CN" w:bidi="ar-SA"/>
        </w:rPr>
        <w:t>3</w:t>
      </w:r>
      <w:r>
        <w:rPr>
          <w:rFonts w:hint="default" w:ascii="Times New Roman" w:hAnsi="Times New Roman" w:eastAsia="宋体" w:cs="Times New Roman"/>
          <w:bCs/>
          <w:snapToGrid w:val="0"/>
          <w:color w:val="auto"/>
          <w:kern w:val="0"/>
          <w:sz w:val="24"/>
          <w:szCs w:val="21"/>
          <w:highlight w:val="none"/>
          <w:lang w:val="en-US" w:eastAsia="zh-CN" w:bidi="ar-SA"/>
        </w:rPr>
        <w:t>/亩</w:t>
      </w:r>
      <w:r>
        <w:rPr>
          <w:rFonts w:hint="eastAsia" w:ascii="Times New Roman" w:hAnsi="Times New Roman" w:eastAsia="宋体" w:cs="Times New Roman"/>
          <w:bCs/>
          <w:snapToGrid w:val="0"/>
          <w:color w:val="auto"/>
          <w:kern w:val="0"/>
          <w:sz w:val="24"/>
          <w:szCs w:val="21"/>
          <w:highlight w:val="none"/>
          <w:lang w:val="en-US" w:eastAsia="zh-CN" w:bidi="ar-SA"/>
        </w:rPr>
        <w:t>，则单位面积土地加工废水汁水年施用量为18.5</w:t>
      </w:r>
      <w:r>
        <w:rPr>
          <w:rFonts w:hint="default" w:ascii="Times New Roman" w:hAnsi="Times New Roman" w:eastAsia="宋体" w:cs="Times New Roman"/>
          <w:bCs/>
          <w:snapToGrid w:val="0"/>
          <w:color w:val="auto"/>
          <w:kern w:val="0"/>
          <w:sz w:val="24"/>
          <w:szCs w:val="21"/>
          <w:highlight w:val="none"/>
          <w:lang w:val="en-US" w:eastAsia="zh-CN" w:bidi="ar-SA"/>
        </w:rPr>
        <w:t>m</w:t>
      </w:r>
      <w:r>
        <w:rPr>
          <w:rFonts w:hint="default" w:ascii="Times New Roman" w:hAnsi="Times New Roman" w:eastAsia="宋体" w:cs="Times New Roman"/>
          <w:bCs/>
          <w:snapToGrid w:val="0"/>
          <w:color w:val="auto"/>
          <w:kern w:val="0"/>
          <w:sz w:val="24"/>
          <w:szCs w:val="21"/>
          <w:highlight w:val="none"/>
          <w:vertAlign w:val="superscript"/>
          <w:lang w:val="en-US" w:eastAsia="zh-CN" w:bidi="ar-SA"/>
        </w:rPr>
        <w:t>3</w:t>
      </w:r>
      <w:r>
        <w:rPr>
          <w:rFonts w:hint="default" w:ascii="Times New Roman" w:hAnsi="Times New Roman" w:eastAsia="宋体" w:cs="Times New Roman"/>
          <w:bCs/>
          <w:snapToGrid w:val="0"/>
          <w:color w:val="auto"/>
          <w:kern w:val="0"/>
          <w:sz w:val="24"/>
          <w:szCs w:val="21"/>
          <w:highlight w:val="none"/>
          <w:lang w:val="en-US" w:eastAsia="zh-CN" w:bidi="ar-SA"/>
        </w:rPr>
        <w:t>/亩</w:t>
      </w:r>
      <w:r>
        <w:rPr>
          <w:rFonts w:hint="eastAsia" w:ascii="Times New Roman" w:hAnsi="Times New Roman" w:eastAsia="宋体" w:cs="Times New Roman"/>
          <w:bCs/>
          <w:snapToGrid w:val="0"/>
          <w:color w:val="auto"/>
          <w:kern w:val="0"/>
          <w:sz w:val="24"/>
          <w:szCs w:val="21"/>
          <w:highlight w:val="none"/>
          <w:lang w:val="en-US" w:eastAsia="zh-CN" w:bidi="ar-SA"/>
        </w:rPr>
        <w:t>。</w:t>
      </w:r>
    </w:p>
    <w:p w14:paraId="66115B4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（3）水力负荷单次施用量</w:t>
      </w:r>
    </w:p>
    <w:p w14:paraId="4B7055A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bCs/>
          <w:snapToGrid w:val="0"/>
          <w:color w:val="auto"/>
          <w:kern w:val="0"/>
          <w:position w:val="-12"/>
          <w:sz w:val="24"/>
          <w:szCs w:val="21"/>
          <w:highlight w:val="none"/>
          <w:lang w:val="en-US" w:eastAsia="zh-CN" w:bidi="ar-SA"/>
        </w:rPr>
      </w:pPr>
      <w:r>
        <w:rPr>
          <w:rFonts w:hint="eastAsia" w:ascii="Times New Roman" w:hAnsi="Times New Roman" w:eastAsia="宋体" w:cs="宋体"/>
          <w:snapToGrid w:val="0"/>
          <w:color w:val="auto"/>
          <w:kern w:val="0"/>
          <w:sz w:val="24"/>
          <w:szCs w:val="24"/>
          <w:lang w:val="en-US" w:eastAsia="zh-CN" w:bidi="ar"/>
        </w:rPr>
        <w:t>参照宁夏回族自治区《马铃薯淀粉加工废水汁水还田利用技术规范（试行）》附录C中以水力负荷为限值因子的加工废水汁水单次施用量推荐公式进行计算，公式如下：</w:t>
      </w:r>
    </w:p>
    <w:p w14:paraId="5543C956">
      <w:pPr>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20" w:firstLineChars="200"/>
        <w:jc w:val="center"/>
        <w:textAlignment w:val="baseline"/>
        <w:rPr>
          <w:rFonts w:hint="default" w:ascii="Times New Roman" w:hAnsi="Times New Roman" w:eastAsia="宋体" w:cs="宋体"/>
          <w:bCs/>
          <w:snapToGrid w:val="0"/>
          <w:color w:val="auto"/>
          <w:kern w:val="0"/>
          <w:sz w:val="24"/>
          <w:szCs w:val="21"/>
          <w:highlight w:val="none"/>
          <w:lang w:val="en-US" w:eastAsia="zh-CN" w:bidi="ar-SA"/>
        </w:rPr>
      </w:pPr>
      <w:r>
        <w:rPr>
          <w:color w:val="auto"/>
        </w:rPr>
        <w:drawing>
          <wp:inline distT="0" distB="0" distL="114300" distR="114300">
            <wp:extent cx="1668780" cy="280035"/>
            <wp:effectExtent l="0" t="0" r="7620" b="571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56"/>
                    <a:stretch>
                      <a:fillRect/>
                    </a:stretch>
                  </pic:blipFill>
                  <pic:spPr>
                    <a:xfrm>
                      <a:off x="0" y="0"/>
                      <a:ext cx="1668780" cy="280035"/>
                    </a:xfrm>
                    <a:prstGeom prst="rect">
                      <a:avLst/>
                    </a:prstGeom>
                    <a:noFill/>
                    <a:ln>
                      <a:noFill/>
                    </a:ln>
                  </pic:spPr>
                </pic:pic>
              </a:graphicData>
            </a:graphic>
          </wp:inline>
        </w:drawing>
      </w:r>
    </w:p>
    <w:p w14:paraId="66C5116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Chars="0" w:firstLine="0" w:firstLineChars="0"/>
        <w:jc w:val="left"/>
        <w:textAlignment w:val="baseline"/>
        <w:rPr>
          <w:rFonts w:hint="default" w:ascii="Times New Roman" w:hAnsi="Times New Roman" w:eastAsia="宋体" w:cs="Times New Roman"/>
          <w:bCs/>
          <w:snapToGrid w:val="0"/>
          <w:color w:val="auto"/>
          <w:kern w:val="0"/>
          <w:sz w:val="24"/>
          <w:szCs w:val="21"/>
          <w:highlight w:val="none"/>
          <w:lang w:val="en-US" w:eastAsia="zh-CN" w:bidi="ar-SA"/>
        </w:rPr>
      </w:pPr>
      <w:r>
        <w:rPr>
          <w:rFonts w:hint="eastAsia" w:ascii="Times New Roman" w:hAnsi="Times New Roman" w:eastAsia="宋体" w:cs="宋体"/>
          <w:bCs/>
          <w:snapToGrid w:val="0"/>
          <w:color w:val="auto"/>
          <w:kern w:val="0"/>
          <w:sz w:val="24"/>
          <w:szCs w:val="21"/>
          <w:highlight w:val="none"/>
          <w:lang w:val="en-US" w:eastAsia="zh-CN" w:bidi="ar-SA"/>
        </w:rPr>
        <w:t>式中：</w:t>
      </w:r>
      <w:r>
        <w:rPr>
          <w:rFonts w:hint="default" w:ascii="Times New Roman" w:hAnsi="Times New Roman" w:eastAsia="宋体" w:cs="Times New Roman"/>
          <w:bCs/>
          <w:snapToGrid w:val="0"/>
          <w:color w:val="auto"/>
          <w:kern w:val="0"/>
          <w:sz w:val="24"/>
          <w:szCs w:val="21"/>
          <w:highlight w:val="none"/>
          <w:lang w:val="en-US" w:eastAsia="zh-CN" w:bidi="ar-SA"/>
        </w:rPr>
        <w:t>Vs——作物播种前废水汁水单次施用量，单位为m</w:t>
      </w:r>
      <w:r>
        <w:rPr>
          <w:rFonts w:hint="default" w:ascii="Times New Roman" w:hAnsi="Times New Roman" w:eastAsia="宋体" w:cs="Times New Roman"/>
          <w:bCs/>
          <w:snapToGrid w:val="0"/>
          <w:color w:val="auto"/>
          <w:kern w:val="0"/>
          <w:sz w:val="24"/>
          <w:szCs w:val="21"/>
          <w:highlight w:val="none"/>
          <w:vertAlign w:val="superscript"/>
          <w:lang w:val="en-US" w:eastAsia="zh-CN" w:bidi="ar-SA"/>
        </w:rPr>
        <w:t>3</w:t>
      </w:r>
      <w:r>
        <w:rPr>
          <w:rFonts w:hint="default" w:ascii="Times New Roman" w:hAnsi="Times New Roman" w:eastAsia="宋体" w:cs="Times New Roman"/>
          <w:bCs/>
          <w:snapToGrid w:val="0"/>
          <w:color w:val="auto"/>
          <w:kern w:val="0"/>
          <w:sz w:val="24"/>
          <w:szCs w:val="21"/>
          <w:highlight w:val="none"/>
          <w:lang w:val="en-US" w:eastAsia="zh-CN" w:bidi="ar-SA"/>
        </w:rPr>
        <w:t>/亩；</w:t>
      </w:r>
    </w:p>
    <w:p w14:paraId="06C78B6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Chars="0" w:firstLine="720" w:firstLineChars="300"/>
        <w:jc w:val="left"/>
        <w:textAlignment w:val="baseline"/>
        <w:rPr>
          <w:rFonts w:hint="default" w:ascii="Times New Roman" w:hAnsi="Times New Roman" w:eastAsia="宋体" w:cs="Times New Roman"/>
          <w:bCs/>
          <w:snapToGrid w:val="0"/>
          <w:color w:val="auto"/>
          <w:kern w:val="0"/>
          <w:sz w:val="24"/>
          <w:szCs w:val="21"/>
          <w:highlight w:val="none"/>
          <w:lang w:val="en-US" w:eastAsia="zh-CN" w:bidi="ar-SA"/>
        </w:rPr>
      </w:pPr>
      <w:r>
        <w:rPr>
          <w:rFonts w:hint="default" w:ascii="Times New Roman" w:hAnsi="Times New Roman" w:eastAsia="宋体" w:cs="Times New Roman"/>
          <w:bCs/>
          <w:snapToGrid w:val="0"/>
          <w:color w:val="auto"/>
          <w:kern w:val="0"/>
          <w:sz w:val="24"/>
          <w:szCs w:val="21"/>
          <w:highlight w:val="none"/>
          <w:lang w:val="en-US" w:eastAsia="zh-CN" w:bidi="ar-SA"/>
        </w:rPr>
        <w:t>α——公顷和亩的换算系数，取值为1/15；</w:t>
      </w:r>
    </w:p>
    <w:p w14:paraId="30C0723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rightChars="0" w:firstLine="720" w:firstLineChars="300"/>
        <w:jc w:val="left"/>
        <w:textAlignment w:val="baseline"/>
        <w:rPr>
          <w:rFonts w:hint="default" w:ascii="Times New Roman" w:hAnsi="Times New Roman" w:eastAsia="宋体" w:cs="Times New Roman"/>
          <w:bCs/>
          <w:snapToGrid w:val="0"/>
          <w:color w:val="auto"/>
          <w:kern w:val="0"/>
          <w:sz w:val="24"/>
          <w:szCs w:val="21"/>
          <w:highlight w:val="none"/>
          <w:lang w:val="en-US" w:eastAsia="zh-CN" w:bidi="ar-SA"/>
        </w:rPr>
      </w:pPr>
      <w:r>
        <w:rPr>
          <w:rFonts w:hint="default" w:ascii="Times New Roman" w:hAnsi="Times New Roman" w:eastAsia="宋体" w:cs="Times New Roman"/>
          <w:snapToGrid w:val="0"/>
          <w:color w:val="auto"/>
          <w:kern w:val="0"/>
          <w:sz w:val="24"/>
          <w:szCs w:val="24"/>
          <w:lang w:val="en-US" w:eastAsia="zh-CN" w:bidi="ar"/>
        </w:rPr>
        <w:t>h</w:t>
      </w:r>
      <w:r>
        <w:rPr>
          <w:rFonts w:hint="default" w:ascii="Times New Roman" w:hAnsi="Times New Roman" w:eastAsia="宋体" w:cs="Times New Roman"/>
          <w:bCs/>
          <w:snapToGrid w:val="0"/>
          <w:color w:val="auto"/>
          <w:kern w:val="0"/>
          <w:sz w:val="24"/>
          <w:szCs w:val="21"/>
          <w:highlight w:val="none"/>
          <w:lang w:val="en-US" w:eastAsia="zh-CN" w:bidi="ar-SA"/>
        </w:rPr>
        <w:t>——土壤计划湿润层深度</w:t>
      </w:r>
      <w:r>
        <w:rPr>
          <w:rFonts w:hint="eastAsia" w:ascii="Times New Roman" w:hAnsi="Times New Roman" w:eastAsia="宋体" w:cs="Times New Roman"/>
          <w:bCs/>
          <w:snapToGrid w:val="0"/>
          <w:color w:val="auto"/>
          <w:kern w:val="0"/>
          <w:sz w:val="24"/>
          <w:szCs w:val="21"/>
          <w:highlight w:val="none"/>
          <w:lang w:val="en-US" w:eastAsia="zh-CN" w:bidi="ar-SA"/>
        </w:rPr>
        <w:t>，</w:t>
      </w:r>
      <w:r>
        <w:rPr>
          <w:rFonts w:hint="eastAsia" w:ascii="Times New Roman" w:hAnsi="Times New Roman" w:eastAsia="宋体" w:cs="宋体"/>
          <w:bCs/>
          <w:snapToGrid w:val="0"/>
          <w:color w:val="auto"/>
          <w:kern w:val="0"/>
          <w:sz w:val="24"/>
          <w:szCs w:val="21"/>
          <w:highlight w:val="none"/>
          <w:lang w:val="en-US" w:eastAsia="zh-CN" w:bidi="ar-SA"/>
        </w:rPr>
        <w:t>本项目取0.3m</w:t>
      </w:r>
      <w:r>
        <w:rPr>
          <w:rFonts w:hint="default" w:ascii="Times New Roman" w:hAnsi="Times New Roman" w:eastAsia="宋体" w:cs="Times New Roman"/>
          <w:bCs/>
          <w:snapToGrid w:val="0"/>
          <w:color w:val="auto"/>
          <w:kern w:val="0"/>
          <w:sz w:val="24"/>
          <w:szCs w:val="21"/>
          <w:highlight w:val="none"/>
          <w:lang w:val="en-US" w:eastAsia="zh-CN" w:bidi="ar-SA"/>
        </w:rPr>
        <w:t>；</w:t>
      </w:r>
    </w:p>
    <w:p w14:paraId="1FF4B138">
      <w:pPr>
        <w:pStyle w:val="13"/>
        <w:keepNext w:val="0"/>
        <w:keepLines w:val="0"/>
        <w:pageBreakBefore w:val="0"/>
        <w:widowControl/>
        <w:kinsoku w:val="0"/>
        <w:wordWrap/>
        <w:overflowPunct/>
        <w:topLinePunct w:val="0"/>
        <w:autoSpaceDE w:val="0"/>
        <w:autoSpaceDN w:val="0"/>
        <w:bidi w:val="0"/>
        <w:adjustRightInd w:val="0"/>
        <w:snapToGrid w:val="0"/>
        <w:spacing w:after="0" w:afterLines="0" w:line="360" w:lineRule="auto"/>
        <w:ind w:left="0" w:leftChars="0" w:rightChars="0" w:firstLine="720" w:firstLineChars="300"/>
        <w:textAlignment w:val="baseline"/>
        <w:rPr>
          <w:rFonts w:hint="default" w:ascii="Times New Roman" w:hAnsi="Times New Roman" w:eastAsia="宋体" w:cs="Times New Roman"/>
          <w:bCs/>
          <w:snapToGrid w:val="0"/>
          <w:color w:val="auto"/>
          <w:kern w:val="0"/>
          <w:sz w:val="24"/>
          <w:szCs w:val="21"/>
          <w:highlight w:val="none"/>
          <w:vertAlign w:val="baseline"/>
          <w:lang w:val="en-US" w:eastAsia="zh-CN" w:bidi="ar-SA"/>
        </w:rPr>
      </w:pPr>
      <w:r>
        <w:rPr>
          <w:rFonts w:hint="default" w:ascii="Times New Roman" w:hAnsi="Times New Roman" w:eastAsia="宋体" w:cs="Times New Roman"/>
          <w:bCs/>
          <w:snapToGrid w:val="0"/>
          <w:color w:val="auto"/>
          <w:kern w:val="0"/>
          <w:sz w:val="24"/>
          <w:szCs w:val="21"/>
          <w:highlight w:val="none"/>
          <w:lang w:val="en-US" w:eastAsia="zh-CN" w:bidi="ar-SA"/>
        </w:rPr>
        <w:t>ρ——h深度内的土壤平均容重，单位为t/m</w:t>
      </w:r>
      <w:r>
        <w:rPr>
          <w:rFonts w:hint="default" w:ascii="Times New Roman" w:hAnsi="Times New Roman" w:eastAsia="宋体" w:cs="Times New Roman"/>
          <w:bCs/>
          <w:snapToGrid w:val="0"/>
          <w:color w:val="auto"/>
          <w:kern w:val="0"/>
          <w:sz w:val="24"/>
          <w:szCs w:val="21"/>
          <w:highlight w:val="none"/>
          <w:vertAlign w:val="superscript"/>
          <w:lang w:val="en-US" w:eastAsia="zh-CN" w:bidi="ar-SA"/>
        </w:rPr>
        <w:t>3</w:t>
      </w:r>
      <w:r>
        <w:rPr>
          <w:rFonts w:hint="eastAsia" w:ascii="Times New Roman" w:hAnsi="Times New Roman" w:eastAsia="宋体" w:cs="Times New Roman"/>
          <w:bCs/>
          <w:snapToGrid w:val="0"/>
          <w:color w:val="auto"/>
          <w:kern w:val="0"/>
          <w:sz w:val="24"/>
          <w:szCs w:val="21"/>
          <w:highlight w:val="none"/>
          <w:vertAlign w:val="baseline"/>
          <w:lang w:val="en-US" w:eastAsia="zh-CN" w:bidi="ar-SA"/>
        </w:rPr>
        <w:t>，</w:t>
      </w:r>
      <w:r>
        <w:rPr>
          <w:rFonts w:hint="eastAsia" w:ascii="Times New Roman" w:hAnsi="Times New Roman" w:eastAsia="宋体" w:cs="宋体"/>
          <w:bCs/>
          <w:snapToGrid w:val="0"/>
          <w:color w:val="auto"/>
          <w:kern w:val="0"/>
          <w:sz w:val="24"/>
          <w:szCs w:val="21"/>
          <w:highlight w:val="none"/>
          <w:lang w:val="en-US" w:eastAsia="zh-CN" w:bidi="ar-SA"/>
        </w:rPr>
        <w:t>本项目取1.6</w:t>
      </w:r>
      <w:r>
        <w:rPr>
          <w:rFonts w:hint="default" w:ascii="Times New Roman" w:hAnsi="Times New Roman" w:eastAsia="宋体" w:cs="Times New Roman"/>
          <w:bCs/>
          <w:snapToGrid w:val="0"/>
          <w:color w:val="auto"/>
          <w:kern w:val="0"/>
          <w:sz w:val="24"/>
          <w:szCs w:val="21"/>
          <w:highlight w:val="none"/>
          <w:lang w:val="en-US" w:eastAsia="zh-CN" w:bidi="ar-SA"/>
        </w:rPr>
        <w:t>t/m</w:t>
      </w:r>
      <w:r>
        <w:rPr>
          <w:rFonts w:hint="default" w:ascii="Times New Roman" w:hAnsi="Times New Roman" w:eastAsia="宋体" w:cs="Times New Roman"/>
          <w:bCs/>
          <w:snapToGrid w:val="0"/>
          <w:color w:val="auto"/>
          <w:kern w:val="0"/>
          <w:sz w:val="24"/>
          <w:szCs w:val="21"/>
          <w:highlight w:val="none"/>
          <w:vertAlign w:val="superscript"/>
          <w:lang w:val="en-US" w:eastAsia="zh-CN" w:bidi="ar-SA"/>
        </w:rPr>
        <w:t>3</w:t>
      </w:r>
      <w:r>
        <w:rPr>
          <w:rFonts w:hint="eastAsia" w:ascii="Times New Roman" w:hAnsi="Times New Roman" w:eastAsia="宋体" w:cs="宋体"/>
          <w:bCs/>
          <w:snapToGrid w:val="0"/>
          <w:color w:val="auto"/>
          <w:kern w:val="0"/>
          <w:sz w:val="24"/>
          <w:szCs w:val="21"/>
          <w:highlight w:val="none"/>
          <w:lang w:val="en-US" w:eastAsia="zh-CN" w:bidi="ar-SA"/>
        </w:rPr>
        <w:t>；</w:t>
      </w:r>
    </w:p>
    <w:p w14:paraId="084E055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Chars="0" w:firstLine="720" w:firstLineChars="300"/>
        <w:jc w:val="left"/>
        <w:textAlignment w:val="baseline"/>
        <w:rPr>
          <w:rFonts w:hint="default" w:ascii="Times New Roman" w:hAnsi="Times New Roman" w:eastAsia="宋体" w:cs="Times New Roman"/>
          <w:snapToGrid w:val="0"/>
          <w:color w:val="auto"/>
          <w:kern w:val="0"/>
          <w:sz w:val="24"/>
          <w:szCs w:val="21"/>
          <w:lang w:val="en-US" w:eastAsia="zh-CN" w:bidi="ar"/>
        </w:rPr>
      </w:pPr>
      <w:r>
        <w:rPr>
          <w:rFonts w:hint="default" w:ascii="Times New Roman" w:hAnsi="Times New Roman" w:eastAsia="宋体" w:cs="Times New Roman"/>
          <w:bCs/>
          <w:snapToGrid w:val="0"/>
          <w:color w:val="auto"/>
          <w:kern w:val="0"/>
          <w:sz w:val="24"/>
          <w:szCs w:val="21"/>
          <w:highlight w:val="none"/>
          <w:vertAlign w:val="baseline"/>
          <w:lang w:val="en-US" w:eastAsia="zh-CN" w:bidi="ar-SA"/>
        </w:rPr>
        <w:t>β</w:t>
      </w:r>
      <w:r>
        <w:rPr>
          <w:rFonts w:hint="default" w:ascii="Times New Roman" w:hAnsi="Times New Roman" w:eastAsia="宋体" w:cs="Times New Roman"/>
          <w:bCs/>
          <w:snapToGrid w:val="0"/>
          <w:color w:val="auto"/>
          <w:kern w:val="0"/>
          <w:sz w:val="24"/>
          <w:szCs w:val="21"/>
          <w:highlight w:val="none"/>
          <w:vertAlign w:val="subscript"/>
          <w:lang w:val="en-US" w:eastAsia="zh-CN" w:bidi="ar-SA"/>
        </w:rPr>
        <w:t>max</w:t>
      </w:r>
      <w:r>
        <w:rPr>
          <w:rFonts w:hint="default" w:ascii="Times New Roman" w:hAnsi="Times New Roman" w:eastAsia="宋体" w:cs="Times New Roman"/>
          <w:bCs/>
          <w:snapToGrid w:val="0"/>
          <w:color w:val="auto"/>
          <w:kern w:val="0"/>
          <w:sz w:val="24"/>
          <w:szCs w:val="21"/>
          <w:highlight w:val="none"/>
          <w:lang w:val="en-US" w:eastAsia="zh-CN" w:bidi="ar-SA"/>
        </w:rPr>
        <w:t>——</w:t>
      </w:r>
      <w:r>
        <w:rPr>
          <w:rFonts w:hint="default" w:ascii="Times New Roman" w:hAnsi="Times New Roman" w:eastAsia="宋体" w:cs="Times New Roman"/>
          <w:snapToGrid w:val="0"/>
          <w:color w:val="auto"/>
          <w:kern w:val="0"/>
          <w:sz w:val="24"/>
          <w:szCs w:val="21"/>
          <w:lang w:val="en-US" w:eastAsia="zh-CN" w:bidi="ar"/>
        </w:rPr>
        <w:t>田间最大含水率（占干土质量的百分数），单位为%</w:t>
      </w:r>
      <w:r>
        <w:rPr>
          <w:rFonts w:hint="eastAsia" w:ascii="Times New Roman" w:hAnsi="Times New Roman" w:eastAsia="宋体" w:cs="Times New Roman"/>
          <w:snapToGrid w:val="0"/>
          <w:color w:val="auto"/>
          <w:kern w:val="0"/>
          <w:sz w:val="24"/>
          <w:szCs w:val="21"/>
          <w:lang w:val="en-US" w:eastAsia="zh-CN" w:bidi="ar"/>
        </w:rPr>
        <w:t>，</w:t>
      </w:r>
      <w:r>
        <w:rPr>
          <w:rFonts w:hint="eastAsia" w:ascii="Times New Roman" w:hAnsi="Times New Roman" w:eastAsia="宋体" w:cs="宋体"/>
          <w:bCs/>
          <w:snapToGrid w:val="0"/>
          <w:color w:val="auto"/>
          <w:kern w:val="0"/>
          <w:sz w:val="24"/>
          <w:szCs w:val="21"/>
          <w:highlight w:val="none"/>
          <w:lang w:val="en-US" w:eastAsia="zh-CN" w:bidi="ar-SA"/>
        </w:rPr>
        <w:t>本项目取17%；</w:t>
      </w:r>
    </w:p>
    <w:p w14:paraId="2BBB5FE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Chars="0" w:firstLine="720" w:firstLineChars="300"/>
        <w:jc w:val="left"/>
        <w:textAlignment w:val="baseline"/>
        <w:rPr>
          <w:rFonts w:hint="default" w:ascii="Times New Roman" w:hAnsi="Times New Roman" w:eastAsia="宋体" w:cs="Times New Roman"/>
          <w:snapToGrid w:val="0"/>
          <w:color w:val="auto"/>
          <w:kern w:val="0"/>
          <w:sz w:val="24"/>
          <w:szCs w:val="21"/>
          <w:lang w:val="en-US" w:eastAsia="zh-CN" w:bidi="ar"/>
        </w:rPr>
      </w:pPr>
      <w:r>
        <w:rPr>
          <w:rFonts w:hint="default" w:ascii="Times New Roman" w:hAnsi="Times New Roman" w:eastAsia="宋体" w:cs="Times New Roman"/>
          <w:color w:val="auto"/>
          <w:sz w:val="24"/>
          <w:lang w:val="en-US" w:eastAsia="zh-CN"/>
        </w:rPr>
        <w:t>β</w:t>
      </w:r>
      <w:r>
        <w:rPr>
          <w:rFonts w:hint="default" w:ascii="Times New Roman" w:hAnsi="Times New Roman" w:eastAsia="宋体" w:cs="Times New Roman"/>
          <w:color w:val="auto"/>
          <w:sz w:val="24"/>
          <w:vertAlign w:val="subscript"/>
          <w:lang w:val="en-US" w:eastAsia="zh-CN"/>
        </w:rPr>
        <w:t>0</w:t>
      </w:r>
      <w:r>
        <w:rPr>
          <w:rFonts w:hint="default" w:ascii="Times New Roman" w:hAnsi="Times New Roman" w:eastAsia="宋体" w:cs="Times New Roman"/>
          <w:snapToGrid w:val="0"/>
          <w:color w:val="auto"/>
          <w:kern w:val="0"/>
          <w:sz w:val="24"/>
          <w:szCs w:val="21"/>
          <w:lang w:val="en-US" w:eastAsia="zh-CN" w:bidi="ar"/>
        </w:rPr>
        <w:t>播种前h土层内平均含水率（占干土质量的百分数），单位为%</w:t>
      </w:r>
      <w:r>
        <w:rPr>
          <w:rFonts w:hint="eastAsia" w:ascii="Times New Roman" w:hAnsi="Times New Roman" w:eastAsia="宋体" w:cs="Times New Roman"/>
          <w:snapToGrid w:val="0"/>
          <w:color w:val="auto"/>
          <w:kern w:val="0"/>
          <w:sz w:val="24"/>
          <w:szCs w:val="21"/>
          <w:lang w:val="en-US" w:eastAsia="zh-CN" w:bidi="ar"/>
        </w:rPr>
        <w:t>，</w:t>
      </w:r>
      <w:r>
        <w:rPr>
          <w:rFonts w:hint="eastAsia" w:ascii="Times New Roman" w:hAnsi="Times New Roman" w:eastAsia="宋体" w:cs="宋体"/>
          <w:bCs/>
          <w:snapToGrid w:val="0"/>
          <w:color w:val="auto"/>
          <w:kern w:val="0"/>
          <w:sz w:val="24"/>
          <w:szCs w:val="21"/>
          <w:highlight w:val="none"/>
          <w:lang w:val="en-US" w:eastAsia="zh-CN" w:bidi="ar-SA"/>
        </w:rPr>
        <w:t>本项目取6%。</w:t>
      </w:r>
    </w:p>
    <w:p w14:paraId="7E9B59F2">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bCs/>
          <w:snapToGrid w:val="0"/>
          <w:color w:val="auto"/>
          <w:kern w:val="0"/>
          <w:sz w:val="24"/>
          <w:szCs w:val="21"/>
          <w:highlight w:val="none"/>
          <w:lang w:val="en-US" w:eastAsia="zh-CN" w:bidi="ar-SA"/>
        </w:rPr>
        <w:t>经计算，本项目</w:t>
      </w:r>
      <w:r>
        <w:rPr>
          <w:rFonts w:hint="eastAsia" w:ascii="Times New Roman" w:hAnsi="Times New Roman" w:eastAsia="宋体" w:cs="宋体"/>
          <w:snapToGrid w:val="0"/>
          <w:color w:val="auto"/>
          <w:kern w:val="0"/>
          <w:sz w:val="24"/>
          <w:szCs w:val="24"/>
          <w:lang w:val="en-US" w:eastAsia="zh-CN" w:bidi="ar"/>
        </w:rPr>
        <w:t>以水力负荷为限值因子的加工</w:t>
      </w:r>
      <w:r>
        <w:rPr>
          <w:rFonts w:hint="default" w:ascii="Times New Roman" w:hAnsi="Times New Roman" w:eastAsia="宋体" w:cs="Times New Roman"/>
          <w:bCs/>
          <w:snapToGrid w:val="0"/>
          <w:color w:val="auto"/>
          <w:kern w:val="0"/>
          <w:sz w:val="24"/>
          <w:szCs w:val="21"/>
          <w:highlight w:val="none"/>
          <w:lang w:val="en-US" w:eastAsia="zh-CN" w:bidi="ar-SA"/>
        </w:rPr>
        <w:t>废水汁水单次施用量</w:t>
      </w:r>
      <w:r>
        <w:rPr>
          <w:rFonts w:hint="eastAsia" w:ascii="Times New Roman" w:hAnsi="Times New Roman" w:eastAsia="宋体" w:cs="Times New Roman"/>
          <w:bCs/>
          <w:snapToGrid w:val="0"/>
          <w:color w:val="auto"/>
          <w:kern w:val="0"/>
          <w:sz w:val="24"/>
          <w:szCs w:val="21"/>
          <w:highlight w:val="none"/>
          <w:lang w:val="en-US" w:eastAsia="zh-CN" w:bidi="ar-SA"/>
        </w:rPr>
        <w:t>为35.2</w:t>
      </w:r>
      <w:r>
        <w:rPr>
          <w:rFonts w:hint="default" w:ascii="Times New Roman" w:hAnsi="Times New Roman" w:eastAsia="宋体" w:cs="Times New Roman"/>
          <w:bCs/>
          <w:snapToGrid w:val="0"/>
          <w:color w:val="auto"/>
          <w:kern w:val="0"/>
          <w:sz w:val="24"/>
          <w:szCs w:val="21"/>
          <w:highlight w:val="none"/>
          <w:lang w:val="en-US" w:eastAsia="zh-CN" w:bidi="ar-SA"/>
        </w:rPr>
        <w:t>m</w:t>
      </w:r>
      <w:r>
        <w:rPr>
          <w:rFonts w:hint="default" w:ascii="Times New Roman" w:hAnsi="Times New Roman" w:eastAsia="宋体" w:cs="Times New Roman"/>
          <w:bCs/>
          <w:snapToGrid w:val="0"/>
          <w:color w:val="auto"/>
          <w:kern w:val="0"/>
          <w:sz w:val="24"/>
          <w:szCs w:val="21"/>
          <w:highlight w:val="none"/>
          <w:vertAlign w:val="superscript"/>
          <w:lang w:val="en-US" w:eastAsia="zh-CN" w:bidi="ar-SA"/>
        </w:rPr>
        <w:t>3</w:t>
      </w:r>
      <w:r>
        <w:rPr>
          <w:rFonts w:hint="default" w:ascii="Times New Roman" w:hAnsi="Times New Roman" w:eastAsia="宋体" w:cs="Times New Roman"/>
          <w:bCs/>
          <w:snapToGrid w:val="0"/>
          <w:color w:val="auto"/>
          <w:kern w:val="0"/>
          <w:sz w:val="24"/>
          <w:szCs w:val="21"/>
          <w:highlight w:val="none"/>
          <w:lang w:val="en-US" w:eastAsia="zh-CN" w:bidi="ar-SA"/>
        </w:rPr>
        <w:t>/亩</w:t>
      </w:r>
      <w:r>
        <w:rPr>
          <w:rFonts w:hint="eastAsia" w:ascii="Times New Roman" w:hAnsi="Times New Roman" w:eastAsia="宋体" w:cs="Times New Roman"/>
          <w:bCs/>
          <w:snapToGrid w:val="0"/>
          <w:color w:val="auto"/>
          <w:kern w:val="0"/>
          <w:sz w:val="24"/>
          <w:szCs w:val="21"/>
          <w:highlight w:val="none"/>
          <w:lang w:val="en-US" w:eastAsia="zh-CN" w:bidi="ar-SA"/>
        </w:rPr>
        <w:t>。</w:t>
      </w:r>
    </w:p>
    <w:p w14:paraId="7859CE73">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根据上述计算，“以氮定量”得出的全年加工废水施用量小于水力负荷计算得出的单次施用量，一般情况下可集中一次性全部施用，但根据本项目厂区建设情况，厂区无法存放一年的加工废水量，故本项目加工废水汁水采用年施用量方式还田，分次施用。</w:t>
      </w:r>
    </w:p>
    <w:p w14:paraId="3A6D6207">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本项目实际单位面积土地施</w:t>
      </w:r>
      <w:r>
        <w:rPr>
          <w:rFonts w:hint="default" w:ascii="Times New Roman" w:hAnsi="Times New Roman" w:eastAsia="宋体" w:cs="宋体"/>
          <w:snapToGrid w:val="0"/>
          <w:color w:val="auto"/>
          <w:kern w:val="0"/>
          <w:sz w:val="24"/>
          <w:szCs w:val="24"/>
          <w:lang w:val="en-US" w:eastAsia="zh-CN" w:bidi="ar"/>
        </w:rPr>
        <w:t>用量</w:t>
      </w:r>
      <w:r>
        <w:rPr>
          <w:rFonts w:hint="eastAsia" w:ascii="Times New Roman" w:hAnsi="Times New Roman" w:eastAsia="宋体" w:cs="宋体"/>
          <w:snapToGrid w:val="0"/>
          <w:color w:val="auto"/>
          <w:kern w:val="0"/>
          <w:sz w:val="24"/>
          <w:szCs w:val="24"/>
          <w:lang w:val="en-US" w:eastAsia="zh-CN" w:bidi="ar"/>
        </w:rPr>
        <w:t>为2</w:t>
      </w:r>
      <w:r>
        <w:rPr>
          <w:rFonts w:hint="default" w:ascii="Times New Roman" w:hAnsi="Times New Roman" w:eastAsia="宋体" w:cs="Times New Roman"/>
          <w:bCs/>
          <w:snapToGrid w:val="0"/>
          <w:color w:val="auto"/>
          <w:kern w:val="0"/>
          <w:sz w:val="24"/>
          <w:szCs w:val="21"/>
          <w:highlight w:val="none"/>
          <w:lang w:val="en-US" w:eastAsia="zh-CN" w:bidi="ar-SA"/>
        </w:rPr>
        <w:t>m</w:t>
      </w:r>
      <w:r>
        <w:rPr>
          <w:rFonts w:hint="default" w:ascii="Times New Roman" w:hAnsi="Times New Roman" w:eastAsia="宋体" w:cs="Times New Roman"/>
          <w:bCs/>
          <w:snapToGrid w:val="0"/>
          <w:color w:val="auto"/>
          <w:kern w:val="0"/>
          <w:sz w:val="24"/>
          <w:szCs w:val="21"/>
          <w:highlight w:val="none"/>
          <w:vertAlign w:val="superscript"/>
          <w:lang w:val="en-US" w:eastAsia="zh-CN" w:bidi="ar-SA"/>
        </w:rPr>
        <w:t>3</w:t>
      </w:r>
      <w:r>
        <w:rPr>
          <w:rFonts w:hint="default" w:ascii="Times New Roman" w:hAnsi="Times New Roman" w:eastAsia="宋体" w:cs="Times New Roman"/>
          <w:bCs/>
          <w:snapToGrid w:val="0"/>
          <w:color w:val="auto"/>
          <w:kern w:val="0"/>
          <w:sz w:val="24"/>
          <w:szCs w:val="21"/>
          <w:highlight w:val="none"/>
          <w:lang w:val="en-US" w:eastAsia="zh-CN" w:bidi="ar-SA"/>
        </w:rPr>
        <w:t>/亩</w:t>
      </w:r>
      <w:r>
        <w:rPr>
          <w:rFonts w:hint="eastAsia" w:ascii="Times New Roman" w:hAnsi="Times New Roman" w:eastAsia="宋体" w:cs="Times New Roman"/>
          <w:bCs/>
          <w:snapToGrid w:val="0"/>
          <w:color w:val="auto"/>
          <w:kern w:val="0"/>
          <w:sz w:val="24"/>
          <w:szCs w:val="21"/>
          <w:highlight w:val="none"/>
          <w:lang w:val="en-US" w:eastAsia="zh-CN" w:bidi="ar-SA"/>
        </w:rPr>
        <w:t>小于“以氮定量”计算得出的</w:t>
      </w:r>
      <w:r>
        <w:rPr>
          <w:rFonts w:hint="eastAsia" w:ascii="Times New Roman" w:hAnsi="Times New Roman" w:eastAsia="宋体" w:cs="宋体"/>
          <w:snapToGrid w:val="0"/>
          <w:color w:val="auto"/>
          <w:kern w:val="0"/>
          <w:sz w:val="24"/>
          <w:szCs w:val="24"/>
          <w:lang w:val="en-US" w:eastAsia="zh-CN" w:bidi="ar"/>
        </w:rPr>
        <w:t>年施用量18.5</w:t>
      </w:r>
      <w:r>
        <w:rPr>
          <w:rFonts w:hint="default" w:ascii="Times New Roman" w:hAnsi="Times New Roman" w:eastAsia="宋体" w:cs="Times New Roman"/>
          <w:bCs/>
          <w:snapToGrid w:val="0"/>
          <w:color w:val="auto"/>
          <w:kern w:val="0"/>
          <w:sz w:val="24"/>
          <w:szCs w:val="21"/>
          <w:highlight w:val="none"/>
          <w:lang w:val="en-US" w:eastAsia="zh-CN" w:bidi="ar-SA"/>
        </w:rPr>
        <w:t>m</w:t>
      </w:r>
      <w:r>
        <w:rPr>
          <w:rFonts w:hint="default" w:ascii="Times New Roman" w:hAnsi="Times New Roman" w:eastAsia="宋体" w:cs="Times New Roman"/>
          <w:bCs/>
          <w:snapToGrid w:val="0"/>
          <w:color w:val="auto"/>
          <w:kern w:val="0"/>
          <w:sz w:val="24"/>
          <w:szCs w:val="21"/>
          <w:highlight w:val="none"/>
          <w:vertAlign w:val="superscript"/>
          <w:lang w:val="en-US" w:eastAsia="zh-CN" w:bidi="ar-SA"/>
        </w:rPr>
        <w:t>3</w:t>
      </w:r>
      <w:r>
        <w:rPr>
          <w:rFonts w:hint="default" w:ascii="Times New Roman" w:hAnsi="Times New Roman" w:eastAsia="宋体" w:cs="Times New Roman"/>
          <w:bCs/>
          <w:snapToGrid w:val="0"/>
          <w:color w:val="auto"/>
          <w:kern w:val="0"/>
          <w:sz w:val="24"/>
          <w:szCs w:val="21"/>
          <w:highlight w:val="none"/>
          <w:lang w:val="en-US" w:eastAsia="zh-CN" w:bidi="ar-SA"/>
        </w:rPr>
        <w:t>/亩</w:t>
      </w:r>
      <w:r>
        <w:rPr>
          <w:rFonts w:hint="eastAsia" w:ascii="Times New Roman" w:hAnsi="Times New Roman" w:eastAsia="宋体" w:cs="宋体"/>
          <w:snapToGrid w:val="0"/>
          <w:color w:val="auto"/>
          <w:kern w:val="0"/>
          <w:sz w:val="24"/>
          <w:szCs w:val="24"/>
          <w:lang w:val="en-US" w:eastAsia="zh-CN" w:bidi="ar"/>
        </w:rPr>
        <w:t>，故本项目还田水量可行</w:t>
      </w:r>
      <w:r>
        <w:rPr>
          <w:rFonts w:hint="default" w:ascii="Times New Roman" w:hAnsi="Times New Roman" w:eastAsia="宋体" w:cs="宋体"/>
          <w:snapToGrid w:val="0"/>
          <w:color w:val="auto"/>
          <w:kern w:val="0"/>
          <w:sz w:val="24"/>
          <w:szCs w:val="24"/>
          <w:lang w:val="en-US" w:eastAsia="zh-CN" w:bidi="ar"/>
        </w:rPr>
        <w:t>。</w:t>
      </w:r>
    </w:p>
    <w:p w14:paraId="01AEE898">
      <w:pPr>
        <w:pStyle w:val="2"/>
        <w:ind w:firstLine="480" w:firstLineChars="200"/>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4、土地消纳的可行性</w:t>
      </w:r>
    </w:p>
    <w:p w14:paraId="134B8509">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本项目还田灌溉一次按4小时计算，滴头流量2L/h左右，滴头间距30cm，一亩地按铺设600米滴灌带算，则</w:t>
      </w:r>
      <w:r>
        <w:rPr>
          <w:rFonts w:hint="eastAsia" w:eastAsia="宋体" w:cs="宋体"/>
          <w:snapToGrid w:val="0"/>
          <w:color w:val="auto"/>
          <w:kern w:val="0"/>
          <w:sz w:val="24"/>
          <w:szCs w:val="24"/>
          <w:lang w:val="en-US" w:eastAsia="zh-CN" w:bidi="ar"/>
        </w:rPr>
        <w:t>每亩土地能够消纳的水</w:t>
      </w:r>
      <w:r>
        <w:rPr>
          <w:rFonts w:hint="eastAsia" w:ascii="Times New Roman" w:hAnsi="Times New Roman" w:eastAsia="宋体" w:cs="宋体"/>
          <w:snapToGrid w:val="0"/>
          <w:color w:val="auto"/>
          <w:kern w:val="0"/>
          <w:sz w:val="24"/>
          <w:szCs w:val="24"/>
          <w:lang w:val="en-US" w:eastAsia="zh-CN" w:bidi="ar"/>
        </w:rPr>
        <w:t>量为</w:t>
      </w:r>
      <w:r>
        <w:rPr>
          <w:rFonts w:hint="eastAsia" w:eastAsia="宋体" w:cs="宋体"/>
          <w:snapToGrid w:val="0"/>
          <w:color w:val="auto"/>
          <w:kern w:val="0"/>
          <w:sz w:val="24"/>
          <w:szCs w:val="24"/>
          <w:lang w:val="en-US" w:eastAsia="zh-CN" w:bidi="ar"/>
        </w:rPr>
        <w:t>16m</w:t>
      </w:r>
      <w:r>
        <w:rPr>
          <w:rFonts w:hint="eastAsia" w:eastAsia="宋体" w:cs="宋体"/>
          <w:snapToGrid w:val="0"/>
          <w:color w:val="auto"/>
          <w:kern w:val="0"/>
          <w:sz w:val="24"/>
          <w:szCs w:val="24"/>
          <w:vertAlign w:val="superscript"/>
          <w:lang w:val="en-US" w:eastAsia="zh-CN" w:bidi="ar"/>
        </w:rPr>
        <w:t>3</w:t>
      </w:r>
      <w:r>
        <w:rPr>
          <w:rFonts w:hint="eastAsia" w:eastAsia="宋体" w:cs="宋体"/>
          <w:snapToGrid w:val="0"/>
          <w:color w:val="auto"/>
          <w:kern w:val="0"/>
          <w:sz w:val="24"/>
          <w:szCs w:val="24"/>
          <w:vertAlign w:val="baseline"/>
          <w:lang w:val="en-US" w:eastAsia="zh-CN" w:bidi="ar"/>
        </w:rPr>
        <w:t>/亩；企业预计配套消纳沼液及沼渣的农田约为1500亩，一次可消纳水量为24000m</w:t>
      </w:r>
      <w:r>
        <w:rPr>
          <w:rFonts w:hint="eastAsia" w:eastAsia="宋体" w:cs="宋体"/>
          <w:snapToGrid w:val="0"/>
          <w:color w:val="auto"/>
          <w:kern w:val="0"/>
          <w:sz w:val="24"/>
          <w:szCs w:val="24"/>
          <w:vertAlign w:val="superscript"/>
          <w:lang w:val="en-US" w:eastAsia="zh-CN" w:bidi="ar"/>
        </w:rPr>
        <w:t>3</w:t>
      </w:r>
      <w:r>
        <w:rPr>
          <w:rFonts w:hint="eastAsia" w:eastAsia="宋体" w:cs="宋体"/>
          <w:snapToGrid w:val="0"/>
          <w:color w:val="auto"/>
          <w:kern w:val="0"/>
          <w:sz w:val="24"/>
          <w:szCs w:val="24"/>
          <w:vertAlign w:val="baseline"/>
          <w:lang w:val="en-US" w:eastAsia="zh-CN" w:bidi="ar"/>
        </w:rPr>
        <w:t>，本项目一次发酵还田水量约为3000m</w:t>
      </w:r>
      <w:r>
        <w:rPr>
          <w:rFonts w:hint="eastAsia" w:eastAsia="宋体" w:cs="宋体"/>
          <w:snapToGrid w:val="0"/>
          <w:color w:val="auto"/>
          <w:kern w:val="0"/>
          <w:sz w:val="24"/>
          <w:szCs w:val="24"/>
          <w:vertAlign w:val="superscript"/>
          <w:lang w:val="en-US" w:eastAsia="zh-CN" w:bidi="ar"/>
        </w:rPr>
        <w:t>3</w:t>
      </w:r>
      <w:r>
        <w:rPr>
          <w:rFonts w:hint="eastAsia" w:eastAsia="宋体" w:cs="宋体"/>
          <w:snapToGrid w:val="0"/>
          <w:color w:val="auto"/>
          <w:kern w:val="0"/>
          <w:sz w:val="24"/>
          <w:szCs w:val="24"/>
          <w:vertAlign w:val="baseline"/>
          <w:lang w:val="en-US" w:eastAsia="zh-CN" w:bidi="ar"/>
        </w:rPr>
        <w:t>/次小于可消纳水量24000m</w:t>
      </w:r>
      <w:r>
        <w:rPr>
          <w:rFonts w:hint="eastAsia" w:eastAsia="宋体" w:cs="宋体"/>
          <w:snapToGrid w:val="0"/>
          <w:color w:val="auto"/>
          <w:kern w:val="0"/>
          <w:sz w:val="24"/>
          <w:szCs w:val="24"/>
          <w:vertAlign w:val="superscript"/>
          <w:lang w:val="en-US" w:eastAsia="zh-CN" w:bidi="ar"/>
        </w:rPr>
        <w:t>3</w:t>
      </w:r>
      <w:r>
        <w:rPr>
          <w:rFonts w:hint="eastAsia" w:eastAsia="宋体" w:cs="宋体"/>
          <w:snapToGrid w:val="0"/>
          <w:color w:val="auto"/>
          <w:kern w:val="0"/>
          <w:sz w:val="24"/>
          <w:szCs w:val="24"/>
          <w:vertAlign w:val="baseline"/>
          <w:lang w:val="en-US" w:eastAsia="zh-CN" w:bidi="ar"/>
        </w:rPr>
        <w:t>，故项目配套的土地能够消纳黑膜厌氧池中的废水。</w:t>
      </w:r>
    </w:p>
    <w:p w14:paraId="2562E593">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5、</w:t>
      </w:r>
      <w:r>
        <w:rPr>
          <w:rFonts w:hint="default" w:ascii="Times New Roman" w:hAnsi="Times New Roman" w:eastAsia="宋体" w:cs="宋体"/>
          <w:snapToGrid w:val="0"/>
          <w:color w:val="auto"/>
          <w:kern w:val="0"/>
          <w:sz w:val="24"/>
          <w:szCs w:val="24"/>
          <w:lang w:val="en-US" w:eastAsia="zh-CN" w:bidi="ar"/>
        </w:rPr>
        <w:t>大气环境影响分析</w:t>
      </w:r>
    </w:p>
    <w:p w14:paraId="6BCB7EFD">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left"/>
        <w:textAlignment w:val="baseline"/>
        <w:rPr>
          <w:rFonts w:hint="default" w:ascii="Times New Roman" w:hAnsi="Times New Roman" w:eastAsia="宋体" w:cs="宋体"/>
          <w:color w:val="auto"/>
          <w:kern w:val="0"/>
          <w:sz w:val="24"/>
          <w:szCs w:val="24"/>
          <w:lang w:val="en-US" w:eastAsia="zh-CN" w:bidi="ar-SA"/>
        </w:rPr>
      </w:pPr>
      <w:r>
        <w:rPr>
          <w:rFonts w:hint="default" w:ascii="Times New Roman" w:hAnsi="Times New Roman" w:eastAsia="宋体" w:cs="宋体"/>
          <w:color w:val="auto"/>
          <w:kern w:val="0"/>
          <w:sz w:val="24"/>
          <w:szCs w:val="24"/>
          <w:lang w:val="en-US" w:eastAsia="zh-CN" w:bidi="ar-SA"/>
        </w:rPr>
        <w:t>沼液还田后沼液中恶臭气体散发，可能短时间对还田地块区域产生一定的废气影响。为了防止沼液</w:t>
      </w:r>
      <w:r>
        <w:rPr>
          <w:rFonts w:hint="eastAsia" w:ascii="Times New Roman" w:hAnsi="Times New Roman" w:eastAsia="宋体" w:cs="宋体"/>
          <w:color w:val="auto"/>
          <w:kern w:val="0"/>
          <w:sz w:val="24"/>
          <w:szCs w:val="24"/>
          <w:lang w:val="en-US" w:eastAsia="zh-CN" w:bidi="ar-SA"/>
        </w:rPr>
        <w:t>微</w:t>
      </w:r>
      <w:r>
        <w:rPr>
          <w:rFonts w:hint="default" w:ascii="Times New Roman" w:hAnsi="Times New Roman" w:eastAsia="宋体" w:cs="宋体"/>
          <w:color w:val="auto"/>
          <w:kern w:val="0"/>
          <w:sz w:val="24"/>
          <w:szCs w:val="24"/>
          <w:lang w:val="en-US" w:eastAsia="zh-CN" w:bidi="ar-SA"/>
        </w:rPr>
        <w:t>灌后恶臭散发，减轻恶臭对周围村庄和环境造成的影响，沼液</w:t>
      </w:r>
      <w:r>
        <w:rPr>
          <w:rFonts w:hint="eastAsia" w:ascii="Times New Roman" w:hAnsi="Times New Roman" w:eastAsia="宋体" w:cs="宋体"/>
          <w:color w:val="auto"/>
          <w:kern w:val="0"/>
          <w:sz w:val="24"/>
          <w:szCs w:val="24"/>
          <w:lang w:val="en-US" w:eastAsia="zh-CN" w:bidi="ar-SA"/>
        </w:rPr>
        <w:t>微</w:t>
      </w:r>
      <w:r>
        <w:rPr>
          <w:rFonts w:hint="default" w:ascii="Times New Roman" w:hAnsi="Times New Roman" w:eastAsia="宋体" w:cs="宋体"/>
          <w:color w:val="auto"/>
          <w:kern w:val="0"/>
          <w:sz w:val="24"/>
          <w:szCs w:val="24"/>
          <w:lang w:val="en-US" w:eastAsia="zh-CN" w:bidi="ar-SA"/>
        </w:rPr>
        <w:t>灌应与整地结合实施，</w:t>
      </w:r>
      <w:r>
        <w:rPr>
          <w:rFonts w:hint="eastAsia" w:ascii="Times New Roman" w:hAnsi="Times New Roman" w:eastAsia="宋体" w:cs="宋体"/>
          <w:color w:val="auto"/>
          <w:kern w:val="0"/>
          <w:sz w:val="24"/>
          <w:szCs w:val="24"/>
          <w:lang w:val="en-US" w:eastAsia="zh-CN" w:bidi="ar-SA"/>
        </w:rPr>
        <w:t>微</w:t>
      </w:r>
      <w:r>
        <w:rPr>
          <w:rFonts w:hint="default" w:ascii="Times New Roman" w:hAnsi="Times New Roman" w:eastAsia="宋体" w:cs="宋体"/>
          <w:color w:val="auto"/>
          <w:kern w:val="0"/>
          <w:sz w:val="24"/>
          <w:szCs w:val="24"/>
          <w:lang w:val="en-US" w:eastAsia="zh-CN" w:bidi="ar-SA"/>
        </w:rPr>
        <w:t>灌完的地块马上进行翻耕，把</w:t>
      </w:r>
      <w:r>
        <w:rPr>
          <w:rFonts w:hint="eastAsia" w:ascii="Times New Roman" w:hAnsi="Times New Roman" w:eastAsia="宋体" w:cs="宋体"/>
          <w:color w:val="auto"/>
          <w:kern w:val="0"/>
          <w:sz w:val="24"/>
          <w:szCs w:val="24"/>
          <w:lang w:val="en-US" w:eastAsia="zh-CN" w:bidi="ar-SA"/>
        </w:rPr>
        <w:t>微</w:t>
      </w:r>
      <w:r>
        <w:rPr>
          <w:rFonts w:hint="default" w:ascii="Times New Roman" w:hAnsi="Times New Roman" w:eastAsia="宋体" w:cs="宋体"/>
          <w:color w:val="auto"/>
          <w:kern w:val="0"/>
          <w:sz w:val="24"/>
          <w:szCs w:val="24"/>
          <w:lang w:val="en-US" w:eastAsia="zh-CN" w:bidi="ar-SA"/>
        </w:rPr>
        <w:t>灌肥水扣入土层内，防止臭味散发。及时整地后，恶臭对周围环境的影响时间将较短，能够被周围环境所接受。</w:t>
      </w:r>
    </w:p>
    <w:p w14:paraId="1D8E6C7E">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left"/>
        <w:textAlignment w:val="baseline"/>
        <w:rPr>
          <w:rFonts w:hint="default" w:ascii="Times New Roman" w:hAnsi="Times New Roman" w:eastAsia="宋体" w:cs="宋体"/>
          <w:color w:val="auto"/>
          <w:kern w:val="0"/>
          <w:sz w:val="24"/>
          <w:szCs w:val="24"/>
          <w:lang w:val="en-US" w:eastAsia="zh-CN" w:bidi="ar-SA"/>
        </w:rPr>
      </w:pPr>
      <w:r>
        <w:rPr>
          <w:rFonts w:hint="eastAsia" w:eastAsia="宋体" w:cs="宋体"/>
          <w:color w:val="auto"/>
          <w:kern w:val="0"/>
          <w:sz w:val="24"/>
          <w:szCs w:val="24"/>
          <w:lang w:val="en-US" w:eastAsia="zh-CN" w:bidi="ar-SA"/>
        </w:rPr>
        <w:t>6、</w:t>
      </w:r>
      <w:r>
        <w:rPr>
          <w:rFonts w:hint="default" w:ascii="Times New Roman" w:hAnsi="Times New Roman" w:eastAsia="宋体" w:cs="宋体"/>
          <w:color w:val="auto"/>
          <w:kern w:val="0"/>
          <w:sz w:val="24"/>
          <w:szCs w:val="24"/>
          <w:lang w:val="en-US" w:eastAsia="zh-CN" w:bidi="ar-SA"/>
        </w:rPr>
        <w:t>对土壤和地下水环境影响分析</w:t>
      </w:r>
    </w:p>
    <w:p w14:paraId="569B57D7">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left"/>
        <w:textAlignment w:val="baseline"/>
        <w:rPr>
          <w:rFonts w:hint="default" w:ascii="Times New Roman" w:hAnsi="Times New Roman" w:eastAsia="宋体" w:cs="宋体"/>
          <w:color w:val="auto"/>
          <w:kern w:val="0"/>
          <w:sz w:val="24"/>
          <w:szCs w:val="24"/>
          <w:lang w:val="en-US" w:eastAsia="zh-CN" w:bidi="ar-SA"/>
        </w:rPr>
      </w:pPr>
      <w:r>
        <w:rPr>
          <w:rFonts w:hint="default" w:ascii="Times New Roman" w:hAnsi="Times New Roman" w:eastAsia="宋体" w:cs="宋体"/>
          <w:color w:val="auto"/>
          <w:kern w:val="0"/>
          <w:sz w:val="24"/>
          <w:szCs w:val="24"/>
          <w:lang w:val="en-US" w:eastAsia="zh-CN" w:bidi="ar-SA"/>
        </w:rPr>
        <w:t>马铃薯淀粉加工产生的汁水富含氮、磷、钾及各种有机物，会增加土壤微生物数量，提高其活性，从而改善土壤结构，增加土壤孔隙度，降低土壤容重，增强土壤保水抗旱能力。马铃薯淀粉加工废水中汞、镉、砷、铅等重金属含量均远低于灌溉用水标准，正常情况下不会对地下水环境产生影响。</w:t>
      </w:r>
    </w:p>
    <w:p w14:paraId="7114C166">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综上所述，本项目采用黑膜氧化池资源化利用模式处理淀粉加工汁水，单次施用量有限，配合农田翻耕，造成大气、土壤、水体污染的风险较低，该模式符合农业农村和生态环境部门相关政策，具有技术要求及投入成本较低、实施方便等优势，是符合本项目实际的治理模式。</w:t>
      </w:r>
    </w:p>
    <w:p w14:paraId="0CC8EBC6">
      <w:pPr>
        <w:pStyle w:val="2"/>
        <w:rPr>
          <w:rFonts w:hint="default" w:ascii="Times New Roman" w:hAnsi="Times New Roman" w:eastAsia="宋体" w:cs="宋体"/>
          <w:color w:val="auto"/>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bookmarkEnd w:id="6"/>
    <w:p w14:paraId="3A8FE9E7">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right="0"/>
        <w:jc w:val="center"/>
        <w:textAlignment w:val="baseline"/>
        <w:rPr>
          <w:rFonts w:hint="default" w:ascii="Times New Roman" w:hAnsi="Times New Roman" w:eastAsia="宋体" w:cs="宋体"/>
          <w:b/>
          <w:color w:val="auto"/>
          <w:sz w:val="30"/>
          <w:szCs w:val="30"/>
          <w:lang w:val="en-US" w:eastAsia="zh-CN"/>
        </w:rPr>
      </w:pPr>
      <w:bookmarkStart w:id="52" w:name="_Toc30571"/>
      <w:bookmarkStart w:id="53" w:name="_Toc8857"/>
      <w:bookmarkStart w:id="54" w:name="_Toc8647"/>
      <w:r>
        <w:rPr>
          <w:rFonts w:hint="eastAsia" w:ascii="Times New Roman" w:hAnsi="Times New Roman" w:eastAsia="宋体" w:cs="宋体"/>
          <w:color w:val="auto"/>
          <w:sz w:val="30"/>
          <w:szCs w:val="30"/>
          <w:lang w:val="en-US" w:eastAsia="zh-CN"/>
        </w:rPr>
        <w:t xml:space="preserve">第五章 </w:t>
      </w:r>
      <w:r>
        <w:rPr>
          <w:rFonts w:hint="eastAsia" w:ascii="Times New Roman" w:hAnsi="Times New Roman" w:eastAsia="宋体" w:cs="宋体"/>
          <w:b/>
          <w:color w:val="auto"/>
          <w:sz w:val="30"/>
          <w:szCs w:val="30"/>
          <w:lang w:val="en-US" w:eastAsia="zh-CN"/>
        </w:rPr>
        <w:t>环保方案</w:t>
      </w:r>
      <w:bookmarkEnd w:id="52"/>
    </w:p>
    <w:p w14:paraId="5F90F962">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55" w:name="_Toc4318"/>
      <w:r>
        <w:rPr>
          <w:rFonts w:hint="eastAsia" w:ascii="Times New Roman" w:hAnsi="Times New Roman" w:cs="宋体"/>
          <w:b/>
          <w:bCs/>
          <w:color w:val="auto"/>
          <w:sz w:val="28"/>
          <w:szCs w:val="28"/>
          <w:lang w:val="en-US" w:eastAsia="zh-CN"/>
        </w:rPr>
        <w:t>5</w:t>
      </w:r>
      <w:r>
        <w:rPr>
          <w:rFonts w:hint="eastAsia" w:ascii="Times New Roman" w:hAnsi="Times New Roman" w:eastAsia="宋体" w:cs="宋体"/>
          <w:b/>
          <w:bCs/>
          <w:color w:val="auto"/>
          <w:sz w:val="28"/>
          <w:szCs w:val="28"/>
          <w:lang w:val="en-US" w:eastAsia="zh-CN"/>
        </w:rPr>
        <w:t>.1、环境质量标准</w:t>
      </w:r>
      <w:bookmarkEnd w:id="55"/>
    </w:p>
    <w:p w14:paraId="77E59DA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ascii="Times New Roman" w:hAnsi="Times New Roman" w:eastAsia="宋体" w:cs="宋体"/>
          <w:color w:val="auto"/>
          <w:sz w:val="24"/>
          <w:szCs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1</w:t>
      </w:r>
      <w:r>
        <w:rPr>
          <w:rFonts w:hint="eastAsia" w:ascii="Times New Roman" w:hAnsi="Times New Roman" w:eastAsia="宋体" w:cs="宋体"/>
          <w:color w:val="auto"/>
          <w:spacing w:val="-3"/>
          <w:sz w:val="24"/>
          <w:szCs w:val="24"/>
          <w:lang w:eastAsia="zh-CN"/>
        </w:rPr>
        <w:t>）</w:t>
      </w:r>
      <w:r>
        <w:rPr>
          <w:rFonts w:ascii="Times New Roman" w:hAnsi="Times New Roman" w:eastAsia="宋体" w:cs="宋体"/>
          <w:color w:val="auto"/>
          <w:spacing w:val="-3"/>
          <w:sz w:val="24"/>
          <w:szCs w:val="24"/>
        </w:rPr>
        <w:t>《环境空气质量标准》（GB3095-2012</w:t>
      </w:r>
      <w:r>
        <w:rPr>
          <w:rFonts w:ascii="Times New Roman" w:hAnsi="Times New Roman" w:eastAsia="宋体" w:cs="宋体"/>
          <w:color w:val="auto"/>
          <w:spacing w:val="3"/>
          <w:sz w:val="24"/>
          <w:szCs w:val="24"/>
        </w:rPr>
        <w:t>）；</w:t>
      </w:r>
    </w:p>
    <w:p w14:paraId="4234902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ascii="Times New Roman" w:hAnsi="Times New Roman" w:eastAsia="宋体" w:cs="宋体"/>
          <w:color w:val="auto"/>
          <w:sz w:val="24"/>
          <w:szCs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2</w:t>
      </w:r>
      <w:r>
        <w:rPr>
          <w:rFonts w:hint="eastAsia" w:ascii="Times New Roman" w:hAnsi="Times New Roman" w:eastAsia="宋体" w:cs="宋体"/>
          <w:color w:val="auto"/>
          <w:spacing w:val="-3"/>
          <w:sz w:val="24"/>
          <w:szCs w:val="24"/>
          <w:lang w:eastAsia="zh-CN"/>
        </w:rPr>
        <w:t>）</w:t>
      </w:r>
      <w:r>
        <w:rPr>
          <w:rFonts w:ascii="Times New Roman" w:hAnsi="Times New Roman" w:eastAsia="宋体" w:cs="宋体"/>
          <w:color w:val="auto"/>
          <w:spacing w:val="-2"/>
          <w:sz w:val="24"/>
          <w:szCs w:val="24"/>
        </w:rPr>
        <w:t>《地表水环境质量标准》（GB38382017</w:t>
      </w:r>
      <w:r>
        <w:rPr>
          <w:rFonts w:ascii="Times New Roman" w:hAnsi="Times New Roman" w:eastAsia="宋体" w:cs="宋体"/>
          <w:color w:val="auto"/>
          <w:spacing w:val="5"/>
          <w:sz w:val="24"/>
          <w:szCs w:val="24"/>
        </w:rPr>
        <w:t>）；</w:t>
      </w:r>
    </w:p>
    <w:p w14:paraId="533A9F9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ascii="Times New Roman" w:hAnsi="Times New Roman" w:eastAsia="宋体" w:cs="宋体"/>
          <w:color w:val="auto"/>
          <w:spacing w:val="2"/>
          <w:sz w:val="24"/>
          <w:szCs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3</w:t>
      </w:r>
      <w:r>
        <w:rPr>
          <w:rFonts w:hint="eastAsia" w:ascii="Times New Roman" w:hAnsi="Times New Roman" w:eastAsia="宋体" w:cs="宋体"/>
          <w:color w:val="auto"/>
          <w:spacing w:val="-3"/>
          <w:sz w:val="24"/>
          <w:szCs w:val="24"/>
          <w:lang w:eastAsia="zh-CN"/>
        </w:rPr>
        <w:t>）</w:t>
      </w:r>
      <w:r>
        <w:rPr>
          <w:rFonts w:ascii="Times New Roman" w:hAnsi="Times New Roman" w:eastAsia="宋体" w:cs="宋体"/>
          <w:color w:val="auto"/>
          <w:spacing w:val="-2"/>
          <w:sz w:val="24"/>
          <w:szCs w:val="24"/>
        </w:rPr>
        <w:t>《声环境质量标准》（GB3096-2008</w:t>
      </w:r>
      <w:r>
        <w:rPr>
          <w:rFonts w:ascii="Times New Roman" w:hAnsi="Times New Roman" w:eastAsia="宋体" w:cs="宋体"/>
          <w:color w:val="auto"/>
          <w:spacing w:val="2"/>
          <w:sz w:val="24"/>
          <w:szCs w:val="24"/>
        </w:rPr>
        <w:t>）；</w:t>
      </w:r>
    </w:p>
    <w:p w14:paraId="645CCFE0">
      <w:pPr>
        <w:pStyle w:val="13"/>
        <w:ind w:left="0" w:leftChars="0" w:firstLine="488" w:firstLineChars="200"/>
        <w:rPr>
          <w:rFonts w:hint="eastAsia" w:eastAsia="宋体"/>
          <w:color w:val="auto"/>
          <w:lang w:eastAsia="zh-CN"/>
        </w:rPr>
      </w:pPr>
      <w:r>
        <w:rPr>
          <w:rFonts w:hint="eastAsia" w:ascii="Times New Roman" w:hAnsi="Times New Roman" w:eastAsia="宋体" w:cs="宋体"/>
          <w:color w:val="auto"/>
          <w:spacing w:val="2"/>
          <w:sz w:val="24"/>
          <w:szCs w:val="24"/>
          <w:lang w:eastAsia="zh-CN"/>
        </w:rPr>
        <w:t>（</w:t>
      </w:r>
      <w:r>
        <w:rPr>
          <w:rFonts w:hint="eastAsia" w:ascii="Times New Roman" w:hAnsi="Times New Roman" w:eastAsia="宋体" w:cs="宋体"/>
          <w:color w:val="auto"/>
          <w:spacing w:val="2"/>
          <w:sz w:val="24"/>
          <w:szCs w:val="24"/>
          <w:lang w:val="en-US" w:eastAsia="zh-CN"/>
        </w:rPr>
        <w:t>4</w:t>
      </w:r>
      <w:r>
        <w:rPr>
          <w:rFonts w:hint="eastAsia" w:ascii="Times New Roman" w:hAnsi="Times New Roman" w:eastAsia="宋体" w:cs="宋体"/>
          <w:color w:val="auto"/>
          <w:spacing w:val="2"/>
          <w:sz w:val="24"/>
          <w:szCs w:val="24"/>
          <w:lang w:eastAsia="zh-CN"/>
        </w:rPr>
        <w:t>）《</w:t>
      </w:r>
      <w:r>
        <w:rPr>
          <w:rFonts w:hint="eastAsia" w:ascii="Times New Roman" w:hAnsi="Times New Roman" w:eastAsia="宋体" w:cs="宋体"/>
          <w:color w:val="auto"/>
          <w:spacing w:val="2"/>
          <w:sz w:val="24"/>
          <w:szCs w:val="24"/>
          <w:lang w:val="en-US" w:eastAsia="zh-CN"/>
        </w:rPr>
        <w:t>地下水质量标准</w:t>
      </w:r>
      <w:r>
        <w:rPr>
          <w:rFonts w:hint="eastAsia" w:ascii="Times New Roman" w:hAnsi="Times New Roman" w:eastAsia="宋体" w:cs="宋体"/>
          <w:color w:val="auto"/>
          <w:spacing w:val="2"/>
          <w:sz w:val="24"/>
          <w:szCs w:val="24"/>
          <w:lang w:eastAsia="zh-CN"/>
        </w:rPr>
        <w:t>》（</w:t>
      </w:r>
      <w:r>
        <w:rPr>
          <w:rFonts w:hint="eastAsia" w:ascii="Times New Roman" w:hAnsi="Times New Roman" w:eastAsia="宋体" w:cs="宋体"/>
          <w:color w:val="auto"/>
          <w:spacing w:val="2"/>
          <w:sz w:val="24"/>
          <w:szCs w:val="24"/>
          <w:lang w:val="en-US" w:eastAsia="zh-CN"/>
        </w:rPr>
        <w:t>GB/T14848-2017</w:t>
      </w:r>
      <w:r>
        <w:rPr>
          <w:rFonts w:hint="eastAsia" w:ascii="Times New Roman" w:hAnsi="Times New Roman" w:eastAsia="宋体" w:cs="宋体"/>
          <w:color w:val="auto"/>
          <w:spacing w:val="2"/>
          <w:sz w:val="24"/>
          <w:szCs w:val="24"/>
          <w:lang w:eastAsia="zh-CN"/>
        </w:rPr>
        <w:t>）</w:t>
      </w:r>
    </w:p>
    <w:p w14:paraId="58507A8D">
      <w:pPr>
        <w:keepNext w:val="0"/>
        <w:keepLines w:val="0"/>
        <w:pageBreakBefore w:val="0"/>
        <w:widowControl/>
        <w:kinsoku w:val="0"/>
        <w:wordWrap/>
        <w:overflowPunct/>
        <w:topLinePunct w:val="0"/>
        <w:autoSpaceDE w:val="0"/>
        <w:autoSpaceDN w:val="0"/>
        <w:bidi w:val="0"/>
        <w:adjustRightInd w:val="0"/>
        <w:snapToGrid w:val="0"/>
        <w:spacing w:line="360" w:lineRule="auto"/>
        <w:ind w:left="0" w:rightChars="0" w:firstLine="468" w:firstLineChars="200"/>
        <w:textAlignment w:val="baseline"/>
        <w:rPr>
          <w:rFonts w:ascii="Times New Roman" w:hAnsi="Times New Roman" w:eastAsia="宋体" w:cs="宋体"/>
          <w:color w:val="auto"/>
          <w:spacing w:val="-2"/>
          <w:sz w:val="24"/>
          <w:szCs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5</w:t>
      </w:r>
      <w:r>
        <w:rPr>
          <w:rFonts w:hint="eastAsia" w:ascii="Times New Roman" w:hAnsi="Times New Roman" w:eastAsia="宋体" w:cs="宋体"/>
          <w:color w:val="auto"/>
          <w:spacing w:val="-3"/>
          <w:sz w:val="24"/>
          <w:szCs w:val="24"/>
          <w:lang w:eastAsia="zh-CN"/>
        </w:rPr>
        <w:t>）《</w:t>
      </w:r>
      <w:r>
        <w:rPr>
          <w:rFonts w:ascii="Times New Roman" w:hAnsi="Times New Roman" w:eastAsia="宋体" w:cs="宋体"/>
          <w:color w:val="auto"/>
          <w:spacing w:val="-1"/>
          <w:sz w:val="24"/>
          <w:szCs w:val="24"/>
        </w:rPr>
        <w:t>建筑施工场界环境噪声排放标准》（</w:t>
      </w:r>
      <w:r>
        <w:rPr>
          <w:rFonts w:ascii="Times New Roman" w:hAnsi="Times New Roman" w:eastAsia="宋体" w:cs="宋体"/>
          <w:color w:val="auto"/>
          <w:spacing w:val="-2"/>
          <w:sz w:val="24"/>
          <w:szCs w:val="24"/>
        </w:rPr>
        <w:t>GB12523-2011）。</w:t>
      </w:r>
    </w:p>
    <w:p w14:paraId="0962E660">
      <w:pPr>
        <w:pStyle w:val="13"/>
        <w:keepNext w:val="0"/>
        <w:keepLines w:val="0"/>
        <w:pageBreakBefore w:val="0"/>
        <w:widowControl/>
        <w:kinsoku w:val="0"/>
        <w:wordWrap/>
        <w:overflowPunct/>
        <w:topLinePunct w:val="0"/>
        <w:autoSpaceDE w:val="0"/>
        <w:autoSpaceDN w:val="0"/>
        <w:bidi w:val="0"/>
        <w:adjustRightInd w:val="0"/>
        <w:snapToGrid w:val="0"/>
        <w:spacing w:after="0" w:afterLines="0" w:line="360" w:lineRule="auto"/>
        <w:ind w:left="0" w:leftChars="0" w:rightChars="0" w:firstLine="472" w:firstLineChars="200"/>
        <w:textAlignment w:val="baseline"/>
        <w:rPr>
          <w:rFonts w:hint="eastAsia" w:eastAsia="宋体"/>
          <w:color w:val="auto"/>
          <w:lang w:eastAsia="zh-CN"/>
        </w:rPr>
      </w:pPr>
      <w:r>
        <w:rPr>
          <w:rFonts w:hint="eastAsia" w:ascii="Times New Roman" w:hAnsi="Times New Roman" w:eastAsia="宋体" w:cs="宋体"/>
          <w:color w:val="auto"/>
          <w:spacing w:val="-2"/>
          <w:sz w:val="24"/>
          <w:szCs w:val="24"/>
          <w:lang w:eastAsia="zh-CN"/>
        </w:rPr>
        <w:t>（</w:t>
      </w:r>
      <w:r>
        <w:rPr>
          <w:rFonts w:hint="eastAsia" w:ascii="Times New Roman" w:hAnsi="Times New Roman" w:eastAsia="宋体" w:cs="宋体"/>
          <w:color w:val="auto"/>
          <w:spacing w:val="-2"/>
          <w:sz w:val="24"/>
          <w:szCs w:val="24"/>
          <w:lang w:val="en-US" w:eastAsia="zh-CN"/>
        </w:rPr>
        <w:t>6</w:t>
      </w:r>
      <w:r>
        <w:rPr>
          <w:rFonts w:hint="eastAsia" w:ascii="Times New Roman" w:hAnsi="Times New Roman" w:eastAsia="宋体" w:cs="宋体"/>
          <w:color w:val="auto"/>
          <w:spacing w:val="-2"/>
          <w:sz w:val="24"/>
          <w:szCs w:val="24"/>
          <w:lang w:eastAsia="zh-CN"/>
        </w:rPr>
        <w:t>）</w:t>
      </w:r>
      <w:r>
        <w:rPr>
          <w:rFonts w:hint="eastAsia" w:ascii="Times New Roman" w:hAnsi="Times New Roman" w:eastAsia="宋体" w:cs="宋体"/>
          <w:snapToGrid w:val="0"/>
          <w:color w:val="auto"/>
          <w:kern w:val="0"/>
          <w:sz w:val="24"/>
          <w:szCs w:val="24"/>
          <w:lang w:val="en-US" w:eastAsia="zh-CN" w:bidi="ar"/>
        </w:rPr>
        <w:t>《土壤环境质量 农用地土壤污染风险管控标准（试行）》（</w:t>
      </w:r>
      <w:r>
        <w:rPr>
          <w:rFonts w:hint="default" w:ascii="Times New Roman" w:hAnsi="Times New Roman" w:eastAsia="宋体" w:cs="宋体"/>
          <w:snapToGrid w:val="0"/>
          <w:color w:val="auto"/>
          <w:kern w:val="0"/>
          <w:sz w:val="24"/>
          <w:szCs w:val="24"/>
          <w:lang w:val="en-US" w:eastAsia="zh-CN" w:bidi="ar"/>
        </w:rPr>
        <w:t>GB15618-2018</w:t>
      </w:r>
      <w:r>
        <w:rPr>
          <w:rFonts w:hint="eastAsia" w:ascii="Times New Roman" w:hAnsi="Times New Roman" w:eastAsia="宋体" w:cs="宋体"/>
          <w:snapToGrid w:val="0"/>
          <w:color w:val="auto"/>
          <w:kern w:val="0"/>
          <w:sz w:val="24"/>
          <w:szCs w:val="24"/>
          <w:lang w:val="en-US" w:eastAsia="zh-CN" w:bidi="ar"/>
        </w:rPr>
        <w:t>）</w:t>
      </w:r>
    </w:p>
    <w:p w14:paraId="07604498">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56" w:name="_Toc27789"/>
      <w:r>
        <w:rPr>
          <w:rFonts w:hint="eastAsia" w:ascii="Times New Roman" w:hAnsi="Times New Roman" w:cs="宋体"/>
          <w:b/>
          <w:bCs/>
          <w:color w:val="auto"/>
          <w:sz w:val="28"/>
          <w:szCs w:val="28"/>
          <w:lang w:val="en-US" w:eastAsia="zh-CN"/>
        </w:rPr>
        <w:t>5</w:t>
      </w:r>
      <w:r>
        <w:rPr>
          <w:rFonts w:hint="eastAsia" w:ascii="Times New Roman" w:hAnsi="Times New Roman" w:eastAsia="宋体" w:cs="宋体"/>
          <w:b/>
          <w:bCs/>
          <w:color w:val="auto"/>
          <w:sz w:val="28"/>
          <w:szCs w:val="28"/>
          <w:lang w:val="en-US" w:eastAsia="zh-CN"/>
        </w:rPr>
        <w:t>.2、污染物排放标准</w:t>
      </w:r>
      <w:bookmarkEnd w:id="56"/>
    </w:p>
    <w:p w14:paraId="16088DA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Times New Roman" w:hAnsi="Times New Roman" w:eastAsia="宋体" w:cs="宋体"/>
          <w:color w:val="auto"/>
          <w:spacing w:val="-3"/>
          <w:sz w:val="24"/>
          <w:szCs w:val="24"/>
          <w:lang w:eastAsia="zh-CN"/>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1</w:t>
      </w:r>
      <w:r>
        <w:rPr>
          <w:rFonts w:hint="eastAsia" w:ascii="Times New Roman" w:hAnsi="Times New Roman" w:eastAsia="宋体" w:cs="宋体"/>
          <w:color w:val="auto"/>
          <w:spacing w:val="-3"/>
          <w:sz w:val="24"/>
          <w:szCs w:val="24"/>
          <w:lang w:eastAsia="zh-CN"/>
        </w:rPr>
        <w:t>）《污水综合排放标准》（GB8978-1996）；</w:t>
      </w:r>
    </w:p>
    <w:p w14:paraId="1C9EE77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Times New Roman" w:hAnsi="Times New Roman" w:eastAsia="宋体" w:cs="宋体"/>
          <w:color w:val="auto"/>
          <w:spacing w:val="-3"/>
          <w:sz w:val="24"/>
          <w:szCs w:val="24"/>
          <w:lang w:eastAsia="zh-CN"/>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2</w:t>
      </w:r>
      <w:r>
        <w:rPr>
          <w:rFonts w:hint="eastAsia" w:ascii="Times New Roman" w:hAnsi="Times New Roman" w:eastAsia="宋体" w:cs="宋体"/>
          <w:color w:val="auto"/>
          <w:spacing w:val="-3"/>
          <w:sz w:val="24"/>
          <w:szCs w:val="24"/>
          <w:lang w:eastAsia="zh-CN"/>
        </w:rPr>
        <w:t>）《建筑施工场界环境噪声排放标准》（GB12523-2011）；</w:t>
      </w:r>
    </w:p>
    <w:p w14:paraId="1A9E690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Times New Roman" w:hAnsi="Times New Roman" w:eastAsia="宋体" w:cs="宋体"/>
          <w:color w:val="auto"/>
          <w:spacing w:val="-3"/>
          <w:sz w:val="24"/>
          <w:szCs w:val="24"/>
          <w:lang w:eastAsia="zh-CN"/>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3</w:t>
      </w:r>
      <w:r>
        <w:rPr>
          <w:rFonts w:hint="eastAsia" w:ascii="Times New Roman" w:hAnsi="Times New Roman" w:eastAsia="宋体" w:cs="宋体"/>
          <w:color w:val="auto"/>
          <w:spacing w:val="-3"/>
          <w:sz w:val="24"/>
          <w:szCs w:val="24"/>
          <w:lang w:eastAsia="zh-CN"/>
        </w:rPr>
        <w:t>）《大气污染物综合排放标准》（GB16296-2004）；</w:t>
      </w:r>
    </w:p>
    <w:p w14:paraId="63F59BB9">
      <w:pPr>
        <w:pStyle w:val="13"/>
        <w:ind w:left="0" w:leftChars="0" w:firstLine="468" w:firstLineChars="200"/>
        <w:rPr>
          <w:rFonts w:hint="eastAsia"/>
          <w:color w:val="auto"/>
          <w:lang w:eastAsia="zh-CN"/>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4</w:t>
      </w: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恶臭污染物排放标准</w:t>
      </w: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GB14554-93</w:t>
      </w:r>
      <w:r>
        <w:rPr>
          <w:rFonts w:hint="eastAsia" w:ascii="Times New Roman" w:hAnsi="Times New Roman" w:eastAsia="宋体" w:cs="宋体"/>
          <w:color w:val="auto"/>
          <w:spacing w:val="-3"/>
          <w:sz w:val="24"/>
          <w:szCs w:val="24"/>
          <w:lang w:eastAsia="zh-CN"/>
        </w:rPr>
        <w:t>）。</w:t>
      </w:r>
    </w:p>
    <w:p w14:paraId="55FCFF46">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57" w:name="_Toc13723"/>
      <w:r>
        <w:rPr>
          <w:rFonts w:hint="eastAsia" w:ascii="Times New Roman" w:hAnsi="Times New Roman" w:cs="宋体"/>
          <w:b/>
          <w:bCs/>
          <w:color w:val="auto"/>
          <w:sz w:val="28"/>
          <w:szCs w:val="28"/>
          <w:lang w:val="en-US" w:eastAsia="zh-CN"/>
        </w:rPr>
        <w:t>5</w:t>
      </w:r>
      <w:r>
        <w:rPr>
          <w:rFonts w:hint="eastAsia" w:ascii="Times New Roman" w:hAnsi="Times New Roman" w:eastAsia="宋体" w:cs="宋体"/>
          <w:b/>
          <w:bCs/>
          <w:color w:val="auto"/>
          <w:sz w:val="28"/>
          <w:szCs w:val="28"/>
          <w:lang w:val="en-US" w:eastAsia="zh-CN"/>
        </w:rPr>
        <w:t>.3、项目施工期污染防治措施</w:t>
      </w:r>
      <w:bookmarkEnd w:id="57"/>
    </w:p>
    <w:p w14:paraId="66FAD256">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5.3.1、大气污染防治措施</w:t>
      </w:r>
    </w:p>
    <w:p w14:paraId="7EDDE34C">
      <w:pPr>
        <w:autoSpaceDE w:val="0"/>
        <w:autoSpaceDN w:val="0"/>
        <w:adjustRightInd w:val="0"/>
        <w:snapToGrid w:val="0"/>
        <w:spacing w:line="360" w:lineRule="auto"/>
        <w:ind w:firstLine="480" w:firstLineChars="200"/>
        <w:rPr>
          <w:rFonts w:ascii="Times New Roman" w:hAnsi="Times New Roman" w:eastAsia="宋体" w:cs="宋体"/>
          <w:color w:val="auto"/>
          <w:sz w:val="24"/>
        </w:rPr>
      </w:pPr>
      <w:r>
        <w:rPr>
          <w:rFonts w:ascii="Times New Roman" w:hAnsi="Times New Roman" w:eastAsia="宋体" w:cs="宋体"/>
          <w:color w:val="auto"/>
          <w:sz w:val="24"/>
        </w:rPr>
        <w:t>项目施工期产生的废气污染包括施工扬尘</w:t>
      </w:r>
      <w:r>
        <w:rPr>
          <w:rFonts w:hint="eastAsia" w:ascii="Times New Roman" w:hAnsi="Times New Roman" w:eastAsia="宋体" w:cs="宋体"/>
          <w:color w:val="auto"/>
          <w:sz w:val="24"/>
        </w:rPr>
        <w:t>和</w:t>
      </w:r>
      <w:r>
        <w:rPr>
          <w:rFonts w:ascii="Times New Roman" w:hAnsi="Times New Roman" w:eastAsia="宋体" w:cs="宋体"/>
          <w:color w:val="auto"/>
          <w:sz w:val="24"/>
        </w:rPr>
        <w:t>施工机械尾气均为无组织排放，分散于施工场地。施工期扬尘主要为场内扬尘和场外材料运输扬尘，场内扬尘量的大小与天气干燥程度、风速大小等</w:t>
      </w:r>
      <w:r>
        <w:rPr>
          <w:rFonts w:hint="eastAsia" w:ascii="Times New Roman" w:hAnsi="Times New Roman" w:eastAsia="宋体" w:cs="宋体"/>
          <w:color w:val="auto"/>
          <w:sz w:val="24"/>
          <w:lang w:eastAsia="zh-CN"/>
        </w:rPr>
        <w:t>诸多</w:t>
      </w:r>
      <w:r>
        <w:rPr>
          <w:rFonts w:ascii="Times New Roman" w:hAnsi="Times New Roman" w:eastAsia="宋体" w:cs="宋体"/>
          <w:color w:val="auto"/>
          <w:sz w:val="24"/>
        </w:rPr>
        <w:t>因素有关。场外扬尘量与道路路况、车辆行驶速度等诸因素有关。小型挖掘机、路面破碎机、装载机等施工机械以柴油为燃料，会产生一定量的机械尾气。根据《</w:t>
      </w:r>
      <w:r>
        <w:rPr>
          <w:rFonts w:hint="eastAsia" w:ascii="Times New Roman" w:hAnsi="Times New Roman" w:eastAsia="宋体" w:cs="宋体"/>
          <w:color w:val="auto"/>
          <w:sz w:val="24"/>
        </w:rPr>
        <w:t>甘肃省大气污染防治条例</w:t>
      </w:r>
      <w:r>
        <w:rPr>
          <w:rFonts w:ascii="Times New Roman" w:hAnsi="Times New Roman" w:eastAsia="宋体" w:cs="宋体"/>
          <w:color w:val="auto"/>
          <w:sz w:val="24"/>
        </w:rPr>
        <w:t>》等文件</w:t>
      </w:r>
      <w:r>
        <w:rPr>
          <w:rFonts w:hint="eastAsia" w:ascii="Times New Roman" w:hAnsi="Times New Roman" w:eastAsia="宋体" w:cs="宋体"/>
          <w:color w:val="auto"/>
          <w:sz w:val="24"/>
        </w:rPr>
        <w:t>要求，</w:t>
      </w:r>
      <w:r>
        <w:rPr>
          <w:rFonts w:ascii="Times New Roman" w:hAnsi="Times New Roman" w:eastAsia="宋体" w:cs="宋体"/>
          <w:color w:val="auto"/>
          <w:sz w:val="24"/>
        </w:rPr>
        <w:t>项目施工期拟采取的扬尘防治措施如下：</w:t>
      </w:r>
    </w:p>
    <w:p w14:paraId="3B04CD43">
      <w:pPr>
        <w:autoSpaceDE w:val="0"/>
        <w:autoSpaceDN w:val="0"/>
        <w:adjustRightInd w:val="0"/>
        <w:snapToGrid w:val="0"/>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rPr>
        <w:t>①</w:t>
      </w:r>
      <w:r>
        <w:rPr>
          <w:rFonts w:ascii="Times New Roman" w:hAnsi="Times New Roman" w:eastAsia="宋体" w:cs="宋体"/>
          <w:color w:val="auto"/>
          <w:sz w:val="24"/>
        </w:rPr>
        <w:t>施工现场设全封闭围挡</w:t>
      </w:r>
      <w:r>
        <w:rPr>
          <w:rFonts w:hint="eastAsia" w:ascii="Times New Roman" w:hAnsi="Times New Roman" w:eastAsia="宋体" w:cs="宋体"/>
          <w:color w:val="auto"/>
          <w:sz w:val="24"/>
        </w:rPr>
        <w:t>，</w:t>
      </w:r>
      <w:r>
        <w:rPr>
          <w:rFonts w:ascii="Times New Roman" w:hAnsi="Times New Roman" w:eastAsia="宋体" w:cs="宋体"/>
          <w:color w:val="auto"/>
          <w:sz w:val="24"/>
        </w:rPr>
        <w:t>所有围挡必须封堵严密，搭设牢固，无缝对接。</w:t>
      </w:r>
    </w:p>
    <w:p w14:paraId="285F90CE">
      <w:pPr>
        <w:autoSpaceDE w:val="0"/>
        <w:autoSpaceDN w:val="0"/>
        <w:adjustRightInd w:val="0"/>
        <w:snapToGrid w:val="0"/>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rPr>
        <w:t>②</w:t>
      </w:r>
      <w:r>
        <w:rPr>
          <w:rFonts w:ascii="Times New Roman" w:hAnsi="Times New Roman" w:eastAsia="宋体" w:cs="宋体"/>
          <w:color w:val="auto"/>
          <w:sz w:val="24"/>
        </w:rPr>
        <w:t>施工中采取边开挖边遮盖，对开挖面、土方、砂石料等裸露部分进行覆盖，并采用进行洒水抑尘，减少施工场地扬尘。</w:t>
      </w:r>
    </w:p>
    <w:p w14:paraId="38905CD7">
      <w:pPr>
        <w:autoSpaceDE w:val="0"/>
        <w:autoSpaceDN w:val="0"/>
        <w:adjustRightInd w:val="0"/>
        <w:snapToGrid w:val="0"/>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rPr>
        <w:t>③</w:t>
      </w:r>
      <w:r>
        <w:rPr>
          <w:rFonts w:ascii="Times New Roman" w:hAnsi="Times New Roman" w:eastAsia="宋体" w:cs="宋体"/>
          <w:color w:val="auto"/>
          <w:sz w:val="24"/>
        </w:rPr>
        <w:t>施工过程中施工场地及时硬化，避免出现裸露路面增加扬尘产生。对施工场地清扫保洁，随时洒水保湿，防止产生扬尘。</w:t>
      </w:r>
    </w:p>
    <w:p w14:paraId="420EFEA0">
      <w:pPr>
        <w:autoSpaceDE w:val="0"/>
        <w:autoSpaceDN w:val="0"/>
        <w:adjustRightInd w:val="0"/>
        <w:snapToGrid w:val="0"/>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rPr>
        <w:t>④</w:t>
      </w:r>
      <w:r>
        <w:rPr>
          <w:rFonts w:ascii="Times New Roman" w:hAnsi="Times New Roman" w:eastAsia="宋体" w:cs="宋体"/>
          <w:color w:val="auto"/>
          <w:sz w:val="24"/>
        </w:rPr>
        <w:t>施工现场土方挖运、回填全过程洒水抑尘，进行湿法作业。</w:t>
      </w:r>
    </w:p>
    <w:p w14:paraId="74C7670A">
      <w:pPr>
        <w:autoSpaceDE w:val="0"/>
        <w:autoSpaceDN w:val="0"/>
        <w:adjustRightInd w:val="0"/>
        <w:snapToGrid w:val="0"/>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rPr>
        <w:t>⑤</w:t>
      </w:r>
      <w:r>
        <w:rPr>
          <w:rFonts w:ascii="Times New Roman" w:hAnsi="Times New Roman" w:eastAsia="宋体" w:cs="宋体"/>
          <w:color w:val="auto"/>
          <w:sz w:val="24"/>
        </w:rPr>
        <w:t>工地驶出车辆必须用苫布对厢体所运渣土遮盖严实，并在洗车台对轮胎冲洗干净后，方能驶入市政道路。车辆冲洗后的污水经沉淀处理后回收利用于现场洒水抑尘。</w:t>
      </w:r>
    </w:p>
    <w:p w14:paraId="51A0C7C2">
      <w:pPr>
        <w:autoSpaceDE w:val="0"/>
        <w:autoSpaceDN w:val="0"/>
        <w:adjustRightInd w:val="0"/>
        <w:snapToGrid w:val="0"/>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rPr>
        <w:t>⑥</w:t>
      </w:r>
      <w:r>
        <w:rPr>
          <w:rFonts w:ascii="Times New Roman" w:hAnsi="Times New Roman" w:eastAsia="宋体" w:cs="宋体"/>
          <w:color w:val="auto"/>
          <w:sz w:val="24"/>
        </w:rPr>
        <w:t>施工现场裸露场地采用遮阳网进行覆盖，并随时洒水抑尘。项目建设过程中产生的建筑垃圾和生活垃圾，堆放时间不得超过三天，堆放期间应全遮盖，无污染清运时按批准路线和时限，并采取相应抑尘和密闭措施。</w:t>
      </w:r>
    </w:p>
    <w:p w14:paraId="70EE68D7">
      <w:pPr>
        <w:autoSpaceDE w:val="0"/>
        <w:autoSpaceDN w:val="0"/>
        <w:adjustRightInd w:val="0"/>
        <w:snapToGrid w:val="0"/>
        <w:spacing w:line="360" w:lineRule="auto"/>
        <w:ind w:firstLine="480" w:firstLineChars="200"/>
        <w:rPr>
          <w:rFonts w:ascii="Times New Roman" w:hAnsi="Times New Roman" w:eastAsia="宋体" w:cs="宋体"/>
          <w:color w:val="auto"/>
          <w:sz w:val="24"/>
        </w:rPr>
      </w:pP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w:instrText>
      </w:r>
      <w:r>
        <w:rPr>
          <w:rFonts w:hint="eastAsia" w:ascii="Times New Roman" w:hAnsi="Times New Roman" w:eastAsia="宋体" w:cs="宋体"/>
          <w:color w:val="auto"/>
          <w:sz w:val="24"/>
        </w:rPr>
        <w:instrText xml:space="preserve">= 7 \* GB3</w:instrText>
      </w:r>
      <w:r>
        <w:rPr>
          <w:rFonts w:ascii="Times New Roman" w:hAnsi="Times New Roman" w:eastAsia="宋体" w:cs="宋体"/>
          <w:color w:val="auto"/>
          <w:sz w:val="24"/>
        </w:rPr>
        <w:instrText xml:space="preserve"> </w:instrText>
      </w:r>
      <w:r>
        <w:rPr>
          <w:rFonts w:ascii="Times New Roman" w:hAnsi="Times New Roman" w:eastAsia="宋体" w:cs="宋体"/>
          <w:color w:val="auto"/>
          <w:sz w:val="24"/>
        </w:rPr>
        <w:fldChar w:fldCharType="separate"/>
      </w:r>
      <w:r>
        <w:rPr>
          <w:rFonts w:hint="eastAsia" w:ascii="Times New Roman" w:hAnsi="Times New Roman" w:eastAsia="宋体" w:cs="宋体"/>
          <w:color w:val="auto"/>
          <w:sz w:val="24"/>
        </w:rPr>
        <w:t>⑦</w:t>
      </w:r>
      <w:r>
        <w:rPr>
          <w:rFonts w:ascii="Times New Roman" w:hAnsi="Times New Roman" w:eastAsia="宋体" w:cs="宋体"/>
          <w:color w:val="auto"/>
          <w:sz w:val="24"/>
        </w:rPr>
        <w:fldChar w:fldCharType="end"/>
      </w:r>
      <w:r>
        <w:rPr>
          <w:rFonts w:ascii="Times New Roman" w:hAnsi="Times New Roman" w:eastAsia="宋体" w:cs="宋体"/>
          <w:color w:val="auto"/>
          <w:sz w:val="24"/>
        </w:rPr>
        <w:t>扬尘污染时间较短，一般随着施工结束而消失。为了减少扬尘量，施工期要在邻近敏感点施工道路增加洒水频次及限速行驶等措施，</w:t>
      </w:r>
      <w:r>
        <w:rPr>
          <w:rFonts w:hint="eastAsia" w:ascii="Times New Roman" w:hAnsi="Times New Roman" w:eastAsia="宋体" w:cs="宋体"/>
          <w:color w:val="auto"/>
          <w:sz w:val="24"/>
          <w:lang w:eastAsia="zh-CN"/>
        </w:rPr>
        <w:t>减少</w:t>
      </w:r>
      <w:r>
        <w:rPr>
          <w:rFonts w:ascii="Times New Roman" w:hAnsi="Times New Roman" w:eastAsia="宋体" w:cs="宋体"/>
          <w:color w:val="auto"/>
          <w:sz w:val="24"/>
        </w:rPr>
        <w:t>扬尘污染</w:t>
      </w:r>
      <w:r>
        <w:rPr>
          <w:rFonts w:hint="eastAsia" w:ascii="Times New Roman" w:hAnsi="Times New Roman" w:eastAsia="宋体" w:cs="宋体"/>
          <w:color w:val="auto"/>
          <w:sz w:val="24"/>
        </w:rPr>
        <w:t>。</w:t>
      </w:r>
    </w:p>
    <w:p w14:paraId="78542E56">
      <w:pPr>
        <w:autoSpaceDE w:val="0"/>
        <w:autoSpaceDN w:val="0"/>
        <w:adjustRightInd w:val="0"/>
        <w:snapToGrid w:val="0"/>
        <w:spacing w:line="360" w:lineRule="auto"/>
        <w:ind w:firstLine="480" w:firstLineChars="200"/>
        <w:rPr>
          <w:rFonts w:ascii="Times New Roman" w:hAnsi="Times New Roman" w:eastAsia="宋体" w:cs="宋体"/>
          <w:color w:val="auto"/>
          <w:sz w:val="24"/>
        </w:rPr>
      </w:pPr>
      <w:r>
        <w:rPr>
          <w:rFonts w:ascii="Times New Roman" w:hAnsi="Times New Roman" w:eastAsia="宋体" w:cs="宋体"/>
          <w:color w:val="auto"/>
          <w:sz w:val="24"/>
        </w:rPr>
        <w:fldChar w:fldCharType="begin"/>
      </w:r>
      <w:r>
        <w:rPr>
          <w:rFonts w:ascii="Times New Roman" w:hAnsi="Times New Roman" w:eastAsia="宋体" w:cs="宋体"/>
          <w:color w:val="auto"/>
          <w:sz w:val="24"/>
        </w:rPr>
        <w:instrText xml:space="preserve"> </w:instrText>
      </w:r>
      <w:r>
        <w:rPr>
          <w:rFonts w:hint="eastAsia" w:ascii="Times New Roman" w:hAnsi="Times New Roman" w:eastAsia="宋体" w:cs="宋体"/>
          <w:color w:val="auto"/>
          <w:sz w:val="24"/>
        </w:rPr>
        <w:instrText xml:space="preserve">= 8 \* GB3</w:instrText>
      </w:r>
      <w:r>
        <w:rPr>
          <w:rFonts w:ascii="Times New Roman" w:hAnsi="Times New Roman" w:eastAsia="宋体" w:cs="宋体"/>
          <w:color w:val="auto"/>
          <w:sz w:val="24"/>
        </w:rPr>
        <w:instrText xml:space="preserve"> </w:instrText>
      </w:r>
      <w:r>
        <w:rPr>
          <w:rFonts w:ascii="Times New Roman" w:hAnsi="Times New Roman" w:eastAsia="宋体" w:cs="宋体"/>
          <w:color w:val="auto"/>
          <w:sz w:val="24"/>
        </w:rPr>
        <w:fldChar w:fldCharType="separate"/>
      </w:r>
      <w:r>
        <w:rPr>
          <w:rFonts w:hint="eastAsia" w:ascii="Times New Roman" w:hAnsi="Times New Roman" w:eastAsia="宋体" w:cs="宋体"/>
          <w:color w:val="auto"/>
          <w:sz w:val="24"/>
        </w:rPr>
        <w:t>⑧</w:t>
      </w:r>
      <w:r>
        <w:rPr>
          <w:rFonts w:ascii="Times New Roman" w:hAnsi="Times New Roman" w:eastAsia="宋体" w:cs="宋体"/>
          <w:color w:val="auto"/>
          <w:sz w:val="24"/>
        </w:rPr>
        <w:fldChar w:fldCharType="end"/>
      </w:r>
      <w:r>
        <w:rPr>
          <w:rFonts w:ascii="Times New Roman" w:hAnsi="Times New Roman" w:eastAsia="宋体" w:cs="宋体"/>
          <w:color w:val="auto"/>
          <w:sz w:val="24"/>
        </w:rPr>
        <w:t>通过采取以上治理措施后，可大幅度降低施工造成的大气污染，</w:t>
      </w:r>
      <w:r>
        <w:rPr>
          <w:rFonts w:hint="eastAsia" w:ascii="Times New Roman" w:hAnsi="Times New Roman" w:eastAsia="宋体" w:cs="宋体"/>
          <w:color w:val="auto"/>
          <w:sz w:val="24"/>
        </w:rPr>
        <w:t>减少</w:t>
      </w:r>
      <w:r>
        <w:rPr>
          <w:rFonts w:ascii="Times New Roman" w:hAnsi="Times New Roman" w:eastAsia="宋体" w:cs="宋体"/>
          <w:color w:val="auto"/>
          <w:sz w:val="24"/>
        </w:rPr>
        <w:t>对周围</w:t>
      </w:r>
      <w:r>
        <w:rPr>
          <w:rFonts w:hint="eastAsia" w:ascii="Times New Roman" w:hAnsi="Times New Roman" w:eastAsia="宋体" w:cs="宋体"/>
          <w:color w:val="auto"/>
          <w:sz w:val="24"/>
        </w:rPr>
        <w:t>环境</w:t>
      </w:r>
      <w:r>
        <w:rPr>
          <w:rFonts w:ascii="Times New Roman" w:hAnsi="Times New Roman" w:eastAsia="宋体" w:cs="宋体"/>
          <w:color w:val="auto"/>
          <w:sz w:val="24"/>
        </w:rPr>
        <w:t>的影响。</w:t>
      </w:r>
    </w:p>
    <w:p w14:paraId="06B2C700">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5.3.2、水污染控制措施</w:t>
      </w:r>
    </w:p>
    <w:p w14:paraId="556FBD92">
      <w:pPr>
        <w:adjustRightInd w:val="0"/>
        <w:snapToGrid w:val="0"/>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rPr>
        <w:t>施工期废水主要</w:t>
      </w:r>
      <w:r>
        <w:rPr>
          <w:rFonts w:hint="eastAsia" w:ascii="Times New Roman" w:hAnsi="Times New Roman" w:eastAsia="宋体" w:cs="宋体"/>
          <w:color w:val="auto"/>
          <w:sz w:val="24"/>
          <w:lang w:eastAsia="zh-CN"/>
        </w:rPr>
        <w:t>产生</w:t>
      </w:r>
      <w:r>
        <w:rPr>
          <w:rFonts w:hint="eastAsia" w:ascii="Times New Roman" w:hAnsi="Times New Roman" w:eastAsia="宋体" w:cs="宋体"/>
          <w:color w:val="auto"/>
          <w:sz w:val="24"/>
        </w:rPr>
        <w:t>生活污水、施工废水。</w:t>
      </w:r>
    </w:p>
    <w:p w14:paraId="059A021A">
      <w:pPr>
        <w:adjustRightInd w:val="0"/>
        <w:snapToGrid w:val="0"/>
        <w:spacing w:line="360" w:lineRule="auto"/>
        <w:ind w:firstLine="468" w:firstLineChars="200"/>
        <w:rPr>
          <w:rFonts w:ascii="Times New Roman" w:hAnsi="Times New Roman" w:eastAsia="宋体" w:cs="宋体"/>
          <w:color w:val="auto"/>
          <w:sz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1</w:t>
      </w:r>
      <w:r>
        <w:rPr>
          <w:rFonts w:hint="eastAsia" w:ascii="Times New Roman" w:hAnsi="Times New Roman" w:eastAsia="宋体" w:cs="宋体"/>
          <w:color w:val="auto"/>
          <w:spacing w:val="-3"/>
          <w:sz w:val="24"/>
          <w:szCs w:val="24"/>
          <w:lang w:eastAsia="zh-CN"/>
        </w:rPr>
        <w:t>）</w:t>
      </w:r>
      <w:r>
        <w:rPr>
          <w:rFonts w:ascii="Times New Roman" w:hAnsi="Times New Roman" w:eastAsia="宋体" w:cs="宋体"/>
          <w:color w:val="auto"/>
          <w:sz w:val="24"/>
        </w:rPr>
        <w:t>施工期施工废水主要来源于机械跑、冒、滴、漏的污油及机械冲洗废水等，施工废水最大产生量约2m</w:t>
      </w:r>
      <w:r>
        <w:rPr>
          <w:rFonts w:ascii="Times New Roman" w:hAnsi="Times New Roman" w:eastAsia="宋体" w:cs="宋体"/>
          <w:color w:val="auto"/>
          <w:sz w:val="24"/>
          <w:vertAlign w:val="superscript"/>
        </w:rPr>
        <w:t>3</w:t>
      </w:r>
      <w:r>
        <w:rPr>
          <w:rFonts w:ascii="Times New Roman" w:hAnsi="Times New Roman" w:eastAsia="宋体" w:cs="宋体"/>
          <w:color w:val="auto"/>
          <w:sz w:val="24"/>
        </w:rPr>
        <w:t>/d，主要污染物为COD、BOD</w:t>
      </w:r>
      <w:r>
        <w:rPr>
          <w:rFonts w:hint="eastAsia" w:ascii="Times New Roman" w:hAnsi="Times New Roman" w:eastAsia="宋体" w:cs="宋体"/>
          <w:color w:val="auto"/>
          <w:sz w:val="24"/>
          <w:vertAlign w:val="subscript"/>
        </w:rPr>
        <w:t>5</w:t>
      </w:r>
      <w:r>
        <w:rPr>
          <w:rFonts w:ascii="Times New Roman" w:hAnsi="Times New Roman" w:eastAsia="宋体" w:cs="宋体"/>
          <w:color w:val="auto"/>
          <w:sz w:val="24"/>
        </w:rPr>
        <w:t>、SS、油类等。对施工废水进行收集沉淀处理后用于施工场地洒水抑尘，严禁外排。</w:t>
      </w:r>
    </w:p>
    <w:p w14:paraId="3245EA00">
      <w:pPr>
        <w:adjustRightInd w:val="0"/>
        <w:snapToGrid w:val="0"/>
        <w:spacing w:line="360" w:lineRule="auto"/>
        <w:ind w:firstLine="468" w:firstLineChars="200"/>
        <w:rPr>
          <w:rFonts w:ascii="Times New Roman" w:hAnsi="Times New Roman" w:eastAsia="宋体" w:cs="宋体"/>
          <w:bCs/>
          <w:color w:val="auto"/>
          <w:sz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2</w:t>
      </w: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z w:val="24"/>
        </w:rPr>
        <w:t>施工人员的生活污水设置环保厕所进行处理，对周围环境影响很小。</w:t>
      </w:r>
    </w:p>
    <w:p w14:paraId="5544D2C5">
      <w:pPr>
        <w:adjustRightInd w:val="0"/>
        <w:snapToGrid w:val="0"/>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rPr>
        <w:t>采取以上措施后，施工废水对周围环境影响较小，措施可行。</w:t>
      </w:r>
    </w:p>
    <w:p w14:paraId="5E516CFB">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5.3.3、噪声污染控制措施</w:t>
      </w:r>
    </w:p>
    <w:p w14:paraId="7760A386">
      <w:pPr>
        <w:adjustRightInd w:val="0"/>
        <w:snapToGrid w:val="0"/>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rPr>
        <w:t>项目施工期施工机械、运输车辆等都会产生噪声，</w:t>
      </w:r>
      <w:r>
        <w:rPr>
          <w:rFonts w:ascii="Times New Roman" w:hAnsi="Times New Roman" w:eastAsia="宋体" w:cs="宋体"/>
          <w:color w:val="auto"/>
          <w:sz w:val="24"/>
        </w:rPr>
        <w:t>对空旷地带声传播距离较远，影响较大的噪声源有装载机、电锯、切割机等，</w:t>
      </w:r>
      <w:r>
        <w:rPr>
          <w:rFonts w:hint="eastAsia" w:ascii="Times New Roman" w:hAnsi="Times New Roman" w:eastAsia="宋体" w:cs="宋体"/>
          <w:color w:val="auto"/>
          <w:sz w:val="24"/>
        </w:rPr>
        <w:t>故针对工程施工期噪声来源及排放特点，采取以下污染防治措施：</w:t>
      </w:r>
    </w:p>
    <w:p w14:paraId="7ED8E468">
      <w:pPr>
        <w:topLinePunct/>
        <w:spacing w:line="360" w:lineRule="auto"/>
        <w:ind w:firstLine="468" w:firstLineChars="200"/>
        <w:textAlignment w:val="center"/>
        <w:rPr>
          <w:rFonts w:ascii="Times New Roman" w:hAnsi="Times New Roman" w:eastAsia="宋体" w:cs="宋体"/>
          <w:color w:val="auto"/>
          <w:sz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1</w:t>
      </w: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z w:val="24"/>
        </w:rPr>
        <w:t>施工作业时应严格控制施工作业时间。</w:t>
      </w:r>
      <w:r>
        <w:rPr>
          <w:rFonts w:ascii="Times New Roman" w:hAnsi="Times New Roman" w:eastAsia="宋体" w:cs="宋体"/>
          <w:color w:val="auto"/>
          <w:sz w:val="24"/>
        </w:rPr>
        <w:t>严禁在22:00～6:00之间及中午12:00～14:00之间在敏感点附近启动高噪声、强震动设备，在建筑物外围设置彩钢板围栏。</w:t>
      </w:r>
    </w:p>
    <w:p w14:paraId="605EAA45">
      <w:pPr>
        <w:topLinePunct/>
        <w:spacing w:line="360" w:lineRule="auto"/>
        <w:ind w:firstLine="468" w:firstLineChars="200"/>
        <w:textAlignment w:val="center"/>
        <w:rPr>
          <w:rFonts w:ascii="Times New Roman" w:hAnsi="Times New Roman" w:eastAsia="宋体" w:cs="宋体"/>
          <w:color w:val="auto"/>
          <w:sz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2</w:t>
      </w: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z w:val="24"/>
        </w:rPr>
        <w:t>选用低噪声机械设备，如以液压机械取代燃油机械等；施工过程中加强施工机械和运输车辆的运行管理，当施工机械闲置不用时应立即关闭。</w:t>
      </w:r>
    </w:p>
    <w:p w14:paraId="5F6F1B2C">
      <w:pPr>
        <w:topLinePunct/>
        <w:spacing w:line="360" w:lineRule="auto"/>
        <w:ind w:firstLine="468" w:firstLineChars="200"/>
        <w:textAlignment w:val="center"/>
        <w:rPr>
          <w:rFonts w:ascii="Times New Roman" w:hAnsi="Times New Roman" w:eastAsia="宋体" w:cs="宋体"/>
          <w:color w:val="auto"/>
          <w:sz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3</w:t>
      </w: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z w:val="24"/>
        </w:rPr>
        <w:t>施工机械和运输车辆经过居民区及出入现场时应低速、禁鸣。</w:t>
      </w:r>
    </w:p>
    <w:p w14:paraId="268F9609">
      <w:pPr>
        <w:topLinePunct/>
        <w:spacing w:line="360" w:lineRule="auto"/>
        <w:ind w:firstLine="468" w:firstLineChars="200"/>
        <w:textAlignment w:val="center"/>
        <w:rPr>
          <w:rFonts w:ascii="Times New Roman" w:hAnsi="Times New Roman" w:eastAsia="宋体" w:cs="宋体"/>
          <w:color w:val="auto"/>
          <w:sz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4</w:t>
      </w: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z w:val="24"/>
        </w:rPr>
        <w:t>为防止物料运输过程中交通噪声对道路沿线居民造成不利影响，要求其合理安排运输路线和运输时间，尽量避开居民集中居住区，避开夜间和午间休息时间。</w:t>
      </w:r>
    </w:p>
    <w:p w14:paraId="229128A7">
      <w:pPr>
        <w:topLinePunct/>
        <w:spacing w:line="360" w:lineRule="auto"/>
        <w:ind w:firstLine="468" w:firstLineChars="200"/>
        <w:textAlignment w:val="center"/>
        <w:rPr>
          <w:rFonts w:ascii="Times New Roman" w:hAnsi="Times New Roman" w:eastAsia="宋体" w:cs="宋体"/>
          <w:color w:val="auto"/>
          <w:sz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5</w:t>
      </w: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z w:val="24"/>
        </w:rPr>
        <w:t>加强施工机械和运输车辆的保养、维护，确保施工机械等处于良好的运转状态；对于施工过程中噪声排放较大的机械设备，应视情况予以维修或更换新设备。</w:t>
      </w:r>
    </w:p>
    <w:p w14:paraId="0B8CBC28">
      <w:pPr>
        <w:topLinePunct/>
        <w:spacing w:line="360" w:lineRule="auto"/>
        <w:ind w:firstLine="468" w:firstLineChars="200"/>
        <w:textAlignment w:val="center"/>
        <w:rPr>
          <w:rFonts w:ascii="Times New Roman" w:hAnsi="Times New Roman" w:eastAsia="宋体" w:cs="宋体"/>
          <w:color w:val="auto"/>
          <w:sz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6</w:t>
      </w:r>
      <w:r>
        <w:rPr>
          <w:rFonts w:hint="eastAsia" w:ascii="Times New Roman" w:hAnsi="Times New Roman" w:eastAsia="宋体" w:cs="宋体"/>
          <w:color w:val="auto"/>
          <w:spacing w:val="-3"/>
          <w:sz w:val="24"/>
          <w:szCs w:val="24"/>
          <w:lang w:eastAsia="zh-CN"/>
        </w:rPr>
        <w:t>）</w:t>
      </w:r>
      <w:r>
        <w:rPr>
          <w:rFonts w:ascii="Times New Roman" w:hAnsi="Times New Roman" w:eastAsia="宋体" w:cs="宋体"/>
          <w:color w:val="auto"/>
          <w:sz w:val="24"/>
        </w:rPr>
        <w:t>加强施工期环境监理工作，及时发现、制止因施工不当、环保措施不落实等原因引起的噪声扰民事件，促使施工单位文明施工、严格执行环保措施，降低施工期间对沿线村民生活、休息的不利影响。</w:t>
      </w:r>
    </w:p>
    <w:p w14:paraId="77A1C7B8">
      <w:pPr>
        <w:topLinePunct/>
        <w:spacing w:line="360" w:lineRule="auto"/>
        <w:ind w:firstLine="480" w:firstLineChars="200"/>
        <w:textAlignment w:val="center"/>
        <w:rPr>
          <w:rFonts w:hint="eastAsia" w:ascii="Times New Roman" w:hAnsi="Times New Roman" w:eastAsia="宋体" w:cs="宋体"/>
          <w:color w:val="auto"/>
          <w:sz w:val="24"/>
        </w:rPr>
      </w:pPr>
      <w:r>
        <w:rPr>
          <w:rFonts w:hint="eastAsia" w:ascii="Times New Roman" w:hAnsi="Times New Roman" w:eastAsia="宋体" w:cs="宋体"/>
          <w:color w:val="auto"/>
          <w:sz w:val="24"/>
        </w:rPr>
        <w:t>采取以上措施后，施工厂界噪声满足《建筑施工场界环境噪声排放标准》</w:t>
      </w:r>
      <w:r>
        <w:rPr>
          <w:rFonts w:ascii="Times New Roman" w:hAnsi="Times New Roman" w:eastAsia="宋体" w:cs="宋体"/>
          <w:color w:val="auto"/>
          <w:sz w:val="24"/>
        </w:rPr>
        <w:t>(GB12523-2011)</w:t>
      </w:r>
      <w:r>
        <w:rPr>
          <w:rFonts w:hint="eastAsia" w:ascii="Times New Roman" w:hAnsi="Times New Roman" w:eastAsia="宋体" w:cs="宋体"/>
          <w:color w:val="auto"/>
          <w:sz w:val="24"/>
        </w:rPr>
        <w:t>限值要求，</w:t>
      </w:r>
      <w:r>
        <w:rPr>
          <w:rFonts w:ascii="Times New Roman" w:hAnsi="Times New Roman" w:eastAsia="宋体" w:cs="宋体"/>
          <w:color w:val="auto"/>
          <w:sz w:val="24"/>
        </w:rPr>
        <w:t>噪声污染防治措施可行。</w:t>
      </w:r>
    </w:p>
    <w:p w14:paraId="53393526">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5.3.4、固体废物处理处置措施</w:t>
      </w:r>
    </w:p>
    <w:p w14:paraId="5A31D86E">
      <w:pPr>
        <w:adjustRightInd w:val="0"/>
        <w:snapToGrid w:val="0"/>
        <w:spacing w:line="360" w:lineRule="auto"/>
        <w:ind w:firstLine="480" w:firstLineChars="200"/>
        <w:rPr>
          <w:rFonts w:ascii="Times New Roman" w:hAnsi="Times New Roman" w:eastAsia="宋体" w:cs="宋体"/>
          <w:color w:val="auto"/>
          <w:sz w:val="24"/>
        </w:rPr>
      </w:pPr>
      <w:r>
        <w:rPr>
          <w:rFonts w:ascii="Times New Roman" w:hAnsi="Times New Roman" w:eastAsia="宋体" w:cs="宋体"/>
          <w:color w:val="auto"/>
          <w:sz w:val="24"/>
        </w:rPr>
        <w:t>施工期的固体废物主要有施工建设过程中产生的建筑垃圾</w:t>
      </w:r>
      <w:r>
        <w:rPr>
          <w:rFonts w:hint="eastAsia" w:ascii="Times New Roman" w:hAnsi="Times New Roman" w:eastAsia="宋体" w:cs="宋体"/>
          <w:color w:val="auto"/>
          <w:sz w:val="24"/>
          <w:lang w:val="en-US" w:eastAsia="zh-CN"/>
        </w:rPr>
        <w:t>和</w:t>
      </w:r>
      <w:r>
        <w:rPr>
          <w:rFonts w:ascii="Times New Roman" w:hAnsi="Times New Roman" w:eastAsia="宋体" w:cs="宋体"/>
          <w:color w:val="auto"/>
          <w:sz w:val="24"/>
        </w:rPr>
        <w:t>施工人员的生活垃圾。</w:t>
      </w:r>
    </w:p>
    <w:p w14:paraId="04758CCC">
      <w:pPr>
        <w:adjustRightInd w:val="0"/>
        <w:snapToGrid w:val="0"/>
        <w:spacing w:line="360" w:lineRule="auto"/>
        <w:ind w:firstLine="468" w:firstLineChars="200"/>
        <w:jc w:val="left"/>
        <w:rPr>
          <w:rFonts w:ascii="Times New Roman" w:hAnsi="Times New Roman" w:eastAsia="宋体" w:cs="宋体"/>
          <w:color w:val="auto"/>
          <w:sz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1）</w:t>
      </w:r>
      <w:r>
        <w:rPr>
          <w:rFonts w:ascii="Times New Roman" w:hAnsi="Times New Roman" w:eastAsia="宋体" w:cs="宋体"/>
          <w:color w:val="auto"/>
          <w:sz w:val="24"/>
        </w:rPr>
        <w:t>建筑垃圾</w:t>
      </w:r>
    </w:p>
    <w:p w14:paraId="5056E91E">
      <w:pPr>
        <w:adjustRightInd w:val="0"/>
        <w:snapToGrid w:val="0"/>
        <w:spacing w:line="360" w:lineRule="auto"/>
        <w:ind w:firstLine="480" w:firstLineChars="200"/>
        <w:jc w:val="left"/>
        <w:rPr>
          <w:rFonts w:ascii="Times New Roman" w:hAnsi="Times New Roman" w:eastAsia="宋体" w:cs="宋体"/>
          <w:color w:val="auto"/>
          <w:sz w:val="24"/>
        </w:rPr>
      </w:pPr>
      <w:r>
        <w:rPr>
          <w:rFonts w:ascii="Times New Roman" w:hAnsi="Times New Roman" w:eastAsia="宋体" w:cs="宋体"/>
          <w:color w:val="auto"/>
          <w:sz w:val="24"/>
        </w:rPr>
        <w:t>主要成分是建设过程中产生的废弃砖块、木材和混凝土等。</w:t>
      </w:r>
    </w:p>
    <w:p w14:paraId="1F8F8F9D">
      <w:pPr>
        <w:adjustRightInd w:val="0"/>
        <w:snapToGrid w:val="0"/>
        <w:spacing w:line="360" w:lineRule="auto"/>
        <w:ind w:firstLine="480" w:firstLineChars="200"/>
        <w:jc w:val="left"/>
        <w:rPr>
          <w:rFonts w:ascii="Times New Roman" w:hAnsi="Times New Roman" w:eastAsia="宋体" w:cs="宋体"/>
          <w:color w:val="auto"/>
          <w:sz w:val="24"/>
        </w:rPr>
      </w:pPr>
      <w:r>
        <w:rPr>
          <w:rFonts w:ascii="Times New Roman" w:hAnsi="Times New Roman" w:eastAsia="宋体" w:cs="宋体"/>
          <w:color w:val="auto"/>
          <w:sz w:val="24"/>
        </w:rPr>
        <w:t>①新建建筑垃圾：JS=QS</w:t>
      </w:r>
      <w:r>
        <w:rPr>
          <w:rFonts w:ascii="Times New Roman" w:hAnsi="Times New Roman" w:eastAsia="宋体" w:cs="宋体"/>
          <w:color w:val="auto"/>
          <w:sz w:val="24"/>
        </w:rPr>
        <w:sym w:font="Symbol" w:char="F0B4"/>
      </w:r>
      <w:r>
        <w:rPr>
          <w:rFonts w:ascii="Times New Roman" w:hAnsi="Times New Roman" w:eastAsia="宋体" w:cs="宋体"/>
          <w:color w:val="auto"/>
          <w:sz w:val="24"/>
        </w:rPr>
        <w:t>CS</w:t>
      </w:r>
    </w:p>
    <w:p w14:paraId="099AD730">
      <w:pPr>
        <w:adjustRightInd w:val="0"/>
        <w:snapToGrid w:val="0"/>
        <w:spacing w:line="360" w:lineRule="auto"/>
        <w:ind w:firstLine="480" w:firstLineChars="200"/>
        <w:jc w:val="left"/>
        <w:rPr>
          <w:rFonts w:ascii="Times New Roman" w:hAnsi="Times New Roman" w:eastAsia="宋体" w:cs="宋体"/>
          <w:color w:val="auto"/>
          <w:sz w:val="24"/>
        </w:rPr>
      </w:pPr>
      <w:r>
        <w:rPr>
          <w:rFonts w:ascii="Times New Roman" w:hAnsi="Times New Roman" w:eastAsia="宋体" w:cs="宋体"/>
          <w:color w:val="auto"/>
          <w:sz w:val="24"/>
        </w:rPr>
        <w:t>式中：JS：建筑垃圾总产生量（t）</w:t>
      </w:r>
    </w:p>
    <w:p w14:paraId="63E10A96">
      <w:pPr>
        <w:adjustRightInd w:val="0"/>
        <w:snapToGrid w:val="0"/>
        <w:spacing w:line="360" w:lineRule="auto"/>
        <w:ind w:firstLine="480" w:firstLineChars="200"/>
        <w:jc w:val="left"/>
        <w:rPr>
          <w:rFonts w:ascii="Times New Roman" w:hAnsi="Times New Roman" w:eastAsia="宋体" w:cs="宋体"/>
          <w:color w:val="auto"/>
          <w:sz w:val="24"/>
        </w:rPr>
      </w:pPr>
      <w:r>
        <w:rPr>
          <w:rFonts w:ascii="Times New Roman" w:hAnsi="Times New Roman" w:eastAsia="宋体" w:cs="宋体"/>
          <w:color w:val="auto"/>
          <w:sz w:val="24"/>
        </w:rPr>
        <w:t>QS：新建部分总建筑面积，</w:t>
      </w:r>
      <w:r>
        <w:rPr>
          <w:rFonts w:hint="eastAsia" w:ascii="Times New Roman" w:hAnsi="Times New Roman" w:eastAsia="宋体" w:cs="宋体"/>
          <w:color w:val="auto"/>
          <w:sz w:val="24"/>
          <w:lang w:val="en-US" w:eastAsia="zh-CN"/>
        </w:rPr>
        <w:t>2460</w:t>
      </w:r>
      <w:r>
        <w:rPr>
          <w:rFonts w:ascii="Times New Roman" w:hAnsi="Times New Roman" w:eastAsia="宋体" w:cs="宋体"/>
          <w:color w:val="auto"/>
          <w:sz w:val="24"/>
        </w:rPr>
        <w:t>m</w:t>
      </w:r>
      <w:r>
        <w:rPr>
          <w:rFonts w:ascii="Times New Roman" w:hAnsi="Times New Roman" w:eastAsia="宋体" w:cs="宋体"/>
          <w:color w:val="auto"/>
          <w:sz w:val="24"/>
          <w:vertAlign w:val="superscript"/>
        </w:rPr>
        <w:t>2</w:t>
      </w:r>
    </w:p>
    <w:p w14:paraId="06E58DB9">
      <w:pPr>
        <w:adjustRightInd w:val="0"/>
        <w:snapToGrid w:val="0"/>
        <w:spacing w:line="360" w:lineRule="auto"/>
        <w:ind w:firstLine="480" w:firstLineChars="200"/>
        <w:jc w:val="left"/>
        <w:rPr>
          <w:rFonts w:ascii="Times New Roman" w:hAnsi="Times New Roman" w:eastAsia="宋体" w:cs="宋体"/>
          <w:color w:val="auto"/>
          <w:sz w:val="24"/>
        </w:rPr>
      </w:pPr>
      <w:r>
        <w:rPr>
          <w:rFonts w:ascii="Times New Roman" w:hAnsi="Times New Roman" w:eastAsia="宋体" w:cs="宋体"/>
          <w:color w:val="auto"/>
          <w:sz w:val="24"/>
        </w:rPr>
        <w:t>CS</w:t>
      </w:r>
      <w:r>
        <w:rPr>
          <w:rFonts w:hint="eastAsia" w:ascii="Times New Roman" w:hAnsi="Times New Roman" w:eastAsia="宋体" w:cs="宋体"/>
          <w:color w:val="auto"/>
          <w:sz w:val="24"/>
          <w:lang w:eastAsia="zh-CN"/>
        </w:rPr>
        <w:t>：</w:t>
      </w:r>
      <w:r>
        <w:rPr>
          <w:rFonts w:ascii="Times New Roman" w:hAnsi="Times New Roman" w:eastAsia="宋体" w:cs="宋体"/>
          <w:color w:val="auto"/>
          <w:sz w:val="24"/>
        </w:rPr>
        <w:t>平均每m</w:t>
      </w:r>
      <w:r>
        <w:rPr>
          <w:rFonts w:ascii="Times New Roman" w:hAnsi="Times New Roman" w:eastAsia="宋体" w:cs="宋体"/>
          <w:color w:val="auto"/>
          <w:sz w:val="24"/>
          <w:vertAlign w:val="superscript"/>
        </w:rPr>
        <w:t>2</w:t>
      </w:r>
      <w:r>
        <w:rPr>
          <w:rFonts w:ascii="Times New Roman" w:hAnsi="Times New Roman" w:eastAsia="宋体" w:cs="宋体"/>
          <w:color w:val="auto"/>
          <w:sz w:val="24"/>
        </w:rPr>
        <w:t>建筑面积垃圾产生量，0.02t/m</w:t>
      </w:r>
      <w:r>
        <w:rPr>
          <w:rFonts w:ascii="Times New Roman" w:hAnsi="Times New Roman" w:eastAsia="宋体" w:cs="宋体"/>
          <w:color w:val="auto"/>
          <w:sz w:val="24"/>
          <w:vertAlign w:val="superscript"/>
        </w:rPr>
        <w:t>2</w:t>
      </w:r>
    </w:p>
    <w:p w14:paraId="6A9369D5">
      <w:pPr>
        <w:adjustRightInd w:val="0"/>
        <w:snapToGrid w:val="0"/>
        <w:spacing w:line="360" w:lineRule="auto"/>
        <w:ind w:firstLine="480" w:firstLineChars="200"/>
        <w:jc w:val="left"/>
        <w:rPr>
          <w:rFonts w:ascii="Times New Roman" w:hAnsi="Times New Roman" w:eastAsia="宋体" w:cs="宋体"/>
          <w:color w:val="auto"/>
          <w:sz w:val="24"/>
        </w:rPr>
      </w:pPr>
      <w:r>
        <w:rPr>
          <w:rFonts w:ascii="Times New Roman" w:hAnsi="Times New Roman" w:eastAsia="宋体" w:cs="宋体"/>
          <w:color w:val="auto"/>
          <w:sz w:val="24"/>
        </w:rPr>
        <w:t>根据上式计算所得该项目新建建筑垃圾产生量约为</w:t>
      </w:r>
      <w:r>
        <w:rPr>
          <w:rFonts w:hint="eastAsia" w:ascii="Times New Roman" w:hAnsi="Times New Roman" w:eastAsia="宋体" w:cs="宋体"/>
          <w:color w:val="auto"/>
          <w:sz w:val="24"/>
          <w:lang w:val="en-US" w:eastAsia="zh-CN"/>
        </w:rPr>
        <w:t>49.2</w:t>
      </w:r>
      <w:r>
        <w:rPr>
          <w:rFonts w:ascii="Times New Roman" w:hAnsi="Times New Roman" w:eastAsia="宋体" w:cs="宋体"/>
          <w:color w:val="auto"/>
          <w:sz w:val="24"/>
        </w:rPr>
        <w:t>t，</w:t>
      </w:r>
      <w:r>
        <w:rPr>
          <w:rFonts w:ascii="Times New Roman" w:hAnsi="Times New Roman" w:eastAsia="宋体" w:cs="宋体"/>
          <w:color w:val="auto"/>
          <w:spacing w:val="-2"/>
          <w:sz w:val="24"/>
        </w:rPr>
        <w:t>全部运至</w:t>
      </w:r>
      <w:r>
        <w:rPr>
          <w:rFonts w:hint="eastAsia" w:ascii="Times New Roman" w:hAnsi="Times New Roman" w:eastAsia="宋体" w:cs="宋体"/>
          <w:color w:val="auto"/>
          <w:spacing w:val="-2"/>
          <w:sz w:val="24"/>
        </w:rPr>
        <w:t>当地</w:t>
      </w:r>
      <w:r>
        <w:rPr>
          <w:rFonts w:ascii="Times New Roman" w:hAnsi="Times New Roman" w:eastAsia="宋体" w:cs="宋体"/>
          <w:color w:val="auto"/>
          <w:spacing w:val="-2"/>
          <w:sz w:val="24"/>
        </w:rPr>
        <w:t>住建部门指定地点进行处置。</w:t>
      </w:r>
    </w:p>
    <w:p w14:paraId="26822B21">
      <w:pPr>
        <w:adjustRightInd w:val="0"/>
        <w:snapToGrid w:val="0"/>
        <w:spacing w:line="360" w:lineRule="auto"/>
        <w:ind w:firstLine="468" w:firstLineChars="200"/>
        <w:jc w:val="left"/>
        <w:rPr>
          <w:rFonts w:ascii="Times New Roman" w:hAnsi="Times New Roman" w:eastAsia="宋体" w:cs="宋体"/>
          <w:color w:val="auto"/>
          <w:sz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2</w:t>
      </w:r>
      <w:r>
        <w:rPr>
          <w:rFonts w:hint="eastAsia" w:ascii="Times New Roman" w:hAnsi="Times New Roman" w:eastAsia="宋体" w:cs="宋体"/>
          <w:color w:val="auto"/>
          <w:spacing w:val="-3"/>
          <w:sz w:val="24"/>
          <w:szCs w:val="24"/>
          <w:lang w:eastAsia="zh-CN"/>
        </w:rPr>
        <w:t>）</w:t>
      </w:r>
      <w:r>
        <w:rPr>
          <w:rFonts w:ascii="Times New Roman" w:hAnsi="Times New Roman" w:eastAsia="宋体" w:cs="宋体"/>
          <w:color w:val="auto"/>
          <w:sz w:val="24"/>
        </w:rPr>
        <w:t>生活垃圾</w:t>
      </w:r>
    </w:p>
    <w:p w14:paraId="75AA2795">
      <w:pPr>
        <w:adjustRightInd w:val="0"/>
        <w:snapToGrid w:val="0"/>
        <w:spacing w:line="360" w:lineRule="auto"/>
        <w:ind w:firstLine="472" w:firstLineChars="200"/>
        <w:rPr>
          <w:rFonts w:ascii="Times New Roman" w:hAnsi="Times New Roman" w:eastAsia="宋体" w:cs="宋体"/>
          <w:color w:val="auto"/>
          <w:sz w:val="24"/>
        </w:rPr>
      </w:pPr>
      <w:r>
        <w:rPr>
          <w:rFonts w:ascii="Times New Roman" w:hAnsi="Times New Roman" w:eastAsia="宋体" w:cs="宋体"/>
          <w:color w:val="auto"/>
          <w:spacing w:val="-2"/>
          <w:sz w:val="24"/>
        </w:rPr>
        <w:t>项目施工期高峰时施工人员约20人，生活垃圾按0.5kg/人·d计，生活垃圾产生量约10kg/d。</w:t>
      </w:r>
      <w:r>
        <w:rPr>
          <w:rFonts w:ascii="Times New Roman" w:hAnsi="Times New Roman" w:eastAsia="宋体" w:cs="宋体"/>
          <w:color w:val="auto"/>
          <w:sz w:val="24"/>
        </w:rPr>
        <w:t>生活垃圾及时收集后</w:t>
      </w:r>
      <w:r>
        <w:rPr>
          <w:rFonts w:hint="eastAsia" w:ascii="Times New Roman" w:hAnsi="Times New Roman" w:eastAsia="宋体" w:cs="宋体"/>
          <w:color w:val="auto"/>
          <w:sz w:val="24"/>
        </w:rPr>
        <w:t>由</w:t>
      </w:r>
      <w:r>
        <w:rPr>
          <w:rFonts w:ascii="Times New Roman" w:hAnsi="Times New Roman" w:eastAsia="宋体" w:cs="宋体"/>
          <w:color w:val="auto"/>
          <w:sz w:val="24"/>
        </w:rPr>
        <w:t>当地环卫部门统一清运至</w:t>
      </w:r>
      <w:r>
        <w:rPr>
          <w:rFonts w:hint="eastAsia" w:ascii="Times New Roman" w:hAnsi="Times New Roman" w:eastAsia="宋体" w:cs="宋体"/>
          <w:color w:val="auto"/>
          <w:sz w:val="24"/>
        </w:rPr>
        <w:t>当地生活垃圾填埋场</w:t>
      </w:r>
      <w:r>
        <w:rPr>
          <w:rFonts w:ascii="Times New Roman" w:hAnsi="Times New Roman" w:eastAsia="宋体" w:cs="宋体"/>
          <w:color w:val="auto"/>
          <w:sz w:val="24"/>
        </w:rPr>
        <w:t>。</w:t>
      </w:r>
    </w:p>
    <w:p w14:paraId="5A9BBB27">
      <w:pPr>
        <w:adjustRightInd w:val="0"/>
        <w:snapToGrid w:val="0"/>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rPr>
        <w:t>根据</w:t>
      </w:r>
      <w:r>
        <w:rPr>
          <w:rFonts w:ascii="Times New Roman" w:hAnsi="Times New Roman" w:eastAsia="宋体" w:cs="宋体"/>
          <w:color w:val="auto"/>
          <w:sz w:val="24"/>
        </w:rPr>
        <w:t>施工期产生固废特点，应</w:t>
      </w:r>
      <w:r>
        <w:rPr>
          <w:rFonts w:hint="eastAsia" w:ascii="Times New Roman" w:hAnsi="Times New Roman" w:eastAsia="宋体" w:cs="宋体"/>
          <w:color w:val="auto"/>
          <w:sz w:val="24"/>
        </w:rPr>
        <w:t>采取以下处置措施：</w:t>
      </w:r>
    </w:p>
    <w:p w14:paraId="2CBAD21B">
      <w:pPr>
        <w:keepNext w:val="0"/>
        <w:keepLines w:val="0"/>
        <w:pageBreakBefore w:val="0"/>
        <w:widowControl/>
        <w:kinsoku/>
        <w:wordWrap w:val="0"/>
        <w:overflowPunct/>
        <w:topLinePunct w:val="0"/>
        <w:autoSpaceDE w:val="0"/>
        <w:autoSpaceDN w:val="0"/>
        <w:bidi w:val="0"/>
        <w:adjustRightInd w:val="0"/>
        <w:snapToGrid w:val="0"/>
        <w:spacing w:line="360" w:lineRule="auto"/>
        <w:ind w:firstLine="468" w:firstLineChars="200"/>
        <w:textAlignment w:val="baseline"/>
        <w:rPr>
          <w:rFonts w:ascii="Times New Roman" w:hAnsi="Times New Roman" w:eastAsia="宋体" w:cs="宋体"/>
          <w:color w:val="auto"/>
          <w:sz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1</w:t>
      </w:r>
      <w:r>
        <w:rPr>
          <w:rFonts w:hint="eastAsia" w:ascii="Times New Roman" w:hAnsi="Times New Roman" w:eastAsia="宋体" w:cs="宋体"/>
          <w:color w:val="auto"/>
          <w:spacing w:val="-3"/>
          <w:sz w:val="24"/>
          <w:szCs w:val="24"/>
          <w:lang w:eastAsia="zh-CN"/>
        </w:rPr>
        <w:t>）</w:t>
      </w:r>
      <w:r>
        <w:rPr>
          <w:rFonts w:ascii="Times New Roman" w:hAnsi="Times New Roman" w:eastAsia="宋体" w:cs="宋体"/>
          <w:color w:val="auto"/>
          <w:sz w:val="24"/>
        </w:rPr>
        <w:t>施工过程中产生的建筑垃圾严禁在施工场地内随意乱放和丢弃，集中收集后可回收利用部分回收利用，不可回收利用部分运送至指定地点定期处置；</w:t>
      </w:r>
    </w:p>
    <w:p w14:paraId="24FB005C">
      <w:pPr>
        <w:keepNext w:val="0"/>
        <w:keepLines w:val="0"/>
        <w:pageBreakBefore w:val="0"/>
        <w:widowControl/>
        <w:kinsoku/>
        <w:wordWrap w:val="0"/>
        <w:overflowPunct/>
        <w:topLinePunct w:val="0"/>
        <w:autoSpaceDE w:val="0"/>
        <w:autoSpaceDN w:val="0"/>
        <w:bidi w:val="0"/>
        <w:adjustRightInd w:val="0"/>
        <w:snapToGrid w:val="0"/>
        <w:spacing w:line="360" w:lineRule="auto"/>
        <w:ind w:firstLine="468" w:firstLineChars="200"/>
        <w:textAlignment w:val="baseline"/>
        <w:rPr>
          <w:rFonts w:ascii="Times New Roman" w:hAnsi="Times New Roman" w:eastAsia="宋体" w:cs="宋体"/>
          <w:color w:val="auto"/>
          <w:sz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2</w:t>
      </w:r>
      <w:r>
        <w:rPr>
          <w:rFonts w:hint="eastAsia" w:ascii="Times New Roman" w:hAnsi="Times New Roman" w:eastAsia="宋体" w:cs="宋体"/>
          <w:color w:val="auto"/>
          <w:spacing w:val="-3"/>
          <w:sz w:val="24"/>
          <w:szCs w:val="24"/>
          <w:lang w:eastAsia="zh-CN"/>
        </w:rPr>
        <w:t>）</w:t>
      </w:r>
      <w:r>
        <w:rPr>
          <w:rFonts w:ascii="Times New Roman" w:hAnsi="Times New Roman" w:eastAsia="宋体" w:cs="宋体"/>
          <w:color w:val="auto"/>
          <w:sz w:val="24"/>
        </w:rPr>
        <w:t>施工人员的生活垃圾</w:t>
      </w:r>
      <w:r>
        <w:rPr>
          <w:rFonts w:hint="eastAsia" w:ascii="Times New Roman" w:hAnsi="Times New Roman" w:eastAsia="宋体" w:cs="宋体"/>
          <w:color w:val="auto"/>
          <w:sz w:val="24"/>
        </w:rPr>
        <w:t>经</w:t>
      </w:r>
      <w:r>
        <w:rPr>
          <w:rFonts w:ascii="Times New Roman" w:hAnsi="Times New Roman" w:eastAsia="宋体" w:cs="宋体"/>
          <w:color w:val="auto"/>
          <w:sz w:val="24"/>
        </w:rPr>
        <w:t>垃圾桶集中收集，定期送至垃圾填埋场进行处理；</w:t>
      </w:r>
    </w:p>
    <w:p w14:paraId="633EAC2C">
      <w:pPr>
        <w:keepNext w:val="0"/>
        <w:keepLines w:val="0"/>
        <w:pageBreakBefore w:val="0"/>
        <w:widowControl/>
        <w:kinsoku/>
        <w:wordWrap w:val="0"/>
        <w:overflowPunct/>
        <w:topLinePunct w:val="0"/>
        <w:autoSpaceDE w:val="0"/>
        <w:autoSpaceDN w:val="0"/>
        <w:bidi w:val="0"/>
        <w:adjustRightInd w:val="0"/>
        <w:snapToGrid w:val="0"/>
        <w:spacing w:line="360" w:lineRule="auto"/>
        <w:ind w:firstLine="468" w:firstLineChars="200"/>
        <w:textAlignment w:val="baseline"/>
        <w:rPr>
          <w:rFonts w:hint="eastAsia" w:ascii="Times New Roman" w:hAnsi="Times New Roman" w:eastAsia="宋体" w:cs="宋体"/>
          <w:color w:val="auto"/>
          <w:sz w:val="24"/>
          <w:lang w:eastAsia="zh-CN"/>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3</w:t>
      </w:r>
      <w:r>
        <w:rPr>
          <w:rFonts w:hint="eastAsia" w:ascii="Times New Roman" w:hAnsi="Times New Roman" w:eastAsia="宋体" w:cs="宋体"/>
          <w:color w:val="auto"/>
          <w:spacing w:val="-3"/>
          <w:sz w:val="24"/>
          <w:szCs w:val="24"/>
          <w:lang w:eastAsia="zh-CN"/>
        </w:rPr>
        <w:t>）</w:t>
      </w:r>
      <w:r>
        <w:rPr>
          <w:rFonts w:ascii="Times New Roman" w:hAnsi="Times New Roman" w:eastAsia="宋体" w:cs="宋体"/>
          <w:color w:val="auto"/>
          <w:sz w:val="24"/>
        </w:rPr>
        <w:t>根据土石方平衡计算，</w:t>
      </w:r>
      <w:r>
        <w:rPr>
          <w:rFonts w:hint="eastAsia" w:ascii="Times New Roman" w:hAnsi="Times New Roman" w:eastAsia="宋体" w:cs="宋体"/>
          <w:color w:val="auto"/>
          <w:sz w:val="24"/>
        </w:rPr>
        <w:t>项目</w:t>
      </w:r>
      <w:r>
        <w:rPr>
          <w:rFonts w:ascii="Times New Roman" w:hAnsi="Times New Roman" w:eastAsia="宋体" w:cs="宋体"/>
          <w:color w:val="auto"/>
          <w:sz w:val="24"/>
        </w:rPr>
        <w:t>弃方量较少，用于场地周边平整，不外运</w:t>
      </w:r>
      <w:r>
        <w:rPr>
          <w:rFonts w:hint="eastAsia" w:ascii="Times New Roman" w:hAnsi="Times New Roman" w:eastAsia="宋体" w:cs="宋体"/>
          <w:color w:val="auto"/>
          <w:sz w:val="24"/>
          <w:lang w:eastAsia="zh-CN"/>
        </w:rPr>
        <w:t>；</w:t>
      </w:r>
    </w:p>
    <w:p w14:paraId="7DA634BB">
      <w:pPr>
        <w:keepNext w:val="0"/>
        <w:keepLines w:val="0"/>
        <w:pageBreakBefore w:val="0"/>
        <w:widowControl/>
        <w:kinsoku/>
        <w:wordWrap w:val="0"/>
        <w:overflowPunct/>
        <w:topLinePunct w:val="0"/>
        <w:autoSpaceDE w:val="0"/>
        <w:autoSpaceDN w:val="0"/>
        <w:bidi w:val="0"/>
        <w:adjustRightInd w:val="0"/>
        <w:snapToGrid w:val="0"/>
        <w:spacing w:line="360" w:lineRule="auto"/>
        <w:ind w:firstLine="468" w:firstLineChars="200"/>
        <w:textAlignment w:val="baseline"/>
        <w:rPr>
          <w:rFonts w:ascii="Times New Roman" w:hAnsi="Times New Roman" w:eastAsia="宋体" w:cs="宋体"/>
          <w:color w:val="auto"/>
          <w:sz w:val="24"/>
        </w:rPr>
      </w:pPr>
      <w:r>
        <w:rPr>
          <w:rFonts w:hint="eastAsia" w:ascii="Times New Roman" w:hAnsi="Times New Roman" w:eastAsia="宋体" w:cs="宋体"/>
          <w:color w:val="auto"/>
          <w:spacing w:val="-3"/>
          <w:sz w:val="24"/>
          <w:szCs w:val="24"/>
          <w:lang w:eastAsia="zh-CN"/>
        </w:rPr>
        <w:t>（</w:t>
      </w:r>
      <w:r>
        <w:rPr>
          <w:rFonts w:hint="eastAsia" w:ascii="Times New Roman" w:hAnsi="Times New Roman" w:eastAsia="宋体" w:cs="宋体"/>
          <w:color w:val="auto"/>
          <w:spacing w:val="-3"/>
          <w:sz w:val="24"/>
          <w:szCs w:val="24"/>
          <w:lang w:val="en-US" w:eastAsia="zh-CN"/>
        </w:rPr>
        <w:t>4</w:t>
      </w:r>
      <w:r>
        <w:rPr>
          <w:rFonts w:hint="eastAsia" w:ascii="Times New Roman" w:hAnsi="Times New Roman" w:eastAsia="宋体" w:cs="宋体"/>
          <w:color w:val="auto"/>
          <w:spacing w:val="-3"/>
          <w:sz w:val="24"/>
          <w:szCs w:val="24"/>
          <w:lang w:eastAsia="zh-CN"/>
        </w:rPr>
        <w:t>）</w:t>
      </w:r>
      <w:r>
        <w:rPr>
          <w:rFonts w:ascii="Times New Roman" w:hAnsi="Times New Roman" w:eastAsia="宋体" w:cs="宋体"/>
          <w:color w:val="auto"/>
          <w:sz w:val="24"/>
        </w:rPr>
        <w:t>加强环境管理，建筑垃圾和生活垃圾严禁在施工场地内乱放和乱丢</w:t>
      </w:r>
      <w:r>
        <w:rPr>
          <w:rFonts w:hint="eastAsia" w:ascii="Times New Roman" w:hAnsi="Times New Roman" w:eastAsia="宋体" w:cs="宋体"/>
          <w:color w:val="auto"/>
          <w:sz w:val="24"/>
        </w:rPr>
        <w:t>；</w:t>
      </w:r>
    </w:p>
    <w:p w14:paraId="1429975D">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rPr>
        <w:t>上述固废治理措施在技术和经济上均合理可行，固体废物均可得到妥善处理。</w:t>
      </w:r>
    </w:p>
    <w:p w14:paraId="75759778">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eastAsia" w:ascii="Times New Roman" w:hAnsi="Times New Roman" w:eastAsia="宋体" w:cs="宋体"/>
          <w:color w:val="auto"/>
        </w:rPr>
      </w:pPr>
      <w:bookmarkStart w:id="58" w:name="_Toc2450"/>
      <w:r>
        <w:rPr>
          <w:rFonts w:hint="eastAsia" w:ascii="Times New Roman" w:hAnsi="Times New Roman" w:cs="宋体"/>
          <w:b/>
          <w:bCs/>
          <w:color w:val="auto"/>
          <w:sz w:val="28"/>
          <w:szCs w:val="28"/>
          <w:lang w:val="en-US" w:eastAsia="zh-CN"/>
        </w:rPr>
        <w:t>5</w:t>
      </w:r>
      <w:r>
        <w:rPr>
          <w:rFonts w:hint="eastAsia" w:ascii="Times New Roman" w:hAnsi="Times New Roman" w:eastAsia="宋体" w:cs="宋体"/>
          <w:b/>
          <w:bCs/>
          <w:color w:val="auto"/>
          <w:sz w:val="28"/>
          <w:szCs w:val="28"/>
          <w:lang w:val="en-US" w:eastAsia="zh-CN"/>
        </w:rPr>
        <w:t>.4、项目运营期污染防治措施</w:t>
      </w:r>
      <w:bookmarkEnd w:id="58"/>
    </w:p>
    <w:p w14:paraId="1CA0EAED">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5.4.1、废气污染治理措施</w:t>
      </w:r>
    </w:p>
    <w:p w14:paraId="604603E8">
      <w:pPr>
        <w:adjustRightInd w:val="0"/>
        <w:snapToGrid w:val="0"/>
        <w:spacing w:line="360" w:lineRule="auto"/>
        <w:ind w:firstLine="480" w:firstLineChars="200"/>
        <w:rPr>
          <w:rFonts w:hint="eastAsia" w:ascii="Times New Roman" w:hAnsi="Times New Roman" w:eastAsia="宋体" w:cs="宋体"/>
          <w:b w:val="0"/>
          <w:bCs/>
          <w:color w:val="auto"/>
          <w:sz w:val="24"/>
        </w:rPr>
      </w:pPr>
      <w:r>
        <w:rPr>
          <w:rFonts w:hint="eastAsia" w:ascii="Times New Roman" w:hAnsi="Times New Roman" w:eastAsia="宋体" w:cs="宋体"/>
          <w:b w:val="0"/>
          <w:bCs/>
          <w:color w:val="auto"/>
          <w:sz w:val="24"/>
          <w:lang w:eastAsia="zh-CN"/>
        </w:rPr>
        <w:t>（</w:t>
      </w:r>
      <w:r>
        <w:rPr>
          <w:rFonts w:hint="eastAsia" w:ascii="Times New Roman" w:hAnsi="Times New Roman" w:eastAsia="宋体" w:cs="宋体"/>
          <w:b w:val="0"/>
          <w:bCs/>
          <w:color w:val="auto"/>
          <w:sz w:val="24"/>
          <w:lang w:val="en-US" w:eastAsia="zh-CN"/>
        </w:rPr>
        <w:t>1</w:t>
      </w:r>
      <w:r>
        <w:rPr>
          <w:rFonts w:hint="eastAsia" w:ascii="Times New Roman" w:hAnsi="Times New Roman" w:eastAsia="宋体" w:cs="宋体"/>
          <w:b w:val="0"/>
          <w:bCs/>
          <w:color w:val="auto"/>
          <w:sz w:val="24"/>
          <w:lang w:eastAsia="zh-CN"/>
        </w:rPr>
        <w:t>）</w:t>
      </w:r>
      <w:r>
        <w:rPr>
          <w:rFonts w:hint="eastAsia" w:ascii="Times New Roman" w:hAnsi="Times New Roman" w:eastAsia="宋体" w:cs="宋体"/>
          <w:b w:val="0"/>
          <w:bCs/>
          <w:color w:val="auto"/>
          <w:sz w:val="24"/>
        </w:rPr>
        <w:t>锅炉废气污染治理设施</w:t>
      </w:r>
    </w:p>
    <w:p w14:paraId="01CB5C37">
      <w:pPr>
        <w:adjustRightInd w:val="0"/>
        <w:snapToGrid w:val="0"/>
        <w:spacing w:line="360" w:lineRule="auto"/>
        <w:ind w:firstLine="482"/>
        <w:rPr>
          <w:rFonts w:ascii="Times New Roman" w:hAnsi="Times New Roman" w:eastAsia="宋体" w:cs="宋体"/>
          <w:b/>
          <w:color w:val="auto"/>
          <w:sz w:val="24"/>
          <w:szCs w:val="24"/>
        </w:rPr>
      </w:pPr>
      <w:r>
        <w:rPr>
          <w:rFonts w:hint="eastAsia" w:ascii="Times New Roman" w:hAnsi="Times New Roman" w:eastAsia="宋体" w:cs="宋体"/>
          <w:color w:val="auto"/>
          <w:sz w:val="24"/>
          <w:szCs w:val="24"/>
        </w:rPr>
        <w:t>项目锅炉采取低氮燃烧技术。低氮燃烧是指燃料燃烧过程中NO</w:t>
      </w:r>
      <w:r>
        <w:rPr>
          <w:rFonts w:hint="eastAsia" w:ascii="Times New Roman" w:hAnsi="Times New Roman" w:eastAsia="宋体" w:cs="宋体"/>
          <w:color w:val="auto"/>
          <w:sz w:val="24"/>
          <w:szCs w:val="24"/>
          <w:vertAlign w:val="subscript"/>
        </w:rPr>
        <w:t>X</w:t>
      </w:r>
      <w:r>
        <w:rPr>
          <w:rFonts w:hint="eastAsia" w:ascii="Times New Roman" w:hAnsi="Times New Roman" w:eastAsia="宋体" w:cs="宋体"/>
          <w:color w:val="auto"/>
          <w:sz w:val="24"/>
          <w:szCs w:val="24"/>
        </w:rPr>
        <w:t>排放量低的燃烧器，采用低氮燃烧器能够降低燃烧过程中氮氧化物的排放。预燃室是一种高效率、低氮分级燃烧技术，预燃室一般由一次风(或二次风)和燃料喷射系统等组成，燃料和一次风快速混合，在预燃室内一次燃烧区形成富燃料混合物，由于缺氧，只是部分燃料进行燃烧，燃料在贫氧和火焰温度较低的一次火焰区内析出挥发分，因此减少了NO</w:t>
      </w:r>
      <w:r>
        <w:rPr>
          <w:rFonts w:hint="eastAsia" w:ascii="Times New Roman" w:hAnsi="Times New Roman" w:eastAsia="宋体" w:cs="宋体"/>
          <w:color w:val="auto"/>
          <w:sz w:val="24"/>
          <w:szCs w:val="24"/>
          <w:vertAlign w:val="subscript"/>
        </w:rPr>
        <w:t>X</w:t>
      </w:r>
      <w:r>
        <w:rPr>
          <w:rFonts w:hint="eastAsia" w:ascii="Times New Roman" w:hAnsi="Times New Roman" w:eastAsia="宋体" w:cs="宋体"/>
          <w:color w:val="auto"/>
          <w:sz w:val="24"/>
          <w:szCs w:val="24"/>
        </w:rPr>
        <w:t>的生成。</w:t>
      </w:r>
    </w:p>
    <w:p w14:paraId="548AB29D">
      <w:pPr>
        <w:spacing w:line="371" w:lineRule="auto"/>
        <w:ind w:left="-60" w:right="-76" w:firstLine="48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低氮燃烧器根据燃烧方式可分为扩散式燃烧器（包括燃料分级低氮燃烧器、空气分级低氮燃烧器）和预混式燃烧器。本项目可采用强制混合式（预混式）燃烧器，从源头降低氮氧化物的产生（降低50%），氮氧化物产生浓度可控制在</w:t>
      </w:r>
      <w:r>
        <w:rPr>
          <w:rFonts w:hint="eastAsia" w:ascii="Times New Roman" w:hAnsi="Times New Roman" w:eastAsia="宋体" w:cs="宋体"/>
          <w:color w:val="auto"/>
          <w:sz w:val="24"/>
          <w:szCs w:val="24"/>
          <w:lang w:val="en-US" w:eastAsia="zh-CN"/>
        </w:rPr>
        <w:t>150</w:t>
      </w:r>
      <w:r>
        <w:rPr>
          <w:rFonts w:hint="eastAsia" w:ascii="Times New Roman" w:hAnsi="Times New Roman" w:eastAsia="宋体" w:cs="宋体"/>
          <w:color w:val="auto"/>
          <w:sz w:val="24"/>
          <w:szCs w:val="24"/>
        </w:rPr>
        <w:t>mg/m</w:t>
      </w:r>
      <w:r>
        <w:rPr>
          <w:rFonts w:hint="eastAsia" w:ascii="Times New Roman" w:hAnsi="Times New Roman" w:eastAsia="宋体" w:cs="宋体"/>
          <w:color w:val="auto"/>
          <w:sz w:val="24"/>
          <w:szCs w:val="24"/>
          <w:vertAlign w:val="superscript"/>
        </w:rPr>
        <w:t>3</w:t>
      </w:r>
      <w:r>
        <w:rPr>
          <w:rFonts w:hint="eastAsia" w:ascii="Times New Roman" w:hAnsi="Times New Roman" w:eastAsia="宋体" w:cs="宋体"/>
          <w:color w:val="auto"/>
          <w:sz w:val="24"/>
          <w:szCs w:val="24"/>
          <w:lang w:eastAsia="zh-CN"/>
        </w:rPr>
        <w:t>以内。</w:t>
      </w:r>
      <w:r>
        <w:rPr>
          <w:rFonts w:hint="eastAsia" w:ascii="Times New Roman" w:hAnsi="Times New Roman" w:eastAsia="宋体" w:cs="宋体"/>
          <w:color w:val="auto"/>
          <w:sz w:val="24"/>
          <w:szCs w:val="24"/>
        </w:rPr>
        <w:t>属于《工业锅炉污染防治可行技术指南》（HJ1178-2021）中可行技术。</w:t>
      </w:r>
    </w:p>
    <w:p w14:paraId="2ED3F585">
      <w:pPr>
        <w:spacing w:line="371" w:lineRule="auto"/>
        <w:ind w:left="-60" w:right="-76" w:firstLine="48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综上，通过采取上述措施后项目锅炉废气排放可达到</w:t>
      </w:r>
      <w:r>
        <w:rPr>
          <w:rFonts w:ascii="Times New Roman" w:hAnsi="Times New Roman" w:eastAsia="宋体" w:cs="宋体"/>
          <w:color w:val="auto"/>
          <w:sz w:val="24"/>
        </w:rPr>
        <w:t>《锅炉大气污染物排放标准（GB13271-2014）》表</w:t>
      </w:r>
      <w:r>
        <w:rPr>
          <w:rFonts w:hint="eastAsia" w:ascii="Times New Roman" w:hAnsi="Times New Roman" w:eastAsia="宋体" w:cs="宋体"/>
          <w:color w:val="auto"/>
          <w:sz w:val="24"/>
        </w:rPr>
        <w:t>2</w:t>
      </w:r>
      <w:r>
        <w:rPr>
          <w:rFonts w:ascii="Times New Roman" w:hAnsi="Times New Roman" w:eastAsia="宋体" w:cs="宋体"/>
          <w:color w:val="auto"/>
          <w:sz w:val="24"/>
        </w:rPr>
        <w:t>燃气锅炉标准限值要求</w:t>
      </w:r>
      <w:r>
        <w:rPr>
          <w:rFonts w:hint="eastAsia" w:ascii="Times New Roman" w:hAnsi="Times New Roman" w:eastAsia="宋体" w:cs="宋体"/>
          <w:color w:val="auto"/>
          <w:sz w:val="24"/>
          <w:szCs w:val="24"/>
        </w:rPr>
        <w:t>，对周围环境影响较小，</w:t>
      </w:r>
      <w:r>
        <w:rPr>
          <w:rFonts w:ascii="Times New Roman" w:hAnsi="Times New Roman" w:eastAsia="宋体" w:cs="宋体"/>
          <w:color w:val="auto"/>
          <w:sz w:val="24"/>
          <w:szCs w:val="24"/>
        </w:rPr>
        <w:t>防治措施合理可行。</w:t>
      </w:r>
    </w:p>
    <w:p w14:paraId="3391134F">
      <w:pPr>
        <w:adjustRightInd w:val="0"/>
        <w:snapToGrid w:val="0"/>
        <w:spacing w:line="360" w:lineRule="auto"/>
        <w:ind w:firstLine="480" w:firstLineChars="200"/>
        <w:rPr>
          <w:rFonts w:hint="eastAsia" w:ascii="Times New Roman" w:hAnsi="Times New Roman" w:eastAsia="宋体" w:cs="宋体"/>
          <w:b w:val="0"/>
          <w:bCs/>
          <w:color w:val="auto"/>
          <w:sz w:val="24"/>
          <w:lang w:eastAsia="zh-CN"/>
        </w:rPr>
      </w:pPr>
      <w:r>
        <w:rPr>
          <w:rFonts w:hint="eastAsia" w:ascii="Times New Roman" w:hAnsi="Times New Roman" w:eastAsia="宋体" w:cs="宋体"/>
          <w:b w:val="0"/>
          <w:bCs/>
          <w:color w:val="auto"/>
          <w:sz w:val="24"/>
          <w:lang w:eastAsia="zh-CN"/>
        </w:rPr>
        <w:t>（</w:t>
      </w:r>
      <w:r>
        <w:rPr>
          <w:rFonts w:hint="eastAsia" w:ascii="Times New Roman" w:hAnsi="Times New Roman" w:eastAsia="宋体" w:cs="宋体"/>
          <w:b w:val="0"/>
          <w:bCs/>
          <w:color w:val="auto"/>
          <w:sz w:val="24"/>
          <w:lang w:val="en-US" w:eastAsia="zh-CN"/>
        </w:rPr>
        <w:t>2</w:t>
      </w:r>
      <w:r>
        <w:rPr>
          <w:rFonts w:hint="eastAsia" w:ascii="Times New Roman" w:hAnsi="Times New Roman" w:eastAsia="宋体" w:cs="宋体"/>
          <w:b w:val="0"/>
          <w:bCs/>
          <w:color w:val="auto"/>
          <w:sz w:val="24"/>
          <w:lang w:eastAsia="zh-CN"/>
        </w:rPr>
        <w:t>）车间粉尘污染治理设施</w:t>
      </w:r>
    </w:p>
    <w:p w14:paraId="08B2BE15">
      <w:pPr>
        <w:adjustRightInd w:val="0"/>
        <w:snapToGrid w:val="0"/>
        <w:spacing w:line="360" w:lineRule="auto"/>
        <w:ind w:firstLine="480" w:firstLineChars="200"/>
        <w:rPr>
          <w:rFonts w:hint="eastAsia" w:ascii="Times New Roman" w:hAnsi="Times New Roman" w:eastAsia="宋体" w:cs="宋体"/>
          <w:color w:val="auto"/>
          <w:sz w:val="24"/>
        </w:rPr>
      </w:pPr>
      <w:r>
        <w:rPr>
          <w:rFonts w:hint="eastAsia" w:ascii="Times New Roman" w:hAnsi="Times New Roman" w:eastAsia="宋体" w:cs="宋体"/>
          <w:color w:val="auto"/>
          <w:sz w:val="24"/>
        </w:rPr>
        <w:t>本项目车间粉尘处理措施采用《排污许可证申请与核发技术规范农副食品加工工业-淀粉工业》（HJ860.2-2018）废气治理可行技术，车间内产尘工段设置集气罩收集，集气罩集气效率</w:t>
      </w:r>
      <w:r>
        <w:rPr>
          <w:rFonts w:hint="eastAsia" w:ascii="Times New Roman" w:hAnsi="Times New Roman" w:eastAsia="宋体" w:cs="宋体"/>
          <w:color w:val="auto"/>
          <w:sz w:val="24"/>
          <w:lang w:val="en-US" w:eastAsia="zh-CN"/>
        </w:rPr>
        <w:t>7</w:t>
      </w:r>
      <w:r>
        <w:rPr>
          <w:rFonts w:hint="eastAsia" w:ascii="Times New Roman" w:hAnsi="Times New Roman" w:eastAsia="宋体" w:cs="宋体"/>
          <w:color w:val="auto"/>
          <w:sz w:val="24"/>
        </w:rPr>
        <w:t>5%，采用旋风除尘器+布袋除尘器处理，除尘效率可达到99%。项目粉尘产生量较小经采取上述措施后车间粉尘排放浓度可达到《大气污染物综合排放标准》（GB16297-1996）表2新污染源大气污染物排放限值中的二级标准要求。</w:t>
      </w:r>
    </w:p>
    <w:p w14:paraId="4AEF74A5">
      <w:pPr>
        <w:adjustRightInd w:val="0"/>
        <w:snapToGrid w:val="0"/>
        <w:spacing w:line="360" w:lineRule="auto"/>
        <w:ind w:firstLine="480" w:firstLineChars="200"/>
        <w:rPr>
          <w:rFonts w:hint="eastAsia" w:ascii="Times New Roman" w:hAnsi="Times New Roman" w:eastAsia="宋体" w:cs="宋体"/>
          <w:b/>
          <w:bCs/>
          <w:color w:val="auto"/>
          <w:sz w:val="24"/>
        </w:rPr>
      </w:pPr>
      <w:r>
        <w:rPr>
          <w:rFonts w:hint="eastAsia" w:ascii="Times New Roman" w:hAnsi="Times New Roman" w:eastAsia="宋体" w:cs="宋体"/>
          <w:color w:val="auto"/>
          <w:sz w:val="24"/>
        </w:rPr>
        <w:t>生产过程中会产生少量集气罩无法收集的无组织粉尘，产生量约为</w:t>
      </w:r>
      <w:r>
        <w:rPr>
          <w:rFonts w:hint="eastAsia" w:ascii="Times New Roman" w:hAnsi="Times New Roman" w:eastAsia="宋体" w:cs="宋体"/>
          <w:color w:val="auto"/>
          <w:sz w:val="24"/>
          <w:lang w:val="en-US" w:eastAsia="zh-CN"/>
        </w:rPr>
        <w:t>4.75</w:t>
      </w:r>
      <w:r>
        <w:rPr>
          <w:rFonts w:hint="eastAsia" w:ascii="Times New Roman" w:hAnsi="Times New Roman" w:eastAsia="宋体" w:cs="宋体"/>
          <w:color w:val="auto"/>
          <w:sz w:val="24"/>
        </w:rPr>
        <w:t>t/a，</w:t>
      </w:r>
      <w:r>
        <w:rPr>
          <w:rFonts w:hint="eastAsia" w:ascii="Times New Roman" w:hAnsi="Times New Roman" w:eastAsia="宋体" w:cs="宋体"/>
          <w:color w:val="auto"/>
          <w:sz w:val="24"/>
          <w:lang w:eastAsia="zh-CN"/>
        </w:rPr>
        <w:t>经全封闭生产车间阻隔后约</w:t>
      </w:r>
      <w:r>
        <w:rPr>
          <w:rFonts w:hint="eastAsia" w:ascii="Times New Roman" w:hAnsi="Times New Roman" w:eastAsia="宋体" w:cs="宋体"/>
          <w:color w:val="auto"/>
          <w:sz w:val="24"/>
          <w:lang w:val="en-US" w:eastAsia="zh-CN"/>
        </w:rPr>
        <w:t>90%</w:t>
      </w:r>
      <w:r>
        <w:rPr>
          <w:rFonts w:hint="eastAsia" w:ascii="Times New Roman" w:hAnsi="Times New Roman" w:eastAsia="宋体" w:cs="宋体"/>
          <w:color w:val="auto"/>
          <w:sz w:val="24"/>
        </w:rPr>
        <w:t>散落在车间内</w:t>
      </w:r>
      <w:r>
        <w:rPr>
          <w:rFonts w:hint="eastAsia" w:ascii="Times New Roman" w:hAnsi="Times New Roman" w:eastAsia="宋体" w:cs="宋体"/>
          <w:color w:val="auto"/>
          <w:sz w:val="24"/>
          <w:lang w:eastAsia="zh-CN"/>
        </w:rPr>
        <w:t>，剩余</w:t>
      </w:r>
      <w:r>
        <w:rPr>
          <w:rFonts w:hint="eastAsia" w:ascii="Times New Roman" w:hAnsi="Times New Roman" w:eastAsia="宋体" w:cs="宋体"/>
          <w:color w:val="auto"/>
          <w:sz w:val="24"/>
          <w:lang w:val="en-US" w:eastAsia="zh-CN"/>
        </w:rPr>
        <w:t>10%通过车间</w:t>
      </w:r>
      <w:r>
        <w:rPr>
          <w:rFonts w:hint="eastAsia" w:ascii="Times New Roman" w:hAnsi="Times New Roman" w:eastAsia="宋体" w:cs="宋体"/>
          <w:color w:val="auto"/>
          <w:sz w:val="24"/>
        </w:rPr>
        <w:t>通风换气系统</w:t>
      </w:r>
      <w:r>
        <w:rPr>
          <w:rFonts w:hint="eastAsia" w:ascii="Times New Roman" w:hAnsi="Times New Roman" w:eastAsia="宋体" w:cs="宋体"/>
          <w:color w:val="auto"/>
          <w:sz w:val="24"/>
          <w:lang w:eastAsia="zh-CN"/>
        </w:rPr>
        <w:t>排出</w:t>
      </w:r>
      <w:r>
        <w:rPr>
          <w:rFonts w:hint="eastAsia" w:ascii="Times New Roman" w:hAnsi="Times New Roman" w:eastAsia="宋体" w:cs="宋体"/>
          <w:color w:val="auto"/>
          <w:sz w:val="24"/>
        </w:rPr>
        <w:t>，</w:t>
      </w:r>
      <w:r>
        <w:rPr>
          <w:rFonts w:hint="eastAsia" w:ascii="Times New Roman" w:hAnsi="Times New Roman" w:eastAsia="宋体" w:cs="宋体"/>
          <w:color w:val="auto"/>
          <w:sz w:val="24"/>
          <w:lang w:eastAsia="zh-CN"/>
        </w:rPr>
        <w:t>无组织粉尘排放量为</w:t>
      </w:r>
      <w:r>
        <w:rPr>
          <w:rFonts w:hint="eastAsia" w:ascii="Times New Roman" w:hAnsi="Times New Roman" w:eastAsia="宋体" w:cs="宋体"/>
          <w:color w:val="auto"/>
          <w:sz w:val="24"/>
          <w:lang w:val="en-US" w:eastAsia="zh-CN"/>
        </w:rPr>
        <w:t>0.48t/a，</w:t>
      </w:r>
      <w:r>
        <w:rPr>
          <w:rFonts w:hint="eastAsia" w:ascii="Times New Roman" w:hAnsi="Times New Roman" w:eastAsia="宋体" w:cs="宋体"/>
          <w:color w:val="auto"/>
          <w:sz w:val="24"/>
          <w:lang w:eastAsia="zh-CN"/>
        </w:rPr>
        <w:t>排放</w:t>
      </w:r>
      <w:r>
        <w:rPr>
          <w:rFonts w:hint="eastAsia" w:ascii="Times New Roman" w:hAnsi="Times New Roman" w:eastAsia="宋体" w:cs="宋体"/>
          <w:color w:val="auto"/>
          <w:sz w:val="24"/>
        </w:rPr>
        <w:t>浓度可满足《大气污染物综合排放标准》（GB16297-1996）标准。</w:t>
      </w:r>
    </w:p>
    <w:p w14:paraId="44F7C3D4">
      <w:pPr>
        <w:adjustRightInd w:val="0"/>
        <w:snapToGrid w:val="0"/>
        <w:spacing w:line="360" w:lineRule="auto"/>
        <w:ind w:firstLine="480" w:firstLineChars="200"/>
        <w:rPr>
          <w:rFonts w:hint="eastAsia" w:ascii="Times New Roman" w:hAnsi="Times New Roman" w:eastAsia="宋体" w:cs="宋体"/>
          <w:b w:val="0"/>
          <w:bCs/>
          <w:color w:val="auto"/>
          <w:sz w:val="24"/>
          <w:lang w:eastAsia="zh-CN"/>
        </w:rPr>
      </w:pPr>
      <w:r>
        <w:rPr>
          <w:rFonts w:hint="eastAsia" w:ascii="Times New Roman" w:hAnsi="Times New Roman" w:eastAsia="宋体" w:cs="宋体"/>
          <w:b w:val="0"/>
          <w:bCs/>
          <w:color w:val="auto"/>
          <w:sz w:val="24"/>
          <w:lang w:eastAsia="zh-CN"/>
        </w:rPr>
        <w:t>（</w:t>
      </w:r>
      <w:r>
        <w:rPr>
          <w:rFonts w:hint="eastAsia" w:ascii="Times New Roman" w:hAnsi="Times New Roman" w:eastAsia="宋体" w:cs="宋体"/>
          <w:b w:val="0"/>
          <w:bCs/>
          <w:color w:val="auto"/>
          <w:sz w:val="24"/>
          <w:lang w:val="en-US" w:eastAsia="zh-CN"/>
        </w:rPr>
        <w:t>3</w:t>
      </w:r>
      <w:r>
        <w:rPr>
          <w:rFonts w:hint="eastAsia" w:ascii="Times New Roman" w:hAnsi="Times New Roman" w:eastAsia="宋体" w:cs="宋体"/>
          <w:b w:val="0"/>
          <w:bCs/>
          <w:color w:val="auto"/>
          <w:sz w:val="24"/>
          <w:lang w:eastAsia="zh-CN"/>
        </w:rPr>
        <w:t>）厌氧发酵系统恶臭</w:t>
      </w:r>
    </w:p>
    <w:p w14:paraId="6B193161">
      <w:pPr>
        <w:adjustRightInd w:val="0"/>
        <w:snapToGrid w:val="0"/>
        <w:spacing w:line="360" w:lineRule="auto"/>
        <w:ind w:firstLine="480" w:firstLineChars="200"/>
        <w:rPr>
          <w:rFonts w:hint="eastAsia" w:ascii="Times New Roman" w:hAnsi="Times New Roman" w:eastAsia="宋体" w:cs="宋体"/>
          <w:color w:val="auto"/>
          <w:sz w:val="24"/>
          <w:lang w:val="en-US" w:eastAsia="zh-CN"/>
        </w:rPr>
      </w:pPr>
      <w:bookmarkStart w:id="59" w:name="OLE_LINK238"/>
      <w:r>
        <w:rPr>
          <w:rFonts w:hint="eastAsia" w:ascii="Times New Roman" w:hAnsi="Times New Roman" w:eastAsia="宋体" w:cs="宋体"/>
          <w:color w:val="auto"/>
          <w:sz w:val="24"/>
          <w:lang w:val="en-US" w:eastAsia="zh-CN"/>
        </w:rPr>
        <w:t>恶臭气体经采取措施后，只有</w:t>
      </w:r>
      <w:r>
        <w:rPr>
          <w:rFonts w:ascii="Times New Roman" w:hAnsi="Times New Roman" w:eastAsia="宋体" w:cs="宋体"/>
          <w:color w:val="auto"/>
          <w:sz w:val="24"/>
        </w:rPr>
        <w:t>极少量气体无组织排放</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对周围环境产生的影响较小；沼渣沼液输送管线采用固定式密闭的管道输送，可防止输送过程臭味逸散，施肥后的地块马上进行翻耕，恶臭对周围环境的影响时间将较短，不会对周边环境产生较大影响。</w:t>
      </w:r>
    </w:p>
    <w:bookmarkEnd w:id="59"/>
    <w:p w14:paraId="74BFC387">
      <w:pPr>
        <w:adjustRightInd w:val="0"/>
        <w:snapToGrid w:val="0"/>
        <w:spacing w:line="360" w:lineRule="auto"/>
        <w:ind w:firstLine="480" w:firstLineChars="200"/>
        <w:rPr>
          <w:rFonts w:hint="default" w:ascii="Times New Roman" w:hAnsi="Times New Roman" w:eastAsia="宋体" w:cs="宋体"/>
          <w:b w:val="0"/>
          <w:bCs/>
          <w:color w:val="auto"/>
          <w:sz w:val="24"/>
          <w:lang w:val="en-US" w:eastAsia="zh-CN"/>
        </w:rPr>
      </w:pPr>
      <w:r>
        <w:rPr>
          <w:rFonts w:hint="eastAsia" w:ascii="Times New Roman" w:hAnsi="Times New Roman" w:eastAsia="宋体" w:cs="宋体"/>
          <w:b w:val="0"/>
          <w:bCs/>
          <w:color w:val="auto"/>
          <w:sz w:val="24"/>
          <w:lang w:eastAsia="zh-CN"/>
        </w:rPr>
        <w:t>（</w:t>
      </w:r>
      <w:r>
        <w:rPr>
          <w:rFonts w:hint="eastAsia" w:ascii="Times New Roman" w:hAnsi="Times New Roman" w:eastAsia="宋体" w:cs="宋体"/>
          <w:b w:val="0"/>
          <w:bCs/>
          <w:color w:val="auto"/>
          <w:sz w:val="24"/>
          <w:lang w:val="en-US" w:eastAsia="zh-CN"/>
        </w:rPr>
        <w:t>4</w:t>
      </w:r>
      <w:r>
        <w:rPr>
          <w:rFonts w:hint="eastAsia" w:ascii="Times New Roman" w:hAnsi="Times New Roman" w:eastAsia="宋体" w:cs="宋体"/>
          <w:b w:val="0"/>
          <w:bCs/>
          <w:color w:val="auto"/>
          <w:sz w:val="24"/>
          <w:lang w:eastAsia="zh-CN"/>
        </w:rPr>
        <w:t>）</w:t>
      </w:r>
      <w:r>
        <w:rPr>
          <w:rFonts w:hint="eastAsia" w:ascii="Times New Roman" w:hAnsi="Times New Roman" w:eastAsia="宋体" w:cs="宋体"/>
          <w:b w:val="0"/>
          <w:bCs/>
          <w:color w:val="auto"/>
          <w:sz w:val="24"/>
          <w:lang w:val="en-US" w:eastAsia="zh-CN"/>
        </w:rPr>
        <w:t>沼气燃烧废气</w:t>
      </w:r>
    </w:p>
    <w:p w14:paraId="1CCB47F2">
      <w:pPr>
        <w:adjustRightInd w:val="0"/>
        <w:snapToGrid w:val="0"/>
        <w:spacing w:line="360" w:lineRule="auto"/>
        <w:ind w:firstLine="480" w:firstLineChars="200"/>
        <w:rPr>
          <w:rFonts w:hint="eastAsia" w:ascii="Times New Roman" w:hAnsi="Times New Roman" w:eastAsia="宋体" w:cs="宋体"/>
          <w:color w:val="auto"/>
          <w:sz w:val="24"/>
          <w:lang w:eastAsia="zh-CN"/>
        </w:rPr>
      </w:pPr>
      <w:r>
        <w:rPr>
          <w:rFonts w:hint="eastAsia" w:ascii="Times New Roman" w:hAnsi="Times New Roman" w:eastAsia="宋体" w:cs="宋体"/>
          <w:color w:val="auto"/>
          <w:sz w:val="24"/>
          <w:szCs w:val="24"/>
          <w:lang w:eastAsia="zh-CN"/>
        </w:rPr>
        <w:t>本项目</w:t>
      </w:r>
      <w:r>
        <w:rPr>
          <w:rFonts w:hint="eastAsia" w:ascii="Times New Roman" w:hAnsi="Times New Roman" w:eastAsia="宋体" w:cs="宋体"/>
          <w:color w:val="auto"/>
          <w:sz w:val="24"/>
          <w:lang w:eastAsia="zh-CN"/>
        </w:rPr>
        <w:t>黑膜</w:t>
      </w:r>
      <w:r>
        <w:rPr>
          <w:rFonts w:hint="eastAsia" w:ascii="Times New Roman" w:hAnsi="Times New Roman" w:eastAsia="宋体" w:cs="宋体"/>
          <w:color w:val="auto"/>
          <w:sz w:val="24"/>
          <w:szCs w:val="24"/>
          <w:lang w:eastAsia="zh-CN"/>
        </w:rPr>
        <w:t>厌氧发酵系统</w:t>
      </w:r>
      <w:r>
        <w:rPr>
          <w:rFonts w:ascii="Times New Roman" w:hAnsi="Times New Roman" w:eastAsia="宋体" w:cs="宋体"/>
          <w:color w:val="auto"/>
          <w:sz w:val="24"/>
          <w:szCs w:val="24"/>
        </w:rPr>
        <w:t>产生的沼气经</w:t>
      </w:r>
      <w:r>
        <w:rPr>
          <w:rFonts w:hint="eastAsia" w:ascii="Times New Roman" w:hAnsi="Times New Roman" w:eastAsia="宋体" w:cs="宋体"/>
          <w:color w:val="auto"/>
          <w:sz w:val="24"/>
          <w:szCs w:val="24"/>
          <w:lang w:val="en-US" w:eastAsia="zh-CN"/>
        </w:rPr>
        <w:t>净化处理后采用</w:t>
      </w:r>
      <w:r>
        <w:rPr>
          <w:rFonts w:ascii="Times New Roman" w:hAnsi="Times New Roman" w:eastAsia="宋体" w:cs="宋体"/>
          <w:color w:val="auto"/>
          <w:sz w:val="24"/>
          <w:szCs w:val="24"/>
        </w:rPr>
        <w:t>火炬</w:t>
      </w:r>
      <w:r>
        <w:rPr>
          <w:rFonts w:hint="eastAsia" w:ascii="Times New Roman" w:hAnsi="Times New Roman" w:eastAsia="宋体" w:cs="宋体"/>
          <w:color w:val="auto"/>
          <w:sz w:val="24"/>
          <w:szCs w:val="24"/>
          <w:lang w:val="en-US" w:eastAsia="zh-CN"/>
        </w:rPr>
        <w:t>点燃放散</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污染物主要为</w:t>
      </w:r>
      <w:r>
        <w:rPr>
          <w:rFonts w:hint="default" w:ascii="Times New Roman" w:hAnsi="Times New Roman" w:eastAsia="宋体" w:cs="宋体"/>
          <w:color w:val="auto"/>
          <w:sz w:val="24"/>
          <w:szCs w:val="24"/>
          <w:lang w:val="en-US" w:eastAsia="zh-CN"/>
        </w:rPr>
        <w:t>颗粒物、SO</w:t>
      </w:r>
      <w:r>
        <w:rPr>
          <w:rFonts w:hint="default" w:ascii="Times New Roman" w:hAnsi="Times New Roman" w:eastAsia="宋体" w:cs="宋体"/>
          <w:color w:val="auto"/>
          <w:sz w:val="24"/>
          <w:szCs w:val="24"/>
          <w:vertAlign w:val="subscript"/>
          <w:lang w:val="en-US" w:eastAsia="zh-CN"/>
        </w:rPr>
        <w:t>2</w:t>
      </w:r>
      <w:r>
        <w:rPr>
          <w:rFonts w:hint="default" w:ascii="Times New Roman" w:hAnsi="Times New Roman" w:eastAsia="宋体" w:cs="宋体"/>
          <w:color w:val="auto"/>
          <w:sz w:val="24"/>
          <w:szCs w:val="24"/>
          <w:lang w:val="en-US" w:eastAsia="zh-CN"/>
        </w:rPr>
        <w:t>及NO</w:t>
      </w:r>
      <w:r>
        <w:rPr>
          <w:rFonts w:hint="default" w:ascii="Times New Roman" w:hAnsi="Times New Roman" w:eastAsia="宋体" w:cs="宋体"/>
          <w:color w:val="auto"/>
          <w:sz w:val="24"/>
          <w:szCs w:val="24"/>
          <w:vertAlign w:val="subscript"/>
          <w:lang w:val="en-US" w:eastAsia="zh-CN"/>
        </w:rPr>
        <w:t>X</w:t>
      </w:r>
      <w:r>
        <w:rPr>
          <w:rFonts w:hint="eastAsia" w:ascii="Times New Roman" w:hAnsi="Times New Roman" w:eastAsia="宋体" w:cs="宋体"/>
          <w:color w:val="auto"/>
          <w:sz w:val="24"/>
          <w:szCs w:val="24"/>
          <w:vertAlign w:val="baseline"/>
          <w:lang w:val="en-US" w:eastAsia="zh-CN"/>
        </w:rPr>
        <w:t>，产生量较小，对周围环境产生的影响较小</w:t>
      </w:r>
      <w:r>
        <w:rPr>
          <w:rFonts w:hint="eastAsia" w:ascii="Times New Roman" w:hAnsi="Times New Roman" w:eastAsia="宋体" w:cs="宋体"/>
          <w:color w:val="auto"/>
          <w:sz w:val="24"/>
          <w:lang w:eastAsia="zh-CN"/>
        </w:rPr>
        <w:t>。</w:t>
      </w:r>
    </w:p>
    <w:p w14:paraId="4EEC2728">
      <w:pPr>
        <w:adjustRightInd w:val="0"/>
        <w:snapToGrid w:val="0"/>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rPr>
        <w:t>综上，经采取上述措施后项目产生废气可做到达标排放，不会对周围空气造成污染，</w:t>
      </w:r>
      <w:r>
        <w:rPr>
          <w:rFonts w:ascii="Times New Roman" w:hAnsi="Times New Roman" w:eastAsia="宋体" w:cs="宋体"/>
          <w:color w:val="auto"/>
          <w:sz w:val="24"/>
        </w:rPr>
        <w:t>项目废气治理措施可行</w:t>
      </w:r>
      <w:r>
        <w:rPr>
          <w:rFonts w:hint="eastAsia" w:ascii="Times New Roman" w:hAnsi="Times New Roman" w:eastAsia="宋体" w:cs="宋体"/>
          <w:color w:val="auto"/>
          <w:sz w:val="24"/>
          <w:lang w:val="en-US" w:eastAsia="zh-CN"/>
        </w:rPr>
        <w:t>。</w:t>
      </w:r>
    </w:p>
    <w:p w14:paraId="72BB2752">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5.4.2、废气污染治理措施</w:t>
      </w:r>
    </w:p>
    <w:p w14:paraId="415E9A28">
      <w:pPr>
        <w:spacing w:line="360" w:lineRule="auto"/>
        <w:ind w:firstLine="480" w:firstLineChars="200"/>
        <w:rPr>
          <w:rFonts w:hint="default" w:ascii="Times New Roman" w:hAnsi="Times New Roman" w:eastAsia="宋体" w:cs="宋体"/>
          <w:color w:val="auto"/>
          <w:sz w:val="24"/>
        </w:rPr>
      </w:pPr>
      <w:r>
        <w:rPr>
          <w:rFonts w:hint="default" w:ascii="Times New Roman" w:hAnsi="Times New Roman" w:eastAsia="宋体" w:cs="宋体"/>
          <w:color w:val="auto"/>
          <w:sz w:val="24"/>
        </w:rPr>
        <w:t>本项目产生的废水主要有清洗废水、生产工艺废水、生活污水、锅炉排水、软化水系统排水。</w:t>
      </w:r>
    </w:p>
    <w:p w14:paraId="78544CAD">
      <w:pPr>
        <w:spacing w:line="360" w:lineRule="auto"/>
        <w:ind w:firstLine="480" w:firstLineChars="200"/>
        <w:rPr>
          <w:rFonts w:hint="default" w:ascii="Times New Roman" w:hAnsi="Times New Roman" w:eastAsia="宋体" w:cs="宋体"/>
          <w:color w:val="auto"/>
          <w:sz w:val="24"/>
        </w:rPr>
      </w:pPr>
      <w:r>
        <w:rPr>
          <w:rFonts w:hint="default" w:ascii="Times New Roman" w:hAnsi="Times New Roman" w:eastAsia="宋体" w:cs="宋体"/>
          <w:color w:val="auto"/>
          <w:sz w:val="24"/>
          <w:lang w:eastAsia="zh-CN"/>
        </w:rPr>
        <w:t>（</w:t>
      </w:r>
      <w:r>
        <w:rPr>
          <w:rFonts w:hint="default" w:ascii="Times New Roman" w:hAnsi="Times New Roman" w:eastAsia="宋体" w:cs="宋体"/>
          <w:color w:val="auto"/>
          <w:sz w:val="24"/>
          <w:lang w:val="en-US" w:eastAsia="zh-CN"/>
        </w:rPr>
        <w:t>1</w:t>
      </w:r>
      <w:r>
        <w:rPr>
          <w:rFonts w:hint="default" w:ascii="Times New Roman" w:hAnsi="Times New Roman" w:eastAsia="宋体" w:cs="宋体"/>
          <w:color w:val="auto"/>
          <w:sz w:val="24"/>
          <w:lang w:eastAsia="zh-CN"/>
        </w:rPr>
        <w:t>）</w:t>
      </w:r>
      <w:r>
        <w:rPr>
          <w:rFonts w:hint="default" w:ascii="Times New Roman" w:hAnsi="Times New Roman" w:eastAsia="宋体" w:cs="宋体"/>
          <w:color w:val="auto"/>
          <w:sz w:val="24"/>
        </w:rPr>
        <w:t>清洗废水</w:t>
      </w:r>
    </w:p>
    <w:p w14:paraId="2C793E97">
      <w:pPr>
        <w:spacing w:line="360" w:lineRule="auto"/>
        <w:ind w:firstLine="480" w:firstLineChars="200"/>
        <w:rPr>
          <w:rFonts w:hint="default" w:ascii="Times New Roman" w:hAnsi="Times New Roman" w:eastAsia="宋体" w:cs="宋体"/>
          <w:bCs/>
          <w:color w:val="auto"/>
          <w:sz w:val="24"/>
        </w:rPr>
      </w:pPr>
      <w:r>
        <w:rPr>
          <w:rFonts w:hint="default" w:ascii="Times New Roman" w:hAnsi="Times New Roman" w:eastAsia="宋体" w:cs="宋体"/>
          <w:color w:val="auto"/>
          <w:sz w:val="24"/>
        </w:rPr>
        <w:t>马铃薯清洗废水经循环水池沉淀处理后循环回用，</w:t>
      </w:r>
      <w:r>
        <w:rPr>
          <w:rFonts w:hint="default" w:ascii="Times New Roman" w:hAnsi="Times New Roman" w:eastAsia="宋体" w:cs="宋体"/>
          <w:bCs/>
          <w:color w:val="auto"/>
          <w:sz w:val="24"/>
        </w:rPr>
        <w:t>每年生产期结束后沉淀池内废水</w:t>
      </w:r>
      <w:r>
        <w:rPr>
          <w:rFonts w:hint="default" w:ascii="Times New Roman" w:hAnsi="Times New Roman" w:eastAsia="宋体" w:cs="宋体"/>
          <w:bCs/>
          <w:color w:val="auto"/>
          <w:sz w:val="24"/>
          <w:lang w:val="en-US" w:eastAsia="zh-CN"/>
        </w:rPr>
        <w:t>进入黑膜厌氧发酵系统处理还田。</w:t>
      </w:r>
    </w:p>
    <w:p w14:paraId="3807DC81">
      <w:pPr>
        <w:spacing w:line="360" w:lineRule="auto"/>
        <w:ind w:firstLine="480" w:firstLineChars="200"/>
        <w:rPr>
          <w:rFonts w:hint="default" w:ascii="Times New Roman" w:hAnsi="Times New Roman" w:eastAsia="宋体" w:cs="宋体"/>
          <w:color w:val="auto"/>
          <w:sz w:val="24"/>
        </w:rPr>
      </w:pPr>
      <w:r>
        <w:rPr>
          <w:rFonts w:hint="default" w:ascii="Times New Roman" w:hAnsi="Times New Roman" w:eastAsia="宋体" w:cs="宋体"/>
          <w:color w:val="auto"/>
          <w:sz w:val="24"/>
          <w:lang w:eastAsia="zh-CN"/>
        </w:rPr>
        <w:t>（</w:t>
      </w:r>
      <w:r>
        <w:rPr>
          <w:rFonts w:hint="default" w:ascii="Times New Roman" w:hAnsi="Times New Roman" w:eastAsia="宋体" w:cs="宋体"/>
          <w:color w:val="auto"/>
          <w:sz w:val="24"/>
          <w:lang w:val="en-US" w:eastAsia="zh-CN"/>
        </w:rPr>
        <w:t>2</w:t>
      </w:r>
      <w:r>
        <w:rPr>
          <w:rFonts w:hint="default" w:ascii="Times New Roman" w:hAnsi="Times New Roman" w:eastAsia="宋体" w:cs="宋体"/>
          <w:color w:val="auto"/>
          <w:sz w:val="24"/>
          <w:lang w:eastAsia="zh-CN"/>
        </w:rPr>
        <w:t>）</w:t>
      </w:r>
      <w:r>
        <w:rPr>
          <w:rFonts w:hint="default" w:ascii="Times New Roman" w:hAnsi="Times New Roman" w:eastAsia="宋体" w:cs="宋体"/>
          <w:color w:val="auto"/>
          <w:sz w:val="24"/>
        </w:rPr>
        <w:t>生产工艺废水</w:t>
      </w:r>
    </w:p>
    <w:p w14:paraId="373292FF">
      <w:pPr>
        <w:spacing w:line="360" w:lineRule="auto"/>
        <w:ind w:firstLine="480" w:firstLineChars="200"/>
        <w:rPr>
          <w:rFonts w:hint="default" w:ascii="Times New Roman" w:hAnsi="Times New Roman" w:eastAsia="宋体" w:cs="宋体"/>
          <w:color w:val="auto"/>
          <w:sz w:val="24"/>
        </w:rPr>
      </w:pPr>
      <w:r>
        <w:rPr>
          <w:rFonts w:hint="default" w:ascii="Times New Roman" w:hAnsi="Times New Roman" w:eastAsia="宋体" w:cs="宋体"/>
          <w:color w:val="auto"/>
          <w:sz w:val="24"/>
        </w:rPr>
        <w:t>项目生产工艺废水主要污染物为：COD、BOD</w:t>
      </w:r>
      <w:r>
        <w:rPr>
          <w:rFonts w:hint="default" w:ascii="Times New Roman" w:hAnsi="Times New Roman" w:eastAsia="宋体" w:cs="宋体"/>
          <w:color w:val="auto"/>
          <w:sz w:val="24"/>
          <w:vertAlign w:val="subscript"/>
        </w:rPr>
        <w:t>5</w:t>
      </w:r>
      <w:r>
        <w:rPr>
          <w:rFonts w:hint="default" w:ascii="Times New Roman" w:hAnsi="Times New Roman" w:eastAsia="宋体" w:cs="宋体"/>
          <w:color w:val="auto"/>
          <w:sz w:val="24"/>
        </w:rPr>
        <w:t>、SS、总氮、氨氮、总磷</w:t>
      </w:r>
      <w:r>
        <w:rPr>
          <w:rFonts w:hint="default" w:ascii="Times New Roman" w:hAnsi="Times New Roman" w:eastAsia="宋体" w:cs="宋体"/>
          <w:color w:val="auto"/>
          <w:sz w:val="24"/>
          <w:lang w:eastAsia="zh-CN"/>
        </w:rPr>
        <w:t>等，</w:t>
      </w:r>
      <w:r>
        <w:rPr>
          <w:rFonts w:hint="default" w:ascii="Times New Roman" w:hAnsi="Times New Roman" w:eastAsia="宋体" w:cs="宋体"/>
          <w:color w:val="auto"/>
          <w:sz w:val="24"/>
          <w:szCs w:val="24"/>
          <w:lang w:val="en-US" w:eastAsia="zh-CN"/>
        </w:rPr>
        <w:t>进入黑膜厌氧发酵系统处理，处理</w:t>
      </w:r>
      <w:r>
        <w:rPr>
          <w:rFonts w:hint="eastAsia" w:ascii="Times New Roman" w:hAnsi="Times New Roman" w:eastAsia="宋体" w:cs="宋体"/>
          <w:color w:val="auto"/>
          <w:sz w:val="24"/>
          <w:szCs w:val="24"/>
          <w:lang w:val="en-US" w:eastAsia="zh-CN"/>
        </w:rPr>
        <w:t>达标</w:t>
      </w:r>
      <w:r>
        <w:rPr>
          <w:rFonts w:hint="default" w:ascii="Times New Roman" w:hAnsi="Times New Roman" w:eastAsia="宋体" w:cs="宋体"/>
          <w:color w:val="auto"/>
          <w:sz w:val="24"/>
          <w:szCs w:val="24"/>
          <w:lang w:val="en-US" w:eastAsia="zh-CN"/>
        </w:rPr>
        <w:t>后的沼液</w:t>
      </w:r>
      <w:r>
        <w:rPr>
          <w:rFonts w:hint="default" w:ascii="Times New Roman" w:hAnsi="Times New Roman" w:eastAsia="宋体" w:cs="宋体"/>
          <w:color w:val="auto"/>
          <w:sz w:val="24"/>
          <w:szCs w:val="24"/>
        </w:rPr>
        <w:t>满足</w:t>
      </w:r>
      <w:r>
        <w:rPr>
          <w:rFonts w:hint="eastAsia" w:ascii="Times New Roman" w:hAnsi="Times New Roman" w:eastAsia="宋体" w:cs="宋体"/>
          <w:color w:val="auto"/>
          <w:sz w:val="24"/>
          <w:szCs w:val="24"/>
          <w:lang w:val="en-US" w:eastAsia="zh-CN"/>
        </w:rPr>
        <w:t>相关</w:t>
      </w:r>
      <w:r>
        <w:rPr>
          <w:rFonts w:hint="default" w:ascii="Times New Roman" w:hAnsi="Times New Roman" w:eastAsia="宋体" w:cs="宋体"/>
          <w:color w:val="auto"/>
          <w:spacing w:val="-1"/>
          <w:sz w:val="24"/>
          <w:szCs w:val="24"/>
          <w:lang w:val="en-US" w:eastAsia="zh-CN"/>
        </w:rPr>
        <w:t>标准</w:t>
      </w:r>
      <w:r>
        <w:rPr>
          <w:rFonts w:hint="default" w:ascii="Times New Roman" w:hAnsi="Times New Roman" w:eastAsia="宋体" w:cs="宋体"/>
          <w:color w:val="auto"/>
          <w:spacing w:val="-1"/>
          <w:sz w:val="24"/>
          <w:szCs w:val="24"/>
        </w:rPr>
        <w:t>后施</w:t>
      </w:r>
      <w:r>
        <w:rPr>
          <w:rFonts w:hint="default" w:ascii="Times New Roman" w:hAnsi="Times New Roman" w:eastAsia="宋体" w:cs="宋体"/>
          <w:color w:val="auto"/>
          <w:spacing w:val="-2"/>
          <w:sz w:val="24"/>
          <w:szCs w:val="24"/>
        </w:rPr>
        <w:t>用于农田</w:t>
      </w:r>
      <w:r>
        <w:rPr>
          <w:rFonts w:hint="default" w:ascii="Times New Roman" w:hAnsi="Times New Roman" w:eastAsia="宋体" w:cs="宋体"/>
          <w:color w:val="auto"/>
          <w:sz w:val="24"/>
        </w:rPr>
        <w:t>。</w:t>
      </w:r>
    </w:p>
    <w:p w14:paraId="31A63633">
      <w:pPr>
        <w:spacing w:line="360" w:lineRule="auto"/>
        <w:ind w:firstLine="480" w:firstLineChars="200"/>
        <w:rPr>
          <w:rFonts w:hint="default" w:ascii="Times New Roman" w:hAnsi="Times New Roman" w:eastAsia="宋体" w:cs="宋体"/>
          <w:color w:val="auto"/>
          <w:sz w:val="24"/>
        </w:rPr>
      </w:pPr>
      <w:r>
        <w:rPr>
          <w:rFonts w:hint="default" w:ascii="Times New Roman" w:hAnsi="Times New Roman" w:eastAsia="宋体" w:cs="宋体"/>
          <w:color w:val="auto"/>
          <w:sz w:val="24"/>
          <w:lang w:eastAsia="zh-CN"/>
        </w:rPr>
        <w:t>（</w:t>
      </w:r>
      <w:r>
        <w:rPr>
          <w:rFonts w:hint="default" w:ascii="Times New Roman" w:hAnsi="Times New Roman" w:eastAsia="宋体" w:cs="宋体"/>
          <w:color w:val="auto"/>
          <w:sz w:val="24"/>
          <w:lang w:val="en-US" w:eastAsia="zh-CN"/>
        </w:rPr>
        <w:t>3</w:t>
      </w:r>
      <w:r>
        <w:rPr>
          <w:rFonts w:hint="default" w:ascii="Times New Roman" w:hAnsi="Times New Roman" w:eastAsia="宋体" w:cs="宋体"/>
          <w:color w:val="auto"/>
          <w:sz w:val="24"/>
          <w:lang w:eastAsia="zh-CN"/>
        </w:rPr>
        <w:t>）</w:t>
      </w:r>
      <w:r>
        <w:rPr>
          <w:rFonts w:hint="default" w:ascii="Times New Roman" w:hAnsi="Times New Roman" w:eastAsia="宋体" w:cs="宋体"/>
          <w:color w:val="auto"/>
          <w:sz w:val="24"/>
        </w:rPr>
        <w:t>锅炉排水</w:t>
      </w:r>
    </w:p>
    <w:p w14:paraId="255E6D13">
      <w:pPr>
        <w:spacing w:line="360" w:lineRule="auto"/>
        <w:ind w:firstLine="480" w:firstLineChars="200"/>
        <w:rPr>
          <w:rFonts w:hint="default" w:ascii="Times New Roman" w:hAnsi="Times New Roman" w:eastAsia="宋体" w:cs="宋体"/>
          <w:color w:val="auto"/>
          <w:sz w:val="24"/>
        </w:rPr>
      </w:pPr>
      <w:r>
        <w:rPr>
          <w:rFonts w:hint="default" w:ascii="Times New Roman" w:hAnsi="Times New Roman" w:eastAsia="宋体" w:cs="宋体"/>
          <w:color w:val="auto"/>
          <w:sz w:val="24"/>
        </w:rPr>
        <w:t>锅炉定期排污水量为</w:t>
      </w:r>
      <w:r>
        <w:rPr>
          <w:rFonts w:hint="default" w:ascii="Times New Roman" w:hAnsi="Times New Roman" w:eastAsia="宋体" w:cs="宋体"/>
          <w:color w:val="auto"/>
          <w:sz w:val="24"/>
          <w:lang w:val="en-US" w:eastAsia="zh-CN"/>
        </w:rPr>
        <w:t>4</w:t>
      </w:r>
      <w:r>
        <w:rPr>
          <w:rFonts w:hint="default" w:ascii="Times New Roman" w:hAnsi="Times New Roman" w:eastAsia="宋体" w:cs="宋体"/>
          <w:color w:val="auto"/>
          <w:sz w:val="24"/>
        </w:rPr>
        <w:t>m</w:t>
      </w:r>
      <w:r>
        <w:rPr>
          <w:rFonts w:hint="default" w:ascii="Times New Roman" w:hAnsi="Times New Roman" w:eastAsia="宋体" w:cs="宋体"/>
          <w:color w:val="auto"/>
          <w:sz w:val="24"/>
          <w:vertAlign w:val="superscript"/>
        </w:rPr>
        <w:t>3</w:t>
      </w:r>
      <w:r>
        <w:rPr>
          <w:rFonts w:hint="default" w:ascii="Times New Roman" w:hAnsi="Times New Roman" w:eastAsia="宋体" w:cs="宋体"/>
          <w:color w:val="auto"/>
          <w:sz w:val="24"/>
        </w:rPr>
        <w:t>/d，用于厂区洒水抑尘</w:t>
      </w:r>
      <w:r>
        <w:rPr>
          <w:rFonts w:hint="default" w:ascii="Times New Roman" w:hAnsi="Times New Roman" w:eastAsia="宋体" w:cs="宋体"/>
          <w:color w:val="auto"/>
          <w:sz w:val="24"/>
          <w:lang w:val="en-US" w:eastAsia="zh-CN"/>
        </w:rPr>
        <w:t>或马铃薯清洗</w:t>
      </w:r>
      <w:r>
        <w:rPr>
          <w:rFonts w:hint="default" w:ascii="Times New Roman" w:hAnsi="Times New Roman" w:eastAsia="宋体" w:cs="宋体"/>
          <w:color w:val="auto"/>
          <w:sz w:val="24"/>
        </w:rPr>
        <w:t>，不外排。</w:t>
      </w:r>
    </w:p>
    <w:p w14:paraId="1DFBBC32">
      <w:pPr>
        <w:spacing w:line="360" w:lineRule="auto"/>
        <w:ind w:firstLine="480" w:firstLineChars="200"/>
        <w:rPr>
          <w:rFonts w:hint="default" w:ascii="Times New Roman" w:hAnsi="Times New Roman" w:eastAsia="宋体" w:cs="宋体"/>
          <w:color w:val="auto"/>
          <w:sz w:val="24"/>
        </w:rPr>
      </w:pPr>
      <w:r>
        <w:rPr>
          <w:rFonts w:hint="default" w:ascii="Times New Roman" w:hAnsi="Times New Roman" w:eastAsia="宋体" w:cs="宋体"/>
          <w:color w:val="auto"/>
          <w:sz w:val="24"/>
          <w:lang w:eastAsia="zh-CN"/>
        </w:rPr>
        <w:t>（</w:t>
      </w:r>
      <w:r>
        <w:rPr>
          <w:rFonts w:hint="default" w:ascii="Times New Roman" w:hAnsi="Times New Roman" w:eastAsia="宋体" w:cs="宋体"/>
          <w:color w:val="auto"/>
          <w:sz w:val="24"/>
          <w:lang w:val="en-US" w:eastAsia="zh-CN"/>
        </w:rPr>
        <w:t>4</w:t>
      </w:r>
      <w:r>
        <w:rPr>
          <w:rFonts w:hint="default" w:ascii="Times New Roman" w:hAnsi="Times New Roman" w:eastAsia="宋体" w:cs="宋体"/>
          <w:color w:val="auto"/>
          <w:sz w:val="24"/>
          <w:lang w:eastAsia="zh-CN"/>
        </w:rPr>
        <w:t>）</w:t>
      </w:r>
      <w:r>
        <w:rPr>
          <w:rFonts w:hint="default" w:ascii="Times New Roman" w:hAnsi="Times New Roman" w:eastAsia="宋体" w:cs="宋体"/>
          <w:color w:val="auto"/>
          <w:sz w:val="24"/>
        </w:rPr>
        <w:t>软水制备废水</w:t>
      </w:r>
    </w:p>
    <w:p w14:paraId="582667A7">
      <w:pPr>
        <w:spacing w:line="360" w:lineRule="auto"/>
        <w:ind w:firstLine="480" w:firstLineChars="200"/>
        <w:rPr>
          <w:rFonts w:hint="default" w:ascii="Times New Roman" w:hAnsi="Times New Roman" w:eastAsia="宋体" w:cs="宋体"/>
          <w:color w:val="auto"/>
          <w:sz w:val="24"/>
        </w:rPr>
      </w:pPr>
      <w:r>
        <w:rPr>
          <w:rFonts w:hint="default" w:ascii="Times New Roman" w:hAnsi="Times New Roman" w:eastAsia="宋体" w:cs="宋体"/>
          <w:color w:val="auto"/>
          <w:sz w:val="24"/>
        </w:rPr>
        <w:t>项目软水制备过程中</w:t>
      </w:r>
      <w:r>
        <w:rPr>
          <w:rFonts w:hint="eastAsia" w:ascii="Times New Roman" w:hAnsi="Times New Roman" w:eastAsia="宋体" w:cs="宋体"/>
          <w:color w:val="auto"/>
          <w:sz w:val="24"/>
          <w:lang w:eastAsia="zh-CN"/>
        </w:rPr>
        <w:t>产生的</w:t>
      </w:r>
      <w:r>
        <w:rPr>
          <w:rFonts w:hint="default" w:ascii="Times New Roman" w:hAnsi="Times New Roman" w:eastAsia="宋体" w:cs="宋体"/>
          <w:color w:val="auto"/>
          <w:sz w:val="24"/>
        </w:rPr>
        <w:t>软化排水和反冲洗废水</w:t>
      </w:r>
      <w:r>
        <w:rPr>
          <w:rFonts w:hint="default" w:ascii="Times New Roman" w:hAnsi="Times New Roman" w:eastAsia="宋体" w:cs="宋体"/>
          <w:color w:val="auto"/>
          <w:sz w:val="24"/>
          <w:lang w:val="en-US" w:eastAsia="zh-CN"/>
        </w:rPr>
        <w:t>量为8.7</w:t>
      </w:r>
      <w:r>
        <w:rPr>
          <w:rFonts w:hint="default" w:ascii="Times New Roman" w:hAnsi="Times New Roman" w:eastAsia="宋体" w:cs="宋体"/>
          <w:color w:val="auto"/>
          <w:sz w:val="24"/>
        </w:rPr>
        <w:t>m</w:t>
      </w:r>
      <w:r>
        <w:rPr>
          <w:rFonts w:hint="default" w:ascii="Times New Roman" w:hAnsi="Times New Roman" w:eastAsia="宋体" w:cs="宋体"/>
          <w:color w:val="auto"/>
          <w:sz w:val="24"/>
          <w:vertAlign w:val="superscript"/>
        </w:rPr>
        <w:t>3</w:t>
      </w:r>
      <w:r>
        <w:rPr>
          <w:rFonts w:hint="default" w:ascii="Times New Roman" w:hAnsi="Times New Roman" w:eastAsia="宋体" w:cs="宋体"/>
          <w:color w:val="auto"/>
          <w:sz w:val="24"/>
        </w:rPr>
        <w:t>/d</w:t>
      </w:r>
      <w:r>
        <w:rPr>
          <w:rFonts w:hint="default" w:ascii="Times New Roman" w:hAnsi="Times New Roman" w:eastAsia="宋体" w:cs="宋体"/>
          <w:color w:val="auto"/>
          <w:sz w:val="24"/>
          <w:lang w:val="en-US" w:eastAsia="zh-CN"/>
        </w:rPr>
        <w:t>，</w:t>
      </w:r>
      <w:r>
        <w:rPr>
          <w:rFonts w:hint="default" w:ascii="Times New Roman" w:hAnsi="Times New Roman" w:eastAsia="宋体" w:cs="宋体"/>
          <w:color w:val="auto"/>
          <w:sz w:val="24"/>
        </w:rPr>
        <w:t>用于马铃薯清洗</w:t>
      </w:r>
      <w:r>
        <w:rPr>
          <w:rFonts w:hint="default" w:ascii="Times New Roman" w:hAnsi="Times New Roman" w:eastAsia="宋体" w:cs="宋体"/>
          <w:color w:val="auto"/>
          <w:sz w:val="24"/>
          <w:lang w:eastAsia="zh-CN"/>
        </w:rPr>
        <w:t>或</w:t>
      </w:r>
      <w:r>
        <w:rPr>
          <w:rFonts w:hint="default" w:ascii="Times New Roman" w:hAnsi="Times New Roman" w:eastAsia="宋体" w:cs="宋体"/>
          <w:color w:val="auto"/>
          <w:sz w:val="24"/>
        </w:rPr>
        <w:t>厂区洒水抑尘，不外排。</w:t>
      </w:r>
    </w:p>
    <w:p w14:paraId="7D8BEBD6">
      <w:pPr>
        <w:adjustRightInd w:val="0"/>
        <w:snapToGrid w:val="0"/>
        <w:spacing w:line="360" w:lineRule="auto"/>
        <w:ind w:firstLine="480" w:firstLineChars="200"/>
        <w:rPr>
          <w:rFonts w:hint="default" w:ascii="Times New Roman" w:hAnsi="Times New Roman" w:eastAsia="宋体" w:cs="宋体"/>
          <w:color w:val="auto"/>
          <w:sz w:val="24"/>
        </w:rPr>
      </w:pPr>
      <w:r>
        <w:rPr>
          <w:rFonts w:hint="default" w:ascii="Times New Roman" w:hAnsi="Times New Roman" w:eastAsia="宋体" w:cs="宋体"/>
          <w:color w:val="auto"/>
          <w:sz w:val="24"/>
          <w:lang w:eastAsia="zh-CN"/>
        </w:rPr>
        <w:t>（</w:t>
      </w:r>
      <w:r>
        <w:rPr>
          <w:rFonts w:hint="default" w:ascii="Times New Roman" w:hAnsi="Times New Roman" w:eastAsia="宋体" w:cs="宋体"/>
          <w:color w:val="auto"/>
          <w:sz w:val="24"/>
          <w:lang w:val="en-US" w:eastAsia="zh-CN"/>
        </w:rPr>
        <w:t>5</w:t>
      </w:r>
      <w:r>
        <w:rPr>
          <w:rFonts w:hint="default" w:ascii="Times New Roman" w:hAnsi="Times New Roman" w:eastAsia="宋体" w:cs="宋体"/>
          <w:color w:val="auto"/>
          <w:sz w:val="24"/>
          <w:lang w:eastAsia="zh-CN"/>
        </w:rPr>
        <w:t>）</w:t>
      </w:r>
      <w:r>
        <w:rPr>
          <w:rFonts w:hint="default" w:ascii="Times New Roman" w:hAnsi="Times New Roman" w:eastAsia="宋体" w:cs="宋体"/>
          <w:color w:val="auto"/>
          <w:sz w:val="24"/>
        </w:rPr>
        <w:t>生活污水</w:t>
      </w:r>
    </w:p>
    <w:p w14:paraId="6CC55469">
      <w:pPr>
        <w:adjustRightInd w:val="0"/>
        <w:snapToGrid w:val="0"/>
        <w:spacing w:line="360" w:lineRule="auto"/>
        <w:ind w:firstLine="480" w:firstLineChars="200"/>
        <w:rPr>
          <w:rFonts w:hint="default" w:ascii="Times New Roman" w:hAnsi="Times New Roman" w:eastAsia="宋体" w:cs="宋体"/>
          <w:color w:val="auto"/>
          <w:sz w:val="24"/>
        </w:rPr>
      </w:pPr>
      <w:r>
        <w:rPr>
          <w:rFonts w:hint="default" w:ascii="Times New Roman" w:hAnsi="Times New Roman" w:eastAsia="宋体" w:cs="宋体"/>
          <w:color w:val="auto"/>
          <w:sz w:val="24"/>
        </w:rPr>
        <w:t>项目生活污水产生量为1.44m</w:t>
      </w:r>
      <w:r>
        <w:rPr>
          <w:rFonts w:hint="default" w:ascii="Times New Roman" w:hAnsi="Times New Roman" w:eastAsia="宋体" w:cs="宋体"/>
          <w:color w:val="auto"/>
          <w:sz w:val="24"/>
          <w:vertAlign w:val="superscript"/>
        </w:rPr>
        <w:t>3</w:t>
      </w:r>
      <w:r>
        <w:rPr>
          <w:rFonts w:hint="default" w:ascii="Times New Roman" w:hAnsi="Times New Roman" w:eastAsia="宋体" w:cs="宋体"/>
          <w:color w:val="auto"/>
          <w:sz w:val="24"/>
        </w:rPr>
        <w:t>/d。项目生活污水排入化粪池</w:t>
      </w:r>
      <w:r>
        <w:rPr>
          <w:rFonts w:hint="default" w:ascii="Times New Roman" w:hAnsi="Times New Roman" w:eastAsia="宋体" w:cs="宋体"/>
          <w:color w:val="auto"/>
          <w:sz w:val="24"/>
          <w:lang w:eastAsia="zh-CN"/>
        </w:rPr>
        <w:t>（</w:t>
      </w:r>
      <w:r>
        <w:rPr>
          <w:rFonts w:hint="default" w:ascii="Times New Roman" w:hAnsi="Times New Roman" w:eastAsia="宋体" w:cs="宋体"/>
          <w:color w:val="auto"/>
          <w:sz w:val="24"/>
          <w:lang w:val="en-US" w:eastAsia="zh-CN"/>
        </w:rPr>
        <w:t>5m</w:t>
      </w:r>
      <w:r>
        <w:rPr>
          <w:rFonts w:hint="default" w:ascii="Times New Roman" w:hAnsi="Times New Roman" w:eastAsia="宋体" w:cs="宋体"/>
          <w:color w:val="auto"/>
          <w:sz w:val="24"/>
          <w:vertAlign w:val="superscript"/>
          <w:lang w:val="en-US" w:eastAsia="zh-CN"/>
        </w:rPr>
        <w:t>3</w:t>
      </w:r>
      <w:r>
        <w:rPr>
          <w:rFonts w:hint="default" w:ascii="Times New Roman" w:hAnsi="Times New Roman" w:eastAsia="宋体" w:cs="宋体"/>
          <w:color w:val="auto"/>
          <w:sz w:val="24"/>
          <w:lang w:eastAsia="zh-CN"/>
        </w:rPr>
        <w:t>）</w:t>
      </w:r>
      <w:r>
        <w:rPr>
          <w:rFonts w:hint="default" w:ascii="Times New Roman" w:hAnsi="Times New Roman" w:eastAsia="宋体" w:cs="宋体"/>
          <w:color w:val="auto"/>
          <w:sz w:val="24"/>
        </w:rPr>
        <w:t>，经化粪池处理后</w:t>
      </w:r>
      <w:r>
        <w:rPr>
          <w:rFonts w:hint="default" w:ascii="Times New Roman" w:hAnsi="Times New Roman" w:eastAsia="宋体" w:cs="宋体"/>
          <w:color w:val="auto"/>
          <w:sz w:val="24"/>
          <w:szCs w:val="24"/>
          <w:lang w:val="en-US" w:eastAsia="zh-CN"/>
        </w:rPr>
        <w:t>进入黑膜厌氧发酵系统处理还田。</w:t>
      </w:r>
    </w:p>
    <w:p w14:paraId="1A677D14">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5.4.3、噪声污染治理措施</w:t>
      </w:r>
    </w:p>
    <w:p w14:paraId="3700626E">
      <w:pPr>
        <w:spacing w:line="360" w:lineRule="auto"/>
        <w:ind w:firstLine="480" w:firstLineChars="200"/>
        <w:rPr>
          <w:rFonts w:ascii="Times New Roman" w:hAnsi="Times New Roman" w:eastAsia="宋体" w:cs="宋体"/>
          <w:color w:val="auto"/>
          <w:sz w:val="24"/>
        </w:rPr>
      </w:pPr>
      <w:r>
        <w:rPr>
          <w:rFonts w:ascii="Times New Roman" w:hAnsi="Times New Roman" w:eastAsia="宋体" w:cs="宋体"/>
          <w:color w:val="auto"/>
          <w:sz w:val="24"/>
        </w:rPr>
        <w:t>项目应采取积极的噪声防治措施，减少对周边环境的影响。噪声主要防治措施如下：</w:t>
      </w:r>
    </w:p>
    <w:p w14:paraId="36DB74B1">
      <w:pPr>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rPr>
        <w:t>①</w:t>
      </w:r>
      <w:r>
        <w:rPr>
          <w:rFonts w:ascii="Times New Roman" w:hAnsi="Times New Roman" w:eastAsia="宋体" w:cs="宋体"/>
          <w:color w:val="auto"/>
          <w:sz w:val="24"/>
        </w:rPr>
        <w:t>该项目应进行合理布局，重视平面布置，利用建筑物、构筑物来阻隔声波的传播，减少对周围环境的影响。</w:t>
      </w:r>
    </w:p>
    <w:p w14:paraId="4452D36B">
      <w:pPr>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rPr>
        <w:t>②</w:t>
      </w:r>
      <w:r>
        <w:rPr>
          <w:rFonts w:ascii="Times New Roman" w:hAnsi="Times New Roman" w:eastAsia="宋体" w:cs="宋体"/>
          <w:color w:val="auto"/>
          <w:sz w:val="24"/>
        </w:rPr>
        <w:t>设备选型方面，在满足功能要求的前提下，风机、泵等设备选用加工精度高、装配质量好、低噪设备；所有固定设备均应安装在加有减振垫的隔声基础上，风机房及泵房采取双层玻璃及隔声门窗，且设置隔声屏障等降噪措施。</w:t>
      </w:r>
    </w:p>
    <w:p w14:paraId="36EDE59B">
      <w:pPr>
        <w:spacing w:line="360" w:lineRule="auto"/>
        <w:ind w:firstLine="480" w:firstLineChars="200"/>
        <w:rPr>
          <w:rFonts w:hint="eastAsia" w:ascii="Times New Roman" w:hAnsi="Times New Roman" w:eastAsia="宋体" w:cs="宋体"/>
          <w:color w:val="auto"/>
          <w:sz w:val="24"/>
        </w:rPr>
      </w:pPr>
      <w:r>
        <w:rPr>
          <w:rFonts w:hint="eastAsia" w:ascii="Times New Roman" w:hAnsi="Times New Roman" w:eastAsia="宋体" w:cs="宋体"/>
          <w:color w:val="auto"/>
          <w:sz w:val="24"/>
        </w:rPr>
        <w:t>③</w:t>
      </w:r>
      <w:r>
        <w:rPr>
          <w:rFonts w:ascii="Times New Roman" w:hAnsi="Times New Roman" w:eastAsia="宋体" w:cs="宋体"/>
          <w:color w:val="auto"/>
          <w:sz w:val="24"/>
        </w:rPr>
        <w:t>该项目应在出入口设有醒目的限速禁鸣标记，同时应加强对出入车辆的管理，保持车流畅通，严禁鸣笛。</w:t>
      </w:r>
    </w:p>
    <w:p w14:paraId="1D08A516">
      <w:pPr>
        <w:adjustRightInd w:val="0"/>
        <w:snapToGrid w:val="0"/>
        <w:spacing w:line="360" w:lineRule="auto"/>
        <w:ind w:firstLine="480" w:firstLineChars="200"/>
        <w:rPr>
          <w:rFonts w:hint="eastAsia" w:ascii="Times New Roman" w:hAnsi="Times New Roman" w:eastAsia="宋体" w:cs="宋体"/>
          <w:color w:val="auto"/>
          <w:kern w:val="28"/>
          <w:sz w:val="24"/>
        </w:rPr>
      </w:pPr>
      <w:r>
        <w:rPr>
          <w:rFonts w:ascii="Times New Roman" w:hAnsi="Times New Roman" w:eastAsia="宋体" w:cs="宋体"/>
          <w:color w:val="auto"/>
          <w:sz w:val="24"/>
        </w:rPr>
        <w:t>通过采取以上的降噪措施后，经预测项目运营期厂界噪声可达到《工业企业厂界环境噪声排放标准》（GB12348-2008）</w:t>
      </w:r>
      <w:r>
        <w:rPr>
          <w:rFonts w:hint="eastAsia" w:ascii="Times New Roman" w:hAnsi="Times New Roman" w:eastAsia="宋体" w:cs="宋体"/>
          <w:color w:val="auto"/>
          <w:sz w:val="24"/>
          <w:lang w:val="en-US" w:eastAsia="zh-CN"/>
        </w:rPr>
        <w:t>3</w:t>
      </w:r>
      <w:r>
        <w:rPr>
          <w:rFonts w:ascii="Times New Roman" w:hAnsi="Times New Roman" w:eastAsia="宋体" w:cs="宋体"/>
          <w:color w:val="auto"/>
          <w:sz w:val="24"/>
        </w:rPr>
        <w:t>类标准</w:t>
      </w:r>
      <w:r>
        <w:rPr>
          <w:rFonts w:hint="eastAsia" w:ascii="Times New Roman" w:hAnsi="Times New Roman" w:eastAsia="宋体" w:cs="宋体"/>
          <w:color w:val="auto"/>
          <w:sz w:val="24"/>
        </w:rPr>
        <w:t>，</w:t>
      </w:r>
      <w:r>
        <w:rPr>
          <w:rFonts w:ascii="Times New Roman" w:hAnsi="Times New Roman" w:eastAsia="宋体" w:cs="宋体"/>
          <w:color w:val="auto"/>
          <w:sz w:val="24"/>
        </w:rPr>
        <w:t>对声环境影响较小，噪声治理措施可行</w:t>
      </w:r>
      <w:r>
        <w:rPr>
          <w:rFonts w:ascii="Times New Roman" w:hAnsi="Times New Roman" w:eastAsia="宋体" w:cs="宋体"/>
          <w:color w:val="auto"/>
          <w:kern w:val="28"/>
          <w:sz w:val="24"/>
        </w:rPr>
        <w:t>。</w:t>
      </w:r>
    </w:p>
    <w:p w14:paraId="7B70DD90">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5.4.4、固废污染治理措施</w:t>
      </w:r>
    </w:p>
    <w:p w14:paraId="0AEF4C04">
      <w:pPr>
        <w:pStyle w:val="10"/>
        <w:snapToGrid w:val="0"/>
        <w:ind w:firstLine="480"/>
        <w:rPr>
          <w:rFonts w:hint="eastAsia"/>
          <w:color w:val="auto"/>
          <w:lang w:val="en-US"/>
        </w:rPr>
      </w:pPr>
      <w:r>
        <w:rPr>
          <w:rFonts w:hint="eastAsia"/>
          <w:color w:val="auto"/>
          <w:lang w:val="en-US"/>
        </w:rPr>
        <w:t>项目主要固体废物为生活垃圾、薯渣、清洗泥沙、废弃离子交换树脂、除尘器收集粉尘、废弃包装袋等。</w:t>
      </w:r>
    </w:p>
    <w:p w14:paraId="63F0F722">
      <w:pPr>
        <w:pStyle w:val="2"/>
        <w:snapToGrid w:val="0"/>
        <w:spacing w:line="360" w:lineRule="auto"/>
        <w:ind w:firstLine="480" w:firstLineChars="200"/>
        <w:rPr>
          <w:rFonts w:hint="eastAsia" w:ascii="Times New Roman" w:hAnsi="宋体"/>
          <w:b w:val="0"/>
          <w:bCs/>
          <w:color w:val="auto"/>
        </w:rPr>
      </w:pPr>
      <w:r>
        <w:rPr>
          <w:rFonts w:hint="eastAsia" w:ascii="Times New Roman" w:hAnsi="宋体"/>
          <w:b w:val="0"/>
          <w:bCs/>
          <w:color w:val="auto"/>
          <w:lang w:eastAsia="zh-CN"/>
        </w:rPr>
        <w:t>（</w:t>
      </w:r>
      <w:r>
        <w:rPr>
          <w:rFonts w:hint="eastAsia" w:ascii="Times New Roman" w:hAnsi="宋体"/>
          <w:b w:val="0"/>
          <w:bCs/>
          <w:color w:val="auto"/>
          <w:lang w:val="en-US" w:eastAsia="zh-CN"/>
        </w:rPr>
        <w:t>1</w:t>
      </w:r>
      <w:r>
        <w:rPr>
          <w:rFonts w:hint="eastAsia" w:ascii="Times New Roman" w:hAnsi="宋体"/>
          <w:b w:val="0"/>
          <w:bCs/>
          <w:color w:val="auto"/>
          <w:lang w:eastAsia="zh-CN"/>
        </w:rPr>
        <w:t>）</w:t>
      </w:r>
      <w:r>
        <w:rPr>
          <w:rFonts w:hint="eastAsia" w:ascii="Times New Roman" w:hAnsi="宋体"/>
          <w:b w:val="0"/>
          <w:bCs/>
          <w:color w:val="auto"/>
        </w:rPr>
        <w:t>生活垃圾</w:t>
      </w:r>
    </w:p>
    <w:p w14:paraId="0C632C16">
      <w:pPr>
        <w:pStyle w:val="2"/>
        <w:snapToGrid w:val="0"/>
        <w:spacing w:line="360" w:lineRule="auto"/>
        <w:ind w:firstLine="480" w:firstLineChars="200"/>
        <w:rPr>
          <w:rFonts w:ascii="Times New Roman" w:hAnsi="宋体"/>
          <w:b/>
          <w:color w:val="auto"/>
        </w:rPr>
      </w:pPr>
      <w:r>
        <w:rPr>
          <w:rFonts w:ascii="Times New Roman" w:hAnsi="Times New Roman"/>
          <w:color w:val="auto"/>
        </w:rPr>
        <w:t>项目</w:t>
      </w:r>
      <w:r>
        <w:rPr>
          <w:rFonts w:hint="eastAsia" w:ascii="Times New Roman" w:hAnsi="Times New Roman"/>
          <w:color w:val="auto"/>
        </w:rPr>
        <w:t>劳动定员2</w:t>
      </w:r>
      <w:r>
        <w:rPr>
          <w:rFonts w:ascii="Times New Roman" w:hAnsi="Times New Roman"/>
          <w:color w:val="auto"/>
        </w:rPr>
        <w:t>0人，生活垃圾产生量按照0.5kg/人·d计，则生活垃圾产生量约</w:t>
      </w:r>
      <w:r>
        <w:rPr>
          <w:rFonts w:hint="eastAsia" w:ascii="Times New Roman" w:hAnsi="Times New Roman"/>
          <w:color w:val="auto"/>
        </w:rPr>
        <w:t>10kg/d</w:t>
      </w:r>
      <w:r>
        <w:rPr>
          <w:rFonts w:ascii="Times New Roman" w:hAnsi="Times New Roman"/>
          <w:color w:val="auto"/>
        </w:rPr>
        <w:t>（</w:t>
      </w:r>
      <w:r>
        <w:rPr>
          <w:rFonts w:hint="eastAsia" w:ascii="Times New Roman" w:hAnsi="Times New Roman"/>
          <w:color w:val="auto"/>
        </w:rPr>
        <w:t>3</w:t>
      </w:r>
      <w:r>
        <w:rPr>
          <w:rFonts w:ascii="Times New Roman" w:hAnsi="Times New Roman"/>
          <w:color w:val="auto"/>
        </w:rPr>
        <w:t>t/a），生活垃圾</w:t>
      </w:r>
      <w:r>
        <w:rPr>
          <w:rFonts w:hint="eastAsia" w:ascii="Times New Roman" w:hAnsi="Times New Roman"/>
          <w:color w:val="auto"/>
        </w:rPr>
        <w:t>经垃圾桶</w:t>
      </w:r>
      <w:r>
        <w:rPr>
          <w:rFonts w:ascii="Times New Roman" w:hAnsi="Times New Roman"/>
          <w:color w:val="auto"/>
        </w:rPr>
        <w:t>收集后</w:t>
      </w:r>
      <w:r>
        <w:rPr>
          <w:rFonts w:hint="eastAsia" w:ascii="Times New Roman" w:hAnsi="Times New Roman"/>
          <w:color w:val="auto"/>
        </w:rPr>
        <w:t>交</w:t>
      </w:r>
      <w:r>
        <w:rPr>
          <w:rFonts w:ascii="Times New Roman" w:hAnsi="Times New Roman"/>
          <w:color w:val="auto"/>
        </w:rPr>
        <w:t>由环卫部门清运处置。</w:t>
      </w:r>
    </w:p>
    <w:p w14:paraId="2944DF17">
      <w:pPr>
        <w:pStyle w:val="2"/>
        <w:snapToGrid w:val="0"/>
        <w:spacing w:line="360" w:lineRule="auto"/>
        <w:ind w:firstLine="480" w:firstLineChars="200"/>
        <w:rPr>
          <w:rFonts w:hint="eastAsia" w:ascii="Times New Roman" w:hAnsi="宋体" w:eastAsia="宋体" w:cs="宋体"/>
          <w:b w:val="0"/>
          <w:bCs/>
          <w:color w:val="auto"/>
          <w:lang w:eastAsia="zh-CN"/>
        </w:rPr>
      </w:pPr>
      <w:r>
        <w:rPr>
          <w:rFonts w:hint="eastAsia" w:ascii="Times New Roman" w:hAnsi="宋体" w:eastAsia="宋体" w:cs="宋体"/>
          <w:b w:val="0"/>
          <w:bCs/>
          <w:color w:val="auto"/>
          <w:lang w:eastAsia="zh-CN"/>
        </w:rPr>
        <w:t>（</w:t>
      </w:r>
      <w:r>
        <w:rPr>
          <w:rFonts w:hint="eastAsia" w:ascii="Times New Roman" w:hAnsi="宋体" w:eastAsia="宋体" w:cs="宋体"/>
          <w:b w:val="0"/>
          <w:bCs/>
          <w:color w:val="auto"/>
          <w:lang w:val="en-US" w:eastAsia="zh-CN"/>
        </w:rPr>
        <w:t>2</w:t>
      </w:r>
      <w:r>
        <w:rPr>
          <w:rFonts w:hint="eastAsia" w:ascii="Times New Roman" w:hAnsi="宋体" w:eastAsia="宋体" w:cs="宋体"/>
          <w:b w:val="0"/>
          <w:bCs/>
          <w:color w:val="auto"/>
          <w:lang w:eastAsia="zh-CN"/>
        </w:rPr>
        <w:t>）薯渣</w:t>
      </w:r>
    </w:p>
    <w:p w14:paraId="47882250">
      <w:pPr>
        <w:pStyle w:val="2"/>
        <w:snapToGrid w:val="0"/>
        <w:spacing w:line="360" w:lineRule="auto"/>
        <w:ind w:firstLine="480" w:firstLineChars="200"/>
        <w:rPr>
          <w:rFonts w:ascii="Times New Roman" w:hAnsi="Times New Roman"/>
          <w:color w:val="auto"/>
        </w:rPr>
      </w:pPr>
      <w:r>
        <w:rPr>
          <w:rFonts w:hint="eastAsia" w:ascii="Times New Roman" w:hAnsi="Times New Roman"/>
          <w:color w:val="auto"/>
        </w:rPr>
        <w:t>本项目生产期间处理马铃薯原料约5万t/a，每5t马铃薯产生薯渣为2t（含水率约80%），则项目产生薯渣2万t/a，本项目采用离心筛对薯渣进行脱水，脱水薯渣含水率为70%，则薯渣产生量为1.</w:t>
      </w:r>
      <w:r>
        <w:rPr>
          <w:rFonts w:hint="eastAsia" w:ascii="Times New Roman" w:hAnsi="Times New Roman"/>
          <w:color w:val="auto"/>
          <w:lang w:val="en-US" w:eastAsia="zh-CN"/>
        </w:rPr>
        <w:t>8</w:t>
      </w:r>
      <w:r>
        <w:rPr>
          <w:rFonts w:hint="eastAsia" w:ascii="Times New Roman" w:hAnsi="Times New Roman"/>
          <w:color w:val="auto"/>
        </w:rPr>
        <w:t>万t/a。作为饲料出售，日产日清，</w:t>
      </w:r>
      <w:r>
        <w:rPr>
          <w:rFonts w:hint="eastAsia"/>
          <w:color w:val="auto"/>
        </w:rPr>
        <w:t>不在厂区内长时间堆存</w:t>
      </w:r>
      <w:r>
        <w:rPr>
          <w:color w:val="auto"/>
        </w:rPr>
        <w:t>。</w:t>
      </w:r>
    </w:p>
    <w:p w14:paraId="56D0FF1C">
      <w:pPr>
        <w:pStyle w:val="2"/>
        <w:snapToGrid w:val="0"/>
        <w:spacing w:line="360" w:lineRule="auto"/>
        <w:ind w:firstLine="480" w:firstLineChars="200"/>
        <w:rPr>
          <w:rFonts w:hint="eastAsia" w:ascii="Times New Roman" w:hAnsi="宋体" w:eastAsia="宋体" w:cs="宋体"/>
          <w:b w:val="0"/>
          <w:bCs/>
          <w:color w:val="auto"/>
          <w:lang w:eastAsia="zh-CN"/>
        </w:rPr>
      </w:pPr>
      <w:r>
        <w:rPr>
          <w:rFonts w:hint="eastAsia" w:ascii="Times New Roman" w:hAnsi="宋体" w:eastAsia="宋体" w:cs="宋体"/>
          <w:b w:val="0"/>
          <w:bCs/>
          <w:color w:val="auto"/>
          <w:lang w:eastAsia="zh-CN"/>
        </w:rPr>
        <w:t>（</w:t>
      </w:r>
      <w:r>
        <w:rPr>
          <w:rFonts w:hint="eastAsia" w:ascii="Times New Roman" w:hAnsi="宋体" w:eastAsia="宋体" w:cs="宋体"/>
          <w:b w:val="0"/>
          <w:bCs/>
          <w:color w:val="auto"/>
          <w:lang w:val="en-US" w:eastAsia="zh-CN"/>
        </w:rPr>
        <w:t>3</w:t>
      </w:r>
      <w:r>
        <w:rPr>
          <w:rFonts w:hint="eastAsia" w:ascii="Times New Roman" w:hAnsi="宋体" w:eastAsia="宋体" w:cs="宋体"/>
          <w:b w:val="0"/>
          <w:bCs/>
          <w:color w:val="auto"/>
          <w:lang w:eastAsia="zh-CN"/>
        </w:rPr>
        <w:t>）清洗泥沙</w:t>
      </w:r>
    </w:p>
    <w:p w14:paraId="30051CCA">
      <w:pPr>
        <w:pStyle w:val="2"/>
        <w:snapToGrid w:val="0"/>
        <w:spacing w:line="360" w:lineRule="auto"/>
        <w:ind w:firstLine="480" w:firstLineChars="200"/>
        <w:rPr>
          <w:rFonts w:hint="default" w:ascii="Times New Roman" w:hAnsi="Times New Roman" w:eastAsia="宋体"/>
          <w:color w:val="auto"/>
          <w:lang w:val="en-US" w:eastAsia="zh-CN"/>
        </w:rPr>
      </w:pPr>
      <w:r>
        <w:rPr>
          <w:rFonts w:hint="eastAsia" w:ascii="Times New Roman" w:hAnsi="Times New Roman"/>
          <w:color w:val="auto"/>
        </w:rPr>
        <w:t>依据建设单位提供资料，本项目清洗泥沙产生量约为</w:t>
      </w:r>
      <w:r>
        <w:rPr>
          <w:rFonts w:hint="eastAsia" w:ascii="Times New Roman" w:hAnsi="Times New Roman"/>
          <w:color w:val="auto"/>
          <w:lang w:val="en-US" w:eastAsia="zh-CN"/>
        </w:rPr>
        <w:t>4500</w:t>
      </w:r>
      <w:r>
        <w:rPr>
          <w:rFonts w:hint="eastAsia" w:ascii="Times New Roman" w:hAnsi="Times New Roman"/>
          <w:color w:val="auto"/>
        </w:rPr>
        <w:t>t/a，沉淀池清洗泥沙</w:t>
      </w:r>
      <w:r>
        <w:rPr>
          <w:rFonts w:hint="eastAsia" w:ascii="Times New Roman" w:hAnsi="Times New Roman"/>
          <w:color w:val="auto"/>
          <w:lang w:val="en-US" w:eastAsia="zh-CN"/>
        </w:rPr>
        <w:t>清掏后拉运还田。</w:t>
      </w:r>
    </w:p>
    <w:p w14:paraId="40EB96C1">
      <w:pPr>
        <w:pStyle w:val="2"/>
        <w:snapToGrid w:val="0"/>
        <w:spacing w:line="360" w:lineRule="auto"/>
        <w:ind w:firstLine="480" w:firstLineChars="200"/>
        <w:rPr>
          <w:rFonts w:hint="eastAsia" w:ascii="Times New Roman" w:hAnsi="宋体" w:eastAsia="宋体" w:cs="宋体"/>
          <w:b w:val="0"/>
          <w:bCs/>
          <w:color w:val="auto"/>
          <w:lang w:eastAsia="zh-CN"/>
        </w:rPr>
      </w:pPr>
      <w:r>
        <w:rPr>
          <w:rFonts w:hint="eastAsia" w:ascii="Times New Roman" w:hAnsi="宋体" w:eastAsia="宋体" w:cs="宋体"/>
          <w:b w:val="0"/>
          <w:bCs/>
          <w:color w:val="auto"/>
          <w:lang w:eastAsia="zh-CN"/>
        </w:rPr>
        <w:t>（</w:t>
      </w:r>
      <w:r>
        <w:rPr>
          <w:rFonts w:hint="eastAsia" w:ascii="Times New Roman" w:hAnsi="宋体" w:eastAsia="宋体" w:cs="宋体"/>
          <w:b w:val="0"/>
          <w:bCs/>
          <w:color w:val="auto"/>
          <w:lang w:val="en-US" w:eastAsia="zh-CN"/>
        </w:rPr>
        <w:t>4</w:t>
      </w:r>
      <w:r>
        <w:rPr>
          <w:rFonts w:hint="eastAsia" w:ascii="Times New Roman" w:hAnsi="宋体" w:eastAsia="宋体" w:cs="宋体"/>
          <w:b w:val="0"/>
          <w:bCs/>
          <w:color w:val="auto"/>
          <w:lang w:eastAsia="zh-CN"/>
        </w:rPr>
        <w:t>）废离子交换树脂</w:t>
      </w:r>
    </w:p>
    <w:p w14:paraId="020B8554">
      <w:pPr>
        <w:pStyle w:val="2"/>
        <w:snapToGrid w:val="0"/>
        <w:spacing w:line="360" w:lineRule="auto"/>
        <w:ind w:firstLine="480" w:firstLineChars="200"/>
        <w:jc w:val="both"/>
        <w:rPr>
          <w:rFonts w:hint="default" w:ascii="Times New Roman" w:hAnsi="Times New Roman" w:eastAsia="宋体"/>
          <w:color w:val="auto"/>
          <w:lang w:val="en-US" w:eastAsia="zh-CN"/>
        </w:rPr>
      </w:pPr>
      <w:r>
        <w:rPr>
          <w:rFonts w:ascii="Times New Roman" w:hAnsi="Times New Roman"/>
          <w:color w:val="auto"/>
        </w:rPr>
        <w:t>软化处理器的填料为离子交换树脂，离子交换树脂两年更换一次，更换一次产生废弃离子交换树脂</w:t>
      </w:r>
      <w:r>
        <w:rPr>
          <w:rFonts w:hint="eastAsia" w:ascii="Times New Roman" w:hAnsi="Times New Roman"/>
          <w:color w:val="auto"/>
        </w:rPr>
        <w:t>1.5</w:t>
      </w:r>
      <w:r>
        <w:rPr>
          <w:rFonts w:ascii="Times New Roman" w:hAnsi="Times New Roman"/>
          <w:color w:val="auto"/>
        </w:rPr>
        <w:t>t</w:t>
      </w:r>
      <w:r>
        <w:rPr>
          <w:rFonts w:hint="eastAsia" w:ascii="Times New Roman" w:hAnsi="Times New Roman"/>
          <w:color w:val="auto"/>
        </w:rPr>
        <w:t>/次（0.75t/a）</w:t>
      </w:r>
      <w:r>
        <w:rPr>
          <w:rFonts w:ascii="Times New Roman" w:hAnsi="Times New Roman"/>
          <w:color w:val="auto"/>
        </w:rPr>
        <w:t>。本项目废离子交换树脂主要来源于自来水软化处理器定期更换填料，</w:t>
      </w:r>
      <w:r>
        <w:rPr>
          <w:rFonts w:hint="eastAsia" w:ascii="Times New Roman" w:hAnsi="Times New Roman"/>
          <w:color w:val="auto"/>
          <w:lang w:val="en-US" w:eastAsia="zh-CN"/>
        </w:rPr>
        <w:t>由更换厂家收回处置。</w:t>
      </w:r>
    </w:p>
    <w:p w14:paraId="392274F2">
      <w:pPr>
        <w:pStyle w:val="2"/>
        <w:snapToGrid w:val="0"/>
        <w:spacing w:line="360" w:lineRule="auto"/>
        <w:ind w:firstLine="480" w:firstLineChars="200"/>
        <w:rPr>
          <w:rFonts w:hint="eastAsia" w:ascii="Times New Roman" w:hAnsi="宋体" w:eastAsia="宋体" w:cs="宋体"/>
          <w:b w:val="0"/>
          <w:bCs/>
          <w:color w:val="auto"/>
          <w:lang w:eastAsia="zh-CN"/>
        </w:rPr>
      </w:pPr>
      <w:r>
        <w:rPr>
          <w:rFonts w:hint="eastAsia" w:ascii="Times New Roman" w:hAnsi="宋体" w:eastAsia="宋体" w:cs="宋体"/>
          <w:b w:val="0"/>
          <w:bCs/>
          <w:color w:val="auto"/>
          <w:lang w:eastAsia="zh-CN"/>
        </w:rPr>
        <w:t>（</w:t>
      </w:r>
      <w:r>
        <w:rPr>
          <w:rFonts w:hint="eastAsia" w:ascii="Times New Roman" w:hAnsi="宋体" w:eastAsia="宋体" w:cs="宋体"/>
          <w:b w:val="0"/>
          <w:bCs/>
          <w:color w:val="auto"/>
          <w:lang w:val="en-US" w:eastAsia="zh-CN"/>
        </w:rPr>
        <w:t>5</w:t>
      </w:r>
      <w:r>
        <w:rPr>
          <w:rFonts w:hint="eastAsia" w:ascii="Times New Roman" w:hAnsi="宋体" w:eastAsia="宋体" w:cs="宋体"/>
          <w:b w:val="0"/>
          <w:bCs/>
          <w:color w:val="auto"/>
          <w:lang w:eastAsia="zh-CN"/>
        </w:rPr>
        <w:t>）除尘器收集粉尘</w:t>
      </w:r>
    </w:p>
    <w:p w14:paraId="6E196461">
      <w:pPr>
        <w:pStyle w:val="2"/>
        <w:snapToGrid w:val="0"/>
        <w:spacing w:line="360" w:lineRule="auto"/>
        <w:ind w:firstLine="480" w:firstLineChars="200"/>
        <w:rPr>
          <w:rFonts w:hint="eastAsia" w:ascii="Times New Roman" w:hAnsi="Times New Roman"/>
          <w:color w:val="auto"/>
        </w:rPr>
      </w:pPr>
      <w:r>
        <w:rPr>
          <w:rFonts w:hint="eastAsia" w:ascii="Times New Roman" w:hAnsi="Times New Roman"/>
          <w:color w:val="auto"/>
        </w:rPr>
        <w:t>淀粉生产车间除尘设备收集到的粉尘主要为淀粉，收集量约为</w:t>
      </w:r>
      <w:r>
        <w:rPr>
          <w:rFonts w:hint="eastAsia" w:ascii="Times New Roman" w:hAnsi="Times New Roman"/>
          <w:color w:val="auto"/>
          <w:lang w:val="en-US" w:eastAsia="zh-CN"/>
        </w:rPr>
        <w:t>13.365</w:t>
      </w:r>
      <w:r>
        <w:rPr>
          <w:rFonts w:hint="eastAsia" w:ascii="Times New Roman" w:hAnsi="Times New Roman"/>
          <w:color w:val="auto"/>
        </w:rPr>
        <w:t>t/a，作为饲料外售。</w:t>
      </w:r>
    </w:p>
    <w:p w14:paraId="425EAB31">
      <w:pPr>
        <w:pStyle w:val="2"/>
        <w:snapToGrid w:val="0"/>
        <w:spacing w:line="360" w:lineRule="auto"/>
        <w:ind w:firstLine="480" w:firstLineChars="200"/>
        <w:rPr>
          <w:rFonts w:hint="eastAsia" w:ascii="Times New Roman" w:hAnsi="宋体" w:eastAsia="宋体" w:cs="宋体"/>
          <w:b w:val="0"/>
          <w:bCs/>
          <w:color w:val="auto"/>
          <w:lang w:eastAsia="zh-CN"/>
        </w:rPr>
      </w:pPr>
      <w:r>
        <w:rPr>
          <w:rFonts w:hint="eastAsia" w:ascii="Times New Roman" w:hAnsi="宋体" w:eastAsia="宋体" w:cs="宋体"/>
          <w:b w:val="0"/>
          <w:bCs/>
          <w:color w:val="auto"/>
          <w:lang w:eastAsia="zh-CN"/>
        </w:rPr>
        <w:t>（</w:t>
      </w:r>
      <w:r>
        <w:rPr>
          <w:rFonts w:hint="eastAsia" w:ascii="Times New Roman" w:hAnsi="宋体" w:eastAsia="宋体" w:cs="宋体"/>
          <w:b w:val="0"/>
          <w:bCs/>
          <w:color w:val="auto"/>
          <w:lang w:val="en-US" w:eastAsia="zh-CN"/>
        </w:rPr>
        <w:t>6</w:t>
      </w:r>
      <w:r>
        <w:rPr>
          <w:rFonts w:hint="eastAsia" w:ascii="Times New Roman" w:hAnsi="宋体" w:eastAsia="宋体" w:cs="宋体"/>
          <w:b w:val="0"/>
          <w:bCs/>
          <w:color w:val="auto"/>
          <w:lang w:eastAsia="zh-CN"/>
        </w:rPr>
        <w:t>）废弃包装袋</w:t>
      </w:r>
    </w:p>
    <w:p w14:paraId="5C87F940">
      <w:pPr>
        <w:pStyle w:val="2"/>
        <w:snapToGrid w:val="0"/>
        <w:spacing w:line="360" w:lineRule="auto"/>
        <w:ind w:firstLine="480" w:firstLineChars="200"/>
        <w:rPr>
          <w:rFonts w:hint="eastAsia" w:ascii="Times New Roman" w:hAnsi="Times New Roman"/>
          <w:color w:val="auto"/>
        </w:rPr>
      </w:pPr>
      <w:r>
        <w:rPr>
          <w:rFonts w:hint="eastAsia" w:ascii="Times New Roman" w:hAnsi="Times New Roman"/>
          <w:color w:val="auto"/>
        </w:rPr>
        <w:t>项目运营过程需要对各产品进行分装、包装等环节，包装采用外购一定规格的包装袋，包装</w:t>
      </w:r>
      <w:r>
        <w:rPr>
          <w:rFonts w:hint="eastAsia" w:ascii="Times New Roman" w:hAnsi="Times New Roman"/>
          <w:color w:val="auto"/>
          <w:lang w:eastAsia="zh-CN"/>
        </w:rPr>
        <w:t>过程</w:t>
      </w:r>
      <w:r>
        <w:rPr>
          <w:rFonts w:hint="eastAsia" w:ascii="Times New Roman" w:hAnsi="Times New Roman"/>
          <w:color w:val="auto"/>
        </w:rPr>
        <w:t>中会</w:t>
      </w:r>
      <w:r>
        <w:rPr>
          <w:rFonts w:hint="eastAsia" w:ascii="Times New Roman" w:hAnsi="Times New Roman"/>
          <w:color w:val="auto"/>
          <w:lang w:eastAsia="zh-CN"/>
        </w:rPr>
        <w:t>产生</w:t>
      </w:r>
      <w:r>
        <w:rPr>
          <w:rFonts w:hint="eastAsia" w:ascii="Times New Roman" w:hAnsi="Times New Roman"/>
          <w:color w:val="auto"/>
        </w:rPr>
        <w:t>一定废弃包装物，包装废弃物产生量约为0.1t/a，产生的废弃包装物收集后交由环卫部门统一清运。</w:t>
      </w:r>
    </w:p>
    <w:p w14:paraId="279FBF29">
      <w:pPr>
        <w:pStyle w:val="2"/>
        <w:snapToGrid w:val="0"/>
        <w:spacing w:line="360" w:lineRule="auto"/>
        <w:ind w:firstLine="480" w:firstLineChars="200"/>
        <w:rPr>
          <w:rFonts w:hint="eastAsia" w:ascii="Times New Roman" w:hAnsi="宋体" w:eastAsia="宋体" w:cs="宋体"/>
          <w:b w:val="0"/>
          <w:bCs/>
          <w:color w:val="auto"/>
          <w:lang w:eastAsia="zh-CN"/>
        </w:rPr>
      </w:pPr>
      <w:r>
        <w:rPr>
          <w:rFonts w:hint="eastAsia" w:ascii="Times New Roman" w:hAnsi="宋体" w:eastAsia="宋体" w:cs="宋体"/>
          <w:b w:val="0"/>
          <w:bCs/>
          <w:color w:val="auto"/>
          <w:lang w:eastAsia="zh-CN"/>
        </w:rPr>
        <w:t>（</w:t>
      </w:r>
      <w:r>
        <w:rPr>
          <w:rFonts w:hint="eastAsia" w:ascii="Times New Roman" w:hAnsi="宋体" w:eastAsia="宋体" w:cs="宋体"/>
          <w:b w:val="0"/>
          <w:bCs/>
          <w:color w:val="auto"/>
          <w:lang w:val="en-US" w:eastAsia="zh-CN"/>
        </w:rPr>
        <w:t>7</w:t>
      </w:r>
      <w:r>
        <w:rPr>
          <w:rFonts w:hint="eastAsia" w:ascii="Times New Roman" w:hAnsi="宋体" w:eastAsia="宋体" w:cs="宋体"/>
          <w:b w:val="0"/>
          <w:bCs/>
          <w:color w:val="auto"/>
          <w:lang w:eastAsia="zh-CN"/>
        </w:rPr>
        <w:t>）废脱硫剂</w:t>
      </w:r>
    </w:p>
    <w:p w14:paraId="259074B5">
      <w:pPr>
        <w:spacing w:line="360" w:lineRule="auto"/>
        <w:ind w:firstLine="480" w:firstLineChars="200"/>
        <w:rPr>
          <w:rFonts w:ascii="Times New Roman" w:hAnsi="Times New Roman" w:eastAsia="宋体" w:cs="Times New Roman"/>
          <w:color w:val="auto"/>
          <w:kern w:val="2"/>
          <w:sz w:val="24"/>
          <w:szCs w:val="20"/>
        </w:rPr>
      </w:pPr>
      <w:r>
        <w:rPr>
          <w:rFonts w:ascii="Times New Roman" w:hAnsi="Times New Roman" w:eastAsia="宋体" w:cs="Times New Roman"/>
          <w:color w:val="auto"/>
          <w:kern w:val="2"/>
          <w:sz w:val="24"/>
          <w:szCs w:val="20"/>
        </w:rPr>
        <w:t>项目采用干法对沼气中硫化氢进行去除，沼气通过活性炭、氧化铁等构成的填料层，使硫化氢氧化成单质硫或硫氧化物。本项目废脱硫剂产生量约为</w:t>
      </w:r>
      <w:r>
        <w:rPr>
          <w:rFonts w:hint="eastAsia" w:ascii="Times New Roman" w:hAnsi="Times New Roman" w:eastAsia="宋体" w:cs="Times New Roman"/>
          <w:color w:val="auto"/>
          <w:kern w:val="2"/>
          <w:sz w:val="24"/>
          <w:szCs w:val="20"/>
          <w:lang w:val="en-US" w:eastAsia="zh-CN"/>
        </w:rPr>
        <w:t>1.0</w:t>
      </w:r>
      <w:r>
        <w:rPr>
          <w:rFonts w:ascii="Times New Roman" w:hAnsi="Times New Roman" w:eastAsia="宋体" w:cs="Times New Roman"/>
          <w:color w:val="auto"/>
          <w:kern w:val="2"/>
          <w:sz w:val="24"/>
          <w:szCs w:val="20"/>
        </w:rPr>
        <w:t>t/a。沼气脱硫装置中失去活性的废脱硫剂（主要成分为废活性炭和氧化铁）由生产厂家统一回收处置。</w:t>
      </w:r>
    </w:p>
    <w:p w14:paraId="2C1BFE00">
      <w:pPr>
        <w:pStyle w:val="2"/>
        <w:snapToGrid w:val="0"/>
        <w:spacing w:line="360" w:lineRule="auto"/>
        <w:ind w:firstLine="480" w:firstLineChars="200"/>
        <w:rPr>
          <w:rFonts w:ascii="Times New Roman" w:hAnsi="Times New Roman" w:eastAsia="宋体" w:cs="宋体"/>
          <w:color w:val="auto"/>
        </w:rPr>
      </w:pPr>
      <w:r>
        <w:rPr>
          <w:rFonts w:hint="eastAsia" w:ascii="Times New Roman" w:hAnsi="Times New Roman" w:eastAsia="宋体" w:cs="宋体"/>
          <w:color w:val="auto"/>
        </w:rPr>
        <w:t>项目设置一般工业固废暂存间，一般工业固废暂存间需按照《一般工业固体废物贮存和填埋污染控制标准》（GB18599-2020）中的有关规定建设。</w:t>
      </w:r>
    </w:p>
    <w:p w14:paraId="051C43F3">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5.4.5、沼液还田污染治理措施</w:t>
      </w:r>
    </w:p>
    <w:p w14:paraId="0B2CE638">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both"/>
        <w:textAlignment w:val="baseline"/>
        <w:rPr>
          <w:rFonts w:hint="eastAsia" w:eastAsia="宋体" w:cs="宋体"/>
          <w:color w:val="auto"/>
          <w:kern w:val="0"/>
          <w:sz w:val="24"/>
          <w:szCs w:val="24"/>
          <w:lang w:val="en-US" w:eastAsia="zh-CN" w:bidi="ar-SA"/>
        </w:rPr>
      </w:pPr>
      <w:r>
        <w:rPr>
          <w:rFonts w:hint="default" w:ascii="Times New Roman" w:hAnsi="Times New Roman" w:eastAsia="宋体" w:cs="宋体"/>
          <w:color w:val="auto"/>
          <w:kern w:val="0"/>
          <w:sz w:val="24"/>
          <w:szCs w:val="24"/>
          <w:lang w:val="en-US" w:eastAsia="zh-CN" w:bidi="ar-SA"/>
        </w:rPr>
        <w:t>①</w:t>
      </w:r>
      <w:r>
        <w:rPr>
          <w:rFonts w:hint="eastAsia" w:eastAsia="宋体" w:cs="宋体"/>
          <w:color w:val="auto"/>
          <w:kern w:val="0"/>
          <w:sz w:val="24"/>
          <w:szCs w:val="24"/>
          <w:lang w:val="en-US" w:eastAsia="zh-CN" w:bidi="ar-SA"/>
        </w:rPr>
        <w:t>建立企业加工汁水还田制度</w:t>
      </w:r>
    </w:p>
    <w:p w14:paraId="556F59CD">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both"/>
        <w:textAlignment w:val="baseline"/>
        <w:rPr>
          <w:rFonts w:hint="default" w:eastAsia="宋体" w:cs="宋体"/>
          <w:color w:val="auto"/>
          <w:kern w:val="0"/>
          <w:sz w:val="24"/>
          <w:szCs w:val="24"/>
          <w:lang w:val="en-US" w:eastAsia="zh-CN" w:bidi="ar-SA"/>
        </w:rPr>
      </w:pPr>
      <w:r>
        <w:rPr>
          <w:rFonts w:hint="eastAsia" w:eastAsia="宋体" w:cs="宋体"/>
          <w:color w:val="auto"/>
          <w:kern w:val="0"/>
          <w:sz w:val="24"/>
          <w:szCs w:val="24"/>
          <w:lang w:val="en-US" w:eastAsia="zh-CN" w:bidi="ar-SA"/>
        </w:rPr>
        <w:t>企业应按照相关法律、法规规定开展汁水综合利用，不得随意变更汁水排放去向和方式，严禁偷排汁水，严禁随意倾倒、掩埋薯渣，污染生态环境。并应建立完善的溯源制度，每年加工期建立原料来源、废水汁水去向、施用耕地类型、土壤土质、薯渣去向、污泥处理、检测数据等台账资料，确保来源清楚、去向明确。严格控制还田汁水水量、水质，要求配套还田耕地及时进行翻耕、种植农作物，不得超量还田、大水漫灌。</w:t>
      </w:r>
    </w:p>
    <w:p w14:paraId="169FEE17">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both"/>
        <w:textAlignment w:val="baseline"/>
        <w:rPr>
          <w:rFonts w:hint="default" w:ascii="Times New Roman" w:hAnsi="Times New Roman"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②</w:t>
      </w:r>
      <w:r>
        <w:rPr>
          <w:rFonts w:hint="default" w:ascii="Times New Roman" w:hAnsi="Times New Roman" w:eastAsia="宋体" w:cs="宋体"/>
          <w:color w:val="auto"/>
          <w:kern w:val="0"/>
          <w:sz w:val="24"/>
          <w:szCs w:val="24"/>
          <w:lang w:val="en-US" w:eastAsia="zh-CN" w:bidi="ar-SA"/>
        </w:rPr>
        <w:t>沼液泄漏的预防</w:t>
      </w:r>
    </w:p>
    <w:p w14:paraId="4B73EF74">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both"/>
        <w:textAlignment w:val="baseline"/>
        <w:rPr>
          <w:rFonts w:hint="default" w:ascii="Times New Roman" w:hAnsi="Times New Roman" w:eastAsia="宋体" w:cs="宋体"/>
          <w:color w:val="auto"/>
          <w:kern w:val="0"/>
          <w:sz w:val="24"/>
          <w:szCs w:val="24"/>
          <w:lang w:val="en-US" w:eastAsia="zh-CN" w:bidi="ar-SA"/>
        </w:rPr>
      </w:pPr>
      <w:r>
        <w:rPr>
          <w:rFonts w:hint="default" w:ascii="Times New Roman" w:hAnsi="Times New Roman" w:eastAsia="宋体" w:cs="宋体"/>
          <w:color w:val="auto"/>
          <w:kern w:val="0"/>
          <w:sz w:val="24"/>
          <w:szCs w:val="24"/>
          <w:lang w:val="en-US" w:eastAsia="zh-CN" w:bidi="ar-SA"/>
        </w:rPr>
        <w:t>泄漏事故的防治是生产和储运过程中最重要的工作之一，发生泄漏事故可能造成环境污染等一系列事故。经验表明，设备失灵和人为的操作失误是引发泄漏的主要原因，因此选用较好的设备、精心设计、认真地管理和操作人员的责任心是减少泄漏事故的关键。</w:t>
      </w:r>
    </w:p>
    <w:p w14:paraId="7596EBEA">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both"/>
        <w:textAlignment w:val="baseline"/>
        <w:rPr>
          <w:rFonts w:hint="default" w:ascii="Times New Roman" w:hAnsi="Times New Roman" w:eastAsia="宋体" w:cs="宋体"/>
          <w:color w:val="auto"/>
          <w:kern w:val="0"/>
          <w:sz w:val="24"/>
          <w:szCs w:val="24"/>
          <w:lang w:val="en-US" w:eastAsia="zh-CN" w:bidi="ar-SA"/>
        </w:rPr>
      </w:pPr>
      <w:r>
        <w:rPr>
          <w:rFonts w:hint="default" w:ascii="Times New Roman" w:hAnsi="Times New Roman" w:eastAsia="宋体" w:cs="宋体"/>
          <w:color w:val="auto"/>
          <w:kern w:val="0"/>
          <w:sz w:val="24"/>
          <w:szCs w:val="24"/>
          <w:lang w:val="en-US" w:eastAsia="zh-CN" w:bidi="ar-SA"/>
        </w:rPr>
        <w:t>③管道泄漏的预防</w:t>
      </w:r>
    </w:p>
    <w:p w14:paraId="094022B2">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both"/>
        <w:textAlignment w:val="baseline"/>
        <w:rPr>
          <w:rFonts w:hint="default" w:ascii="Times New Roman" w:hAnsi="Times New Roman" w:eastAsia="宋体" w:cs="宋体"/>
          <w:color w:val="auto"/>
          <w:kern w:val="0"/>
          <w:sz w:val="24"/>
          <w:szCs w:val="24"/>
          <w:lang w:val="en-US" w:eastAsia="zh-CN" w:bidi="ar-SA"/>
        </w:rPr>
      </w:pPr>
      <w:r>
        <w:rPr>
          <w:rFonts w:hint="default" w:ascii="Times New Roman" w:hAnsi="Times New Roman" w:eastAsia="宋体" w:cs="宋体"/>
          <w:color w:val="auto"/>
          <w:kern w:val="0"/>
          <w:sz w:val="24"/>
          <w:szCs w:val="24"/>
          <w:lang w:val="en-US" w:eastAsia="zh-CN" w:bidi="ar-SA"/>
        </w:rPr>
        <w:t>设专人每日检查管道，若采用地下管道应使用防腐蚀管材，并在埋设的地面做标记，以防开挖时破坏管道。地上管道应防止汽车碾压碰撞，并控制管道支撑的磨损，定期系统试压、定期检漏，管道施工应按规范要求进行。</w:t>
      </w:r>
    </w:p>
    <w:p w14:paraId="16218936">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both"/>
        <w:textAlignment w:val="baseline"/>
        <w:rPr>
          <w:rFonts w:hint="default" w:ascii="Times New Roman" w:hAnsi="Times New Roman" w:eastAsia="宋体" w:cs="宋体"/>
          <w:color w:val="auto"/>
          <w:kern w:val="0"/>
          <w:sz w:val="24"/>
          <w:szCs w:val="24"/>
          <w:lang w:val="en-US" w:eastAsia="zh-CN" w:bidi="ar-SA"/>
        </w:rPr>
      </w:pPr>
      <w:r>
        <w:rPr>
          <w:rFonts w:hint="default" w:ascii="Times New Roman" w:hAnsi="Times New Roman" w:eastAsia="宋体" w:cs="宋体"/>
          <w:color w:val="auto"/>
          <w:kern w:val="0"/>
          <w:sz w:val="24"/>
          <w:szCs w:val="24"/>
          <w:lang w:val="en-US" w:eastAsia="zh-CN" w:bidi="ar-SA"/>
        </w:rPr>
        <w:t>④</w:t>
      </w:r>
      <w:r>
        <w:rPr>
          <w:rFonts w:hint="eastAsia" w:eastAsia="宋体" w:cs="宋体"/>
          <w:color w:val="auto"/>
          <w:kern w:val="0"/>
          <w:sz w:val="24"/>
          <w:szCs w:val="24"/>
          <w:lang w:val="en-US" w:eastAsia="zh-CN" w:bidi="ar-SA"/>
        </w:rPr>
        <w:t>重金属管控措施</w:t>
      </w:r>
    </w:p>
    <w:p w14:paraId="173878BB">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both"/>
        <w:textAlignment w:val="baseline"/>
        <w:rPr>
          <w:rFonts w:hint="default" w:ascii="Times New Roman" w:hAnsi="Times New Roman" w:eastAsia="宋体" w:cs="宋体"/>
          <w:color w:val="auto"/>
          <w:kern w:val="0"/>
          <w:sz w:val="24"/>
          <w:szCs w:val="24"/>
          <w:lang w:val="en-US" w:eastAsia="zh-CN" w:bidi="ar-SA"/>
        </w:rPr>
      </w:pPr>
      <w:r>
        <w:rPr>
          <w:rFonts w:hint="default" w:ascii="Times New Roman" w:hAnsi="Times New Roman" w:eastAsia="宋体" w:cs="宋体"/>
          <w:color w:val="auto"/>
          <w:kern w:val="0"/>
          <w:sz w:val="24"/>
          <w:szCs w:val="24"/>
          <w:lang w:val="en-US" w:eastAsia="zh-CN" w:bidi="ar-SA"/>
        </w:rPr>
        <w:t>马铃薯淀粉加工期间，对马铃薯每批次抽检一次，检测马铃薯中铅、镉、汞、砷、铬等重金属，对生产用水每年抽检一次，检测项目六价铬、镉、铅、汞、砷、溶解性总固体、总硬度、氯化物、氟化物、耗氧量、阴离子表面活性剂、钠。一旦发现马铃薯或用水中有指标不符合要求，立即暂停生产，更换原料或水源。</w:t>
      </w:r>
    </w:p>
    <w:p w14:paraId="6FBA566D">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both"/>
        <w:textAlignment w:val="baseline"/>
        <w:rPr>
          <w:rFonts w:hint="default" w:ascii="Times New Roman" w:hAnsi="Times New Roman" w:eastAsia="宋体" w:cs="宋体"/>
          <w:color w:val="auto"/>
          <w:kern w:val="0"/>
          <w:sz w:val="24"/>
          <w:szCs w:val="24"/>
          <w:lang w:val="en-US" w:eastAsia="zh-CN" w:bidi="ar-SA"/>
        </w:rPr>
      </w:pPr>
      <w:r>
        <w:rPr>
          <w:rFonts w:hint="default" w:ascii="Times New Roman" w:hAnsi="Times New Roman" w:eastAsia="宋体" w:cs="宋体"/>
          <w:color w:val="auto"/>
          <w:kern w:val="0"/>
          <w:sz w:val="24"/>
          <w:szCs w:val="24"/>
          <w:lang w:val="en-US" w:eastAsia="zh-CN" w:bidi="ar-SA"/>
        </w:rPr>
        <w:t>生产期间，每日打扫车间卫生，保持车间和设备清洁，发现跑、冒、滴、漏现象及时处理。</w:t>
      </w:r>
    </w:p>
    <w:p w14:paraId="7AEAAF7C">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both"/>
        <w:textAlignment w:val="baseline"/>
        <w:rPr>
          <w:rFonts w:hint="default" w:ascii="Times New Roman" w:hAnsi="Times New Roman" w:eastAsia="宋体" w:cs="宋体"/>
          <w:color w:val="auto"/>
          <w:kern w:val="0"/>
          <w:sz w:val="24"/>
          <w:szCs w:val="24"/>
          <w:lang w:val="en-US" w:eastAsia="zh-CN" w:bidi="ar-SA"/>
        </w:rPr>
      </w:pPr>
      <w:r>
        <w:rPr>
          <w:rFonts w:hint="default" w:ascii="Times New Roman" w:hAnsi="Times New Roman" w:eastAsia="宋体" w:cs="宋体"/>
          <w:color w:val="auto"/>
          <w:kern w:val="0"/>
          <w:sz w:val="24"/>
          <w:szCs w:val="24"/>
          <w:lang w:val="en-US" w:eastAsia="zh-CN" w:bidi="ar-SA"/>
        </w:rPr>
        <w:t>⑤极端天气应对计划</w:t>
      </w:r>
    </w:p>
    <w:p w14:paraId="318D261F">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both"/>
        <w:textAlignment w:val="baseline"/>
        <w:rPr>
          <w:rFonts w:hint="default" w:ascii="Times New Roman" w:hAnsi="Times New Roman" w:eastAsia="宋体" w:cs="宋体"/>
          <w:color w:val="auto"/>
          <w:kern w:val="0"/>
          <w:sz w:val="24"/>
          <w:szCs w:val="24"/>
          <w:lang w:val="en-US" w:eastAsia="zh-CN" w:bidi="ar-SA"/>
        </w:rPr>
      </w:pPr>
      <w:r>
        <w:rPr>
          <w:rFonts w:hint="default" w:ascii="Times New Roman" w:hAnsi="Times New Roman" w:eastAsia="宋体" w:cs="宋体"/>
          <w:color w:val="auto"/>
          <w:kern w:val="0"/>
          <w:sz w:val="24"/>
          <w:szCs w:val="24"/>
          <w:lang w:val="en-US" w:eastAsia="zh-CN" w:bidi="ar-SA"/>
        </w:rPr>
        <w:t>关注未来一周的天气情况，做好还田利用计划，还田前应在田间垒砌田埂，防范暴雨冲刷地表形成径流流出还田区域，造成污染。</w:t>
      </w:r>
    </w:p>
    <w:p w14:paraId="559A9BC4">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both"/>
        <w:textAlignment w:val="baseline"/>
        <w:rPr>
          <w:rFonts w:hint="default" w:ascii="Times New Roman" w:hAnsi="Times New Roman"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⑥</w:t>
      </w:r>
      <w:r>
        <w:rPr>
          <w:rFonts w:hint="default" w:ascii="Times New Roman" w:hAnsi="Times New Roman" w:eastAsia="宋体" w:cs="宋体"/>
          <w:color w:val="auto"/>
          <w:kern w:val="0"/>
          <w:sz w:val="24"/>
          <w:szCs w:val="24"/>
          <w:lang w:val="en-US" w:eastAsia="zh-CN" w:bidi="ar-SA"/>
        </w:rPr>
        <w:t>风险应急措施</w:t>
      </w:r>
    </w:p>
    <w:p w14:paraId="722E81C2">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both"/>
        <w:textAlignment w:val="baseline"/>
        <w:rPr>
          <w:rFonts w:hint="default" w:ascii="Times New Roman" w:hAnsi="Times New Roman" w:eastAsia="宋体" w:cs="宋体"/>
          <w:color w:val="auto"/>
          <w:kern w:val="0"/>
          <w:sz w:val="24"/>
          <w:szCs w:val="24"/>
          <w:lang w:val="en-US" w:eastAsia="zh-CN" w:bidi="ar-SA"/>
        </w:rPr>
      </w:pPr>
      <w:r>
        <w:rPr>
          <w:rFonts w:hint="default" w:ascii="Times New Roman" w:hAnsi="Times New Roman" w:eastAsia="宋体" w:cs="宋体"/>
          <w:color w:val="auto"/>
          <w:kern w:val="0"/>
          <w:sz w:val="24"/>
          <w:szCs w:val="24"/>
          <w:lang w:val="en-US" w:eastAsia="zh-CN" w:bidi="ar-SA"/>
        </w:rPr>
        <w:t>还田管路发生泄漏时，立即停止所有还田活动，关闭管道阀门，修复管路泄漏处；</w:t>
      </w:r>
    </w:p>
    <w:p w14:paraId="4A3A183C">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both"/>
        <w:textAlignment w:val="baseline"/>
        <w:rPr>
          <w:rFonts w:hint="default" w:ascii="Times New Roman" w:hAnsi="Times New Roman" w:eastAsia="宋体" w:cs="宋体"/>
          <w:color w:val="auto"/>
          <w:kern w:val="0"/>
          <w:sz w:val="24"/>
          <w:szCs w:val="24"/>
          <w:lang w:val="en-US" w:eastAsia="zh-CN" w:bidi="ar-SA"/>
        </w:rPr>
      </w:pPr>
      <w:r>
        <w:rPr>
          <w:rFonts w:hint="default" w:ascii="Times New Roman" w:hAnsi="Times New Roman" w:eastAsia="宋体" w:cs="宋体"/>
          <w:color w:val="auto"/>
          <w:kern w:val="0"/>
          <w:sz w:val="24"/>
          <w:szCs w:val="24"/>
          <w:lang w:val="en-US" w:eastAsia="zh-CN" w:bidi="ar-SA"/>
        </w:rPr>
        <w:t>预发酵沉淀池、黑膜配水池、</w:t>
      </w:r>
      <w:r>
        <w:rPr>
          <w:rFonts w:hint="eastAsia" w:eastAsia="宋体" w:cs="宋体"/>
          <w:color w:val="auto"/>
          <w:kern w:val="0"/>
          <w:sz w:val="24"/>
          <w:szCs w:val="24"/>
          <w:lang w:val="en-US" w:eastAsia="zh-CN" w:bidi="ar-SA"/>
        </w:rPr>
        <w:t>黑膜氧化池</w:t>
      </w:r>
      <w:r>
        <w:rPr>
          <w:rFonts w:hint="default" w:ascii="Times New Roman" w:hAnsi="Times New Roman" w:eastAsia="宋体" w:cs="宋体"/>
          <w:color w:val="auto"/>
          <w:kern w:val="0"/>
          <w:sz w:val="24"/>
          <w:szCs w:val="24"/>
          <w:lang w:val="en-US" w:eastAsia="zh-CN" w:bidi="ar-SA"/>
        </w:rPr>
        <w:t>等发生泄漏时，立即停止所有还田活动，利用可用物品堵塞泄漏点，同时将池内的沼液转移至事故应急池；</w:t>
      </w:r>
    </w:p>
    <w:p w14:paraId="145780DF">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both"/>
        <w:textAlignment w:val="baseline"/>
        <w:rPr>
          <w:rFonts w:hint="default" w:ascii="Times New Roman" w:hAnsi="Times New Roman" w:eastAsia="宋体" w:cs="宋体"/>
          <w:color w:val="auto"/>
          <w:kern w:val="0"/>
          <w:sz w:val="24"/>
          <w:szCs w:val="24"/>
          <w:lang w:val="en-US" w:eastAsia="zh-CN" w:bidi="ar-SA"/>
        </w:rPr>
      </w:pPr>
      <w:r>
        <w:rPr>
          <w:rFonts w:hint="default" w:ascii="Times New Roman" w:hAnsi="Times New Roman" w:eastAsia="宋体" w:cs="宋体"/>
          <w:color w:val="auto"/>
          <w:kern w:val="0"/>
          <w:sz w:val="24"/>
          <w:szCs w:val="24"/>
          <w:lang w:val="en-US" w:eastAsia="zh-CN" w:bidi="ar-SA"/>
        </w:rPr>
        <w:t>沼液资源化利用水质要求参考</w:t>
      </w:r>
      <w:r>
        <w:rPr>
          <w:rFonts w:hint="eastAsia" w:eastAsia="宋体" w:cs="宋体"/>
          <w:color w:val="auto"/>
          <w:kern w:val="0"/>
          <w:sz w:val="24"/>
          <w:szCs w:val="24"/>
          <w:lang w:val="en-US" w:eastAsia="zh-CN" w:bidi="ar-SA"/>
        </w:rPr>
        <w:t>表4-14、4-15</w:t>
      </w:r>
      <w:r>
        <w:rPr>
          <w:rFonts w:hint="default" w:ascii="Times New Roman" w:hAnsi="Times New Roman" w:eastAsia="宋体" w:cs="宋体"/>
          <w:color w:val="auto"/>
          <w:kern w:val="0"/>
          <w:sz w:val="24"/>
          <w:szCs w:val="24"/>
          <w:lang w:val="en-US" w:eastAsia="zh-CN" w:bidi="ar-SA"/>
        </w:rPr>
        <w:t>中的相关要求，当不符合要求时，立即停止所有还田利用活动，分析查找原因，并将沼液转移至事故应急池，处理符合要求后再行还田利用；</w:t>
      </w:r>
    </w:p>
    <w:p w14:paraId="36B6CF43">
      <w:pPr>
        <w:pStyle w:val="27"/>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rightChars="0" w:firstLine="480" w:firstLineChars="200"/>
        <w:jc w:val="both"/>
        <w:textAlignment w:val="baseline"/>
        <w:rPr>
          <w:rFonts w:hint="default" w:ascii="Times New Roman" w:hAnsi="Times New Roman" w:eastAsia="宋体" w:cs="宋体"/>
          <w:color w:val="auto"/>
          <w:kern w:val="0"/>
          <w:sz w:val="24"/>
          <w:szCs w:val="24"/>
          <w:lang w:val="en-US" w:eastAsia="zh-CN" w:bidi="ar-SA"/>
        </w:rPr>
      </w:pPr>
      <w:r>
        <w:rPr>
          <w:rFonts w:hint="default" w:ascii="Times New Roman" w:hAnsi="Times New Roman" w:eastAsia="宋体" w:cs="宋体"/>
          <w:color w:val="auto"/>
          <w:kern w:val="0"/>
          <w:sz w:val="24"/>
          <w:szCs w:val="24"/>
          <w:lang w:val="en-US" w:eastAsia="zh-CN" w:bidi="ar-SA"/>
        </w:rPr>
        <w:t>还田过程突遇暴雨时，立即停止所有还田活动，关闭管道阀门，加固田埂，并密切关注地表积水情况。必要时，通过集水渠和集水池将地表积水输送至事故池。</w:t>
      </w:r>
    </w:p>
    <w:p w14:paraId="64249F49">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eastAsia" w:ascii="Times New Roman" w:hAnsi="Times New Roman" w:eastAsia="宋体" w:cs="宋体"/>
          <w:b/>
          <w:bCs/>
          <w:color w:val="auto"/>
          <w:sz w:val="28"/>
          <w:szCs w:val="28"/>
          <w:lang w:val="en-US" w:eastAsia="zh-CN"/>
        </w:rPr>
      </w:pPr>
      <w:bookmarkStart w:id="60" w:name="_Toc30199"/>
      <w:r>
        <w:rPr>
          <w:rFonts w:hint="eastAsia" w:ascii="Times New Roman" w:hAnsi="Times New Roman" w:cs="宋体"/>
          <w:b/>
          <w:bCs/>
          <w:color w:val="auto"/>
          <w:sz w:val="28"/>
          <w:szCs w:val="28"/>
          <w:lang w:val="en-US" w:eastAsia="zh-CN"/>
        </w:rPr>
        <w:t>5</w:t>
      </w:r>
      <w:r>
        <w:rPr>
          <w:rFonts w:hint="eastAsia" w:ascii="Times New Roman" w:hAnsi="Times New Roman" w:eastAsia="宋体" w:cs="宋体"/>
          <w:b/>
          <w:bCs/>
          <w:color w:val="auto"/>
          <w:sz w:val="28"/>
          <w:szCs w:val="28"/>
          <w:lang w:val="en-US" w:eastAsia="zh-CN"/>
        </w:rPr>
        <w:t>.5、安全应急措施</w:t>
      </w:r>
      <w:bookmarkEnd w:id="60"/>
    </w:p>
    <w:p w14:paraId="1931F0B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color w:val="auto"/>
          <w:lang w:val="en-US" w:eastAsia="zh-CN"/>
        </w:rPr>
      </w:pPr>
      <w:r>
        <w:rPr>
          <w:rFonts w:hint="eastAsia" w:ascii="Times New Roman" w:hAnsi="Times New Roman" w:eastAsia="宋体" w:cs="宋体"/>
          <w:snapToGrid w:val="0"/>
          <w:color w:val="auto"/>
          <w:kern w:val="0"/>
          <w:sz w:val="24"/>
          <w:szCs w:val="24"/>
          <w:lang w:val="en-US" w:eastAsia="zh-CN" w:bidi="ar"/>
        </w:rPr>
        <w:t>本项目环境风险主要为废水处理设施的环境风险，通过以下措施，能大大减少事故发生概率及影响范围：</w:t>
      </w:r>
    </w:p>
    <w:p w14:paraId="06CD4937">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bookmarkStart w:id="61" w:name="_Toc11867"/>
      <w:r>
        <w:rPr>
          <w:rFonts w:hint="eastAsia" w:ascii="Times New Roman" w:hAnsi="Times New Roman" w:eastAsia="宋体" w:cs="宋体"/>
          <w:b/>
          <w:color w:val="auto"/>
          <w:sz w:val="24"/>
          <w:lang w:val="en-US" w:eastAsia="zh-CN"/>
        </w:rPr>
        <w:t>5.5.1、废水处理设施环境风险预防措施</w:t>
      </w:r>
      <w:bookmarkEnd w:id="61"/>
    </w:p>
    <w:p w14:paraId="1187063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w:t>
      </w:r>
      <w:r>
        <w:rPr>
          <w:rFonts w:hint="default" w:ascii="Times New Roman" w:hAnsi="Times New Roman" w:eastAsia="宋体" w:cs="宋体"/>
          <w:snapToGrid w:val="0"/>
          <w:color w:val="auto"/>
          <w:kern w:val="0"/>
          <w:sz w:val="24"/>
          <w:szCs w:val="24"/>
          <w:lang w:val="en-US" w:eastAsia="zh-CN" w:bidi="ar"/>
        </w:rPr>
        <w:t>配备足够数量的消防设施、防护器材和应急处理的工具、通讯、漏气检测装置、报警装置装备。</w:t>
      </w:r>
    </w:p>
    <w:p w14:paraId="3FAFBCF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w:t>
      </w:r>
      <w:r>
        <w:rPr>
          <w:rFonts w:hint="default" w:ascii="Times New Roman" w:hAnsi="Times New Roman" w:eastAsia="宋体" w:cs="宋体"/>
          <w:snapToGrid w:val="0"/>
          <w:color w:val="auto"/>
          <w:kern w:val="0"/>
          <w:sz w:val="24"/>
          <w:szCs w:val="24"/>
          <w:lang w:val="en-US" w:eastAsia="zh-CN" w:bidi="ar"/>
        </w:rPr>
        <w:t>加强对沼气燃烧设施巡检，及时维护，尽量减少沼气泄漏的可能性。</w:t>
      </w:r>
    </w:p>
    <w:p w14:paraId="0E7C4E0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（3）</w:t>
      </w:r>
      <w:r>
        <w:rPr>
          <w:rFonts w:hint="default" w:ascii="Times New Roman" w:hAnsi="Times New Roman" w:eastAsia="宋体" w:cs="宋体"/>
          <w:snapToGrid w:val="0"/>
          <w:color w:val="auto"/>
          <w:kern w:val="0"/>
          <w:sz w:val="24"/>
          <w:szCs w:val="24"/>
          <w:lang w:val="en-US" w:eastAsia="zh-CN" w:bidi="ar"/>
        </w:rPr>
        <w:t>对事故易发区域，要加大巡查频率，提高巡查的有效性，发现对管道安全有影响的行为，应及时制止、采取相应措施并向上级报告。</w:t>
      </w:r>
    </w:p>
    <w:p w14:paraId="5C64424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（4）</w:t>
      </w:r>
      <w:r>
        <w:rPr>
          <w:rFonts w:hint="eastAsia" w:ascii="Times New Roman" w:hAnsi="Times New Roman" w:eastAsia="宋体" w:cs="宋体"/>
          <w:snapToGrid w:val="0"/>
          <w:color w:val="auto"/>
          <w:kern w:val="0"/>
          <w:sz w:val="24"/>
          <w:szCs w:val="24"/>
          <w:lang w:val="en-US" w:eastAsia="zh-CN" w:bidi="ar"/>
        </w:rPr>
        <w:t>在黑膜氧化池</w:t>
      </w:r>
      <w:r>
        <w:rPr>
          <w:rFonts w:hint="default" w:ascii="Times New Roman" w:hAnsi="Times New Roman" w:eastAsia="宋体" w:cs="宋体"/>
          <w:snapToGrid w:val="0"/>
          <w:color w:val="auto"/>
          <w:kern w:val="0"/>
          <w:sz w:val="24"/>
          <w:szCs w:val="24"/>
          <w:lang w:val="en-US" w:eastAsia="zh-CN" w:bidi="ar"/>
        </w:rPr>
        <w:t>等池体附近应设置明显的“严禁烟火、禁止打手机”警戒</w:t>
      </w:r>
      <w:r>
        <w:rPr>
          <w:rFonts w:hint="eastAsia" w:ascii="Times New Roman" w:hAnsi="Times New Roman" w:eastAsia="宋体" w:cs="宋体"/>
          <w:snapToGrid w:val="0"/>
          <w:color w:val="auto"/>
          <w:kern w:val="0"/>
          <w:sz w:val="24"/>
          <w:szCs w:val="24"/>
          <w:lang w:val="en-US" w:eastAsia="zh-CN" w:bidi="ar"/>
        </w:rPr>
        <w:t>标识</w:t>
      </w:r>
      <w:r>
        <w:rPr>
          <w:rFonts w:hint="default" w:ascii="Times New Roman" w:hAnsi="Times New Roman" w:eastAsia="宋体" w:cs="宋体"/>
          <w:snapToGrid w:val="0"/>
          <w:color w:val="auto"/>
          <w:kern w:val="0"/>
          <w:sz w:val="24"/>
          <w:szCs w:val="24"/>
          <w:lang w:val="en-US" w:eastAsia="zh-CN" w:bidi="ar"/>
        </w:rPr>
        <w:t>牌。</w:t>
      </w:r>
    </w:p>
    <w:p w14:paraId="0F07683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（5）将本工程风险防范纳入风险防范体系中，制定应急预案；建立健全各种规章制度，如防火责任制、安全操作规程、定期检修制度等。</w:t>
      </w:r>
    </w:p>
    <w:p w14:paraId="3993E69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（6）加强对厂内员工的安全教育，增强员工安全防护意识和自我保护意识，发现问题及时做出应急反应并启动应急预案。</w:t>
      </w:r>
    </w:p>
    <w:p w14:paraId="77DA8E3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（7）</w:t>
      </w:r>
      <w:r>
        <w:rPr>
          <w:rFonts w:hint="default" w:ascii="Times New Roman" w:hAnsi="Times New Roman" w:eastAsia="宋体" w:cs="宋体"/>
          <w:snapToGrid w:val="0"/>
          <w:color w:val="auto"/>
          <w:kern w:val="0"/>
          <w:sz w:val="24"/>
          <w:szCs w:val="24"/>
          <w:lang w:val="en-US" w:eastAsia="zh-CN" w:bidi="ar"/>
        </w:rPr>
        <w:t>为了确保</w:t>
      </w:r>
      <w:r>
        <w:rPr>
          <w:rFonts w:hint="eastAsia" w:ascii="Times New Roman" w:hAnsi="Times New Roman" w:eastAsia="宋体" w:cs="宋体"/>
          <w:snapToGrid w:val="0"/>
          <w:color w:val="auto"/>
          <w:kern w:val="0"/>
          <w:sz w:val="24"/>
          <w:szCs w:val="24"/>
          <w:lang w:val="en-US" w:eastAsia="zh-CN" w:bidi="ar"/>
        </w:rPr>
        <w:t>废水处理设施</w:t>
      </w:r>
      <w:r>
        <w:rPr>
          <w:rFonts w:hint="default" w:ascii="Times New Roman" w:hAnsi="Times New Roman" w:eastAsia="宋体" w:cs="宋体"/>
          <w:snapToGrid w:val="0"/>
          <w:color w:val="auto"/>
          <w:kern w:val="0"/>
          <w:sz w:val="24"/>
          <w:szCs w:val="24"/>
          <w:lang w:val="en-US" w:eastAsia="zh-CN" w:bidi="ar"/>
        </w:rPr>
        <w:t>正常、不出现停止运行的情况，防止环境风险的发生，需对废水处理</w:t>
      </w:r>
      <w:r>
        <w:rPr>
          <w:rFonts w:hint="eastAsia" w:ascii="Times New Roman" w:hAnsi="Times New Roman" w:eastAsia="宋体" w:cs="宋体"/>
          <w:snapToGrid w:val="0"/>
          <w:color w:val="auto"/>
          <w:kern w:val="0"/>
          <w:sz w:val="24"/>
          <w:szCs w:val="24"/>
          <w:lang w:val="en-US" w:eastAsia="zh-CN" w:bidi="ar"/>
        </w:rPr>
        <w:t>设施</w:t>
      </w:r>
      <w:r>
        <w:rPr>
          <w:rFonts w:hint="default" w:ascii="Times New Roman" w:hAnsi="Times New Roman" w:eastAsia="宋体" w:cs="宋体"/>
          <w:snapToGrid w:val="0"/>
          <w:color w:val="auto"/>
          <w:kern w:val="0"/>
          <w:sz w:val="24"/>
          <w:szCs w:val="24"/>
          <w:lang w:val="en-US" w:eastAsia="zh-CN" w:bidi="ar"/>
        </w:rPr>
        <w:t>提供双路电源和应急电源，保证废水处理设施用电不间断。废水处理设施的稳定运行与管网的维护关系密切。应十分重视管网的维护及管理，防止泥沙沉积堵塞而影响管道的过水能力。管道衔接应防止泄漏污染地下水和掏空地基，淤塞应及时疏浚，保证管道通畅，同时最大限度地收集废水。废水干管和支管设计中，选择适当充满度和最小设计流速，防止污泥沉积。平日加强对机械设备的维护，一旦发生事故应及时进行维修。废水处理设施的事故来源于设备故障、检修或由于工艺参数改变而使处理效果变差，其防治措施为：</w:t>
      </w:r>
    </w:p>
    <w:p w14:paraId="18DA310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①废水处理设施采用双路供电，设计考虑备用，机械设备采用性能可靠优质产品。</w:t>
      </w:r>
    </w:p>
    <w:p w14:paraId="6AB4CCF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②选用优质设备，对废水处理设施各种机械电器、仪表等设备，必须选择质量优良、事故率低、便于维修的产品。关键设备应一备一用，易损部件要有备用件，在出现事故时能及时更换。</w:t>
      </w:r>
    </w:p>
    <w:p w14:paraId="50D0FF6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③加强事故苗头监控，定期巡检、调节、保养、维修。及时发现有可能引起事故的异常运行苗头，消除事故隐患。</w:t>
      </w:r>
    </w:p>
    <w:p w14:paraId="6E2C4A5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④严格控制处理单元的水量、水质、停留时间、负荷强度等工艺参数，确保处理效果的稳定性。配备流量、水质自动分析监控仪器，定期取样监测。操作人员及时调整，使设备处于最佳工况。如发现不正常现象，就需立即采取预防措施。</w:t>
      </w:r>
    </w:p>
    <w:p w14:paraId="09962B6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⑤建立安全操作规程，在平时严格按规程办事，定期对废水处理设施人员的理论知识和操作技能进行培训和检查。</w:t>
      </w:r>
    </w:p>
    <w:p w14:paraId="728CC48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⑥加强运行管理和进出水的监测工作，未经处理达标的废水严禁外排。</w:t>
      </w:r>
    </w:p>
    <w:p w14:paraId="309C2C5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⑦建立安全责任制度，在日常的工作管理方面建立一套完整的制度，落实到人、明确职责、定期检查。制订风险事故的应急措施，明确事故发生时的应急、抢险操作制度。</w:t>
      </w:r>
    </w:p>
    <w:p w14:paraId="512FB04F">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bookmarkStart w:id="62" w:name="_Toc2427"/>
      <w:r>
        <w:rPr>
          <w:rFonts w:hint="eastAsia" w:ascii="Times New Roman" w:hAnsi="Times New Roman" w:eastAsia="宋体" w:cs="宋体"/>
          <w:b/>
          <w:color w:val="auto"/>
          <w:sz w:val="24"/>
          <w:lang w:val="en-US" w:eastAsia="zh-CN"/>
        </w:rPr>
        <w:t>5</w:t>
      </w:r>
      <w:r>
        <w:rPr>
          <w:rFonts w:hint="default" w:ascii="Times New Roman" w:hAnsi="Times New Roman" w:eastAsia="宋体" w:cs="宋体"/>
          <w:b/>
          <w:color w:val="auto"/>
          <w:sz w:val="24"/>
          <w:lang w:val="en-US" w:eastAsia="zh-CN"/>
        </w:rPr>
        <w:t>.</w:t>
      </w:r>
      <w:r>
        <w:rPr>
          <w:rFonts w:hint="eastAsia" w:ascii="Times New Roman" w:hAnsi="Times New Roman" w:eastAsia="宋体" w:cs="宋体"/>
          <w:b/>
          <w:color w:val="auto"/>
          <w:sz w:val="24"/>
          <w:lang w:val="en-US" w:eastAsia="zh-CN"/>
        </w:rPr>
        <w:t>5</w:t>
      </w:r>
      <w:r>
        <w:rPr>
          <w:rFonts w:hint="default" w:ascii="Times New Roman" w:hAnsi="Times New Roman" w:eastAsia="宋体" w:cs="宋体"/>
          <w:b/>
          <w:color w:val="auto"/>
          <w:sz w:val="24"/>
          <w:lang w:val="en-US" w:eastAsia="zh-CN"/>
        </w:rPr>
        <w:t>.</w:t>
      </w:r>
      <w:r>
        <w:rPr>
          <w:rFonts w:hint="eastAsia" w:ascii="Times New Roman" w:hAnsi="Times New Roman" w:eastAsia="宋体" w:cs="宋体"/>
          <w:b/>
          <w:color w:val="auto"/>
          <w:sz w:val="24"/>
          <w:lang w:val="en-US" w:eastAsia="zh-CN"/>
        </w:rPr>
        <w:t>2、</w:t>
      </w:r>
      <w:r>
        <w:rPr>
          <w:rFonts w:hint="default" w:ascii="Times New Roman" w:hAnsi="Times New Roman" w:eastAsia="宋体" w:cs="宋体"/>
          <w:b/>
          <w:color w:val="auto"/>
          <w:sz w:val="24"/>
          <w:lang w:val="en-US" w:eastAsia="zh-CN"/>
        </w:rPr>
        <w:t>火灾、爆炸事故风险防范措施</w:t>
      </w:r>
      <w:bookmarkEnd w:id="62"/>
    </w:p>
    <w:p w14:paraId="61193D9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为防止</w:t>
      </w:r>
      <w:r>
        <w:rPr>
          <w:rFonts w:hint="eastAsia" w:ascii="Times New Roman" w:hAnsi="Times New Roman" w:eastAsia="宋体" w:cs="宋体"/>
          <w:snapToGrid w:val="0"/>
          <w:color w:val="auto"/>
          <w:kern w:val="0"/>
          <w:sz w:val="24"/>
          <w:szCs w:val="24"/>
          <w:lang w:val="en-US" w:eastAsia="zh-CN" w:bidi="ar"/>
        </w:rPr>
        <w:t>沼气</w:t>
      </w:r>
      <w:r>
        <w:rPr>
          <w:rFonts w:hint="default" w:ascii="Times New Roman" w:hAnsi="Times New Roman" w:eastAsia="宋体" w:cs="宋体"/>
          <w:snapToGrid w:val="0"/>
          <w:color w:val="auto"/>
          <w:kern w:val="0"/>
          <w:sz w:val="24"/>
          <w:szCs w:val="24"/>
          <w:lang w:val="en-US" w:eastAsia="zh-CN" w:bidi="ar"/>
        </w:rPr>
        <w:t>泄漏而导致风险事故的发生，可采取以下风险防范措施：</w:t>
      </w:r>
    </w:p>
    <w:p w14:paraId="03CDB66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w:t>
      </w:r>
      <w:r>
        <w:rPr>
          <w:rFonts w:hint="default" w:ascii="Times New Roman" w:hAnsi="Times New Roman" w:eastAsia="宋体" w:cs="宋体"/>
          <w:snapToGrid w:val="0"/>
          <w:color w:val="auto"/>
          <w:kern w:val="0"/>
          <w:sz w:val="24"/>
          <w:szCs w:val="24"/>
          <w:lang w:val="en-US" w:eastAsia="zh-CN" w:bidi="ar"/>
        </w:rPr>
        <w:t>加强管理、提高防范意识。在</w:t>
      </w:r>
      <w:r>
        <w:rPr>
          <w:rFonts w:hint="eastAsia" w:ascii="Times New Roman" w:hAnsi="Times New Roman" w:eastAsia="宋体" w:cs="宋体"/>
          <w:snapToGrid w:val="0"/>
          <w:color w:val="auto"/>
          <w:kern w:val="0"/>
          <w:sz w:val="24"/>
          <w:szCs w:val="24"/>
          <w:lang w:val="en-US" w:eastAsia="zh-CN" w:bidi="ar"/>
        </w:rPr>
        <w:t>沼气燃烧</w:t>
      </w:r>
      <w:r>
        <w:rPr>
          <w:rFonts w:hint="default" w:ascii="Times New Roman" w:hAnsi="Times New Roman" w:eastAsia="宋体" w:cs="宋体"/>
          <w:snapToGrid w:val="0"/>
          <w:color w:val="auto"/>
          <w:kern w:val="0"/>
          <w:sz w:val="24"/>
          <w:szCs w:val="24"/>
          <w:lang w:val="en-US" w:eastAsia="zh-CN" w:bidi="ar"/>
        </w:rPr>
        <w:t>过程中要运用先进的安全管理技术，制定完善的管理制度，全面落实岗位职责，对预防沼气泄漏十分必要。</w:t>
      </w:r>
    </w:p>
    <w:p w14:paraId="24E4330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2</w:t>
      </w:r>
      <w:r>
        <w:rPr>
          <w:rFonts w:hint="default" w:ascii="Times New Roman" w:hAnsi="Times New Roman" w:eastAsia="宋体" w:cs="宋体"/>
          <w:snapToGrid w:val="0"/>
          <w:color w:val="auto"/>
          <w:kern w:val="0"/>
          <w:sz w:val="24"/>
          <w:szCs w:val="24"/>
          <w:lang w:val="en-US" w:eastAsia="zh-CN" w:bidi="ar"/>
        </w:rPr>
        <w:t>）规范操作、加强检查和维修，防止操作失误和违章作业，减少或杜绝人为操作所致的泄漏事故；发现泄漏要及时处理，以保证系统处于良好的工作状态。</w:t>
      </w:r>
    </w:p>
    <w:p w14:paraId="1E0FBEB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3</w:t>
      </w:r>
      <w:r>
        <w:rPr>
          <w:rFonts w:hint="default" w:ascii="Times New Roman" w:hAnsi="Times New Roman" w:eastAsia="宋体" w:cs="宋体"/>
          <w:snapToGrid w:val="0"/>
          <w:color w:val="auto"/>
          <w:kern w:val="0"/>
          <w:sz w:val="24"/>
          <w:szCs w:val="24"/>
          <w:lang w:val="en-US" w:eastAsia="zh-CN" w:bidi="ar"/>
        </w:rPr>
        <w:t>）安装先进的泄漏检测设备和仪器，经常检查管道等是否老化，接口是否松动。</w:t>
      </w:r>
    </w:p>
    <w:p w14:paraId="7C2E784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4</w:t>
      </w:r>
      <w:r>
        <w:rPr>
          <w:rFonts w:hint="default" w:ascii="Times New Roman" w:hAnsi="Times New Roman" w:eastAsia="宋体" w:cs="宋体"/>
          <w:snapToGrid w:val="0"/>
          <w:color w:val="auto"/>
          <w:kern w:val="0"/>
          <w:sz w:val="24"/>
          <w:szCs w:val="24"/>
          <w:lang w:val="en-US" w:eastAsia="zh-CN" w:bidi="ar"/>
        </w:rPr>
        <w:t>）加强日常管理，禁止在</w:t>
      </w:r>
      <w:r>
        <w:rPr>
          <w:rFonts w:hint="eastAsia" w:ascii="Times New Roman" w:hAnsi="Times New Roman" w:eastAsia="宋体" w:cs="宋体"/>
          <w:snapToGrid w:val="0"/>
          <w:color w:val="auto"/>
          <w:kern w:val="0"/>
          <w:sz w:val="24"/>
          <w:szCs w:val="24"/>
          <w:lang w:val="en-US" w:eastAsia="zh-CN" w:bidi="ar"/>
        </w:rPr>
        <w:t>黑膜氧化池</w:t>
      </w:r>
      <w:r>
        <w:rPr>
          <w:rFonts w:hint="default" w:ascii="Times New Roman" w:hAnsi="Times New Roman" w:eastAsia="宋体" w:cs="宋体"/>
          <w:snapToGrid w:val="0"/>
          <w:color w:val="auto"/>
          <w:kern w:val="0"/>
          <w:sz w:val="24"/>
          <w:szCs w:val="24"/>
          <w:lang w:val="en-US" w:eastAsia="zh-CN" w:bidi="ar"/>
        </w:rPr>
        <w:t>附近存放易燃及易爆物品</w:t>
      </w:r>
      <w:r>
        <w:rPr>
          <w:rFonts w:hint="eastAsia" w:ascii="Times New Roman" w:hAnsi="Times New Roman" w:eastAsia="宋体" w:cs="宋体"/>
          <w:snapToGrid w:val="0"/>
          <w:color w:val="auto"/>
          <w:kern w:val="0"/>
          <w:sz w:val="24"/>
          <w:szCs w:val="24"/>
          <w:lang w:val="en-US" w:eastAsia="zh-CN" w:bidi="ar"/>
        </w:rPr>
        <w:t>。</w:t>
      </w:r>
    </w:p>
    <w:p w14:paraId="7266B25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5</w:t>
      </w:r>
      <w:r>
        <w:rPr>
          <w:rFonts w:hint="default" w:ascii="Times New Roman" w:hAnsi="Times New Roman" w:eastAsia="宋体" w:cs="宋体"/>
          <w:snapToGrid w:val="0"/>
          <w:color w:val="auto"/>
          <w:kern w:val="0"/>
          <w:sz w:val="24"/>
          <w:szCs w:val="24"/>
          <w:lang w:val="en-US" w:eastAsia="zh-CN" w:bidi="ar"/>
        </w:rPr>
        <w:t>）加强自我管理，及时查改用电</w:t>
      </w:r>
      <w:r>
        <w:rPr>
          <w:rFonts w:hint="eastAsia" w:ascii="Times New Roman" w:hAnsi="Times New Roman" w:eastAsia="宋体" w:cs="宋体"/>
          <w:snapToGrid w:val="0"/>
          <w:color w:val="auto"/>
          <w:kern w:val="0"/>
          <w:sz w:val="24"/>
          <w:szCs w:val="24"/>
          <w:lang w:val="en-US" w:eastAsia="zh-CN" w:bidi="ar"/>
        </w:rPr>
        <w:t>及其他方面</w:t>
      </w:r>
      <w:r>
        <w:rPr>
          <w:rFonts w:hint="default" w:ascii="Times New Roman" w:hAnsi="Times New Roman" w:eastAsia="宋体" w:cs="宋体"/>
          <w:snapToGrid w:val="0"/>
          <w:color w:val="auto"/>
          <w:kern w:val="0"/>
          <w:sz w:val="24"/>
          <w:szCs w:val="24"/>
          <w:lang w:val="en-US" w:eastAsia="zh-CN" w:bidi="ar"/>
        </w:rPr>
        <w:t>存在的火灾隐患；加强职工消防安全宣传教育，懂得火灾扑救的基本方法，会报警、会使用灭火器材。</w:t>
      </w:r>
    </w:p>
    <w:p w14:paraId="45768541">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bookmarkStart w:id="63" w:name="_Toc29816"/>
      <w:r>
        <w:rPr>
          <w:rFonts w:hint="eastAsia" w:ascii="Times New Roman" w:hAnsi="Times New Roman" w:eastAsia="宋体" w:cs="宋体"/>
          <w:b/>
          <w:color w:val="auto"/>
          <w:sz w:val="24"/>
          <w:lang w:val="en-US" w:eastAsia="zh-CN"/>
        </w:rPr>
        <w:t>5.5.3、应急预案</w:t>
      </w:r>
      <w:bookmarkEnd w:id="63"/>
    </w:p>
    <w:p w14:paraId="7AF92DB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为最大限度</w:t>
      </w:r>
      <w:r>
        <w:rPr>
          <w:rFonts w:hint="eastAsia" w:ascii="Times New Roman" w:hAnsi="Times New Roman" w:eastAsia="宋体" w:cs="宋体"/>
          <w:snapToGrid w:val="0"/>
          <w:color w:val="auto"/>
          <w:kern w:val="0"/>
          <w:sz w:val="24"/>
          <w:szCs w:val="24"/>
          <w:lang w:val="en-US" w:eastAsia="zh-CN" w:bidi="ar"/>
        </w:rPr>
        <w:t>地减少</w:t>
      </w:r>
      <w:r>
        <w:rPr>
          <w:rFonts w:hint="default" w:ascii="Times New Roman" w:hAnsi="Times New Roman" w:eastAsia="宋体" w:cs="宋体"/>
          <w:snapToGrid w:val="0"/>
          <w:color w:val="auto"/>
          <w:kern w:val="0"/>
          <w:sz w:val="24"/>
          <w:szCs w:val="24"/>
          <w:lang w:val="en-US" w:eastAsia="zh-CN" w:bidi="ar"/>
        </w:rPr>
        <w:t>和防范沼气的泄漏和燃烧、爆炸造成等环境风险事故造成的环境风险及损失，积极应对突发环境污染事故，必须制定安全风险应急预案。当发生事故时，应立即启动应急预案系统。</w:t>
      </w:r>
    </w:p>
    <w:p w14:paraId="0D290AB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根据本环境风险分析的结果，对于本项目可能造成环境风险的突发性事故制定应急预案纲要，具体见下表所示：</w:t>
      </w:r>
    </w:p>
    <w:p w14:paraId="7D276A4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2" w:firstLineChars="200"/>
        <w:jc w:val="center"/>
        <w:textAlignment w:val="baseline"/>
        <w:rPr>
          <w:rFonts w:hint="default" w:ascii="Times New Roman" w:hAnsi="Times New Roman" w:eastAsia="宋体" w:cs="宋体"/>
          <w:b/>
          <w:bCs/>
          <w:snapToGrid w:val="0"/>
          <w:color w:val="auto"/>
          <w:kern w:val="0"/>
          <w:sz w:val="24"/>
          <w:szCs w:val="24"/>
          <w:lang w:val="en-US" w:eastAsia="zh-CN" w:bidi="ar"/>
        </w:rPr>
      </w:pPr>
      <w:bookmarkStart w:id="64" w:name="_Toc27288"/>
      <w:r>
        <w:rPr>
          <w:rFonts w:hint="eastAsia" w:ascii="Times New Roman" w:hAnsi="Times New Roman" w:eastAsia="宋体" w:cs="宋体"/>
          <w:b/>
          <w:bCs/>
          <w:snapToGrid w:val="0"/>
          <w:color w:val="auto"/>
          <w:kern w:val="0"/>
          <w:sz w:val="24"/>
          <w:szCs w:val="24"/>
          <w:lang w:val="en-US" w:eastAsia="zh-CN" w:bidi="ar"/>
        </w:rPr>
        <w:t>表14-1   环境风险突发事故应急预案</w:t>
      </w:r>
      <w:bookmarkEnd w:id="64"/>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1801"/>
        <w:gridCol w:w="5927"/>
      </w:tblGrid>
      <w:tr w14:paraId="4623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shd w:val="clear" w:color="auto" w:fill="auto"/>
            <w:vAlign w:val="center"/>
          </w:tcPr>
          <w:p w14:paraId="7C940198">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b/>
                <w:bCs/>
                <w:snapToGrid w:val="0"/>
                <w:color w:val="auto"/>
                <w:kern w:val="0"/>
                <w:sz w:val="21"/>
                <w:szCs w:val="21"/>
                <w:lang w:val="en-US" w:eastAsia="zh-CN" w:bidi="ar-SA"/>
              </w:rPr>
            </w:pPr>
            <w:r>
              <w:rPr>
                <w:rFonts w:hint="default" w:ascii="Times New Roman" w:hAnsi="Times New Roman" w:eastAsia="宋体" w:cs="宋体"/>
                <w:b/>
                <w:bCs/>
                <w:color w:val="auto"/>
                <w:spacing w:val="5"/>
                <w:sz w:val="21"/>
                <w:szCs w:val="21"/>
              </w:rPr>
              <w:t>序号</w:t>
            </w:r>
          </w:p>
        </w:tc>
        <w:tc>
          <w:tcPr>
            <w:tcW w:w="1801" w:type="dxa"/>
            <w:shd w:val="clear" w:color="auto" w:fill="auto"/>
            <w:vAlign w:val="center"/>
          </w:tcPr>
          <w:p w14:paraId="187BD03C">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b/>
                <w:bCs/>
                <w:snapToGrid w:val="0"/>
                <w:color w:val="auto"/>
                <w:kern w:val="0"/>
                <w:sz w:val="21"/>
                <w:szCs w:val="21"/>
                <w:lang w:val="en-US" w:eastAsia="zh-CN" w:bidi="ar-SA"/>
              </w:rPr>
            </w:pPr>
            <w:r>
              <w:rPr>
                <w:rFonts w:hint="default" w:ascii="Times New Roman" w:hAnsi="Times New Roman" w:eastAsia="宋体" w:cs="宋体"/>
                <w:b/>
                <w:bCs/>
                <w:color w:val="auto"/>
                <w:spacing w:val="3"/>
                <w:sz w:val="21"/>
                <w:szCs w:val="21"/>
              </w:rPr>
              <w:t>项目</w:t>
            </w:r>
          </w:p>
        </w:tc>
        <w:tc>
          <w:tcPr>
            <w:tcW w:w="5927" w:type="dxa"/>
            <w:shd w:val="clear" w:color="auto" w:fill="auto"/>
            <w:vAlign w:val="center"/>
          </w:tcPr>
          <w:p w14:paraId="5633A4DE">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b/>
                <w:bCs/>
                <w:snapToGrid w:val="0"/>
                <w:color w:val="auto"/>
                <w:kern w:val="0"/>
                <w:sz w:val="21"/>
                <w:szCs w:val="21"/>
                <w:lang w:val="en-US" w:eastAsia="zh-CN" w:bidi="ar-SA"/>
              </w:rPr>
            </w:pPr>
            <w:r>
              <w:rPr>
                <w:rFonts w:hint="default" w:ascii="Times New Roman" w:hAnsi="Times New Roman" w:eastAsia="宋体" w:cs="宋体"/>
                <w:b/>
                <w:bCs/>
                <w:color w:val="auto"/>
                <w:spacing w:val="3"/>
                <w:sz w:val="21"/>
                <w:szCs w:val="21"/>
              </w:rPr>
              <w:t>内容及要求</w:t>
            </w:r>
          </w:p>
        </w:tc>
      </w:tr>
      <w:tr w14:paraId="410C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shd w:val="clear" w:color="auto" w:fill="auto"/>
            <w:vAlign w:val="center"/>
          </w:tcPr>
          <w:p w14:paraId="1BF74582">
            <w:pPr>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z w:val="21"/>
                <w:szCs w:val="21"/>
              </w:rPr>
              <w:t>1</w:t>
            </w:r>
          </w:p>
        </w:tc>
        <w:tc>
          <w:tcPr>
            <w:tcW w:w="1801" w:type="dxa"/>
            <w:shd w:val="clear" w:color="auto" w:fill="auto"/>
            <w:vAlign w:val="center"/>
          </w:tcPr>
          <w:p w14:paraId="1D7A3AF3">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7"/>
                <w:sz w:val="21"/>
                <w:szCs w:val="21"/>
              </w:rPr>
              <w:t>危险源情况</w:t>
            </w:r>
          </w:p>
        </w:tc>
        <w:tc>
          <w:tcPr>
            <w:tcW w:w="5927" w:type="dxa"/>
            <w:shd w:val="clear" w:color="auto" w:fill="auto"/>
            <w:vAlign w:val="center"/>
          </w:tcPr>
          <w:p w14:paraId="62804536">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rightChars="0" w:firstLine="0" w:firstLineChars="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14"/>
                <w:sz w:val="21"/>
                <w:szCs w:val="21"/>
              </w:rPr>
              <w:t>详细说明项目施工期和运营期危险源类型、数量、分布及其</w:t>
            </w:r>
            <w:r>
              <w:rPr>
                <w:rFonts w:hint="default" w:ascii="Times New Roman" w:hAnsi="Times New Roman" w:eastAsia="宋体" w:cs="宋体"/>
                <w:color w:val="auto"/>
                <w:spacing w:val="7"/>
                <w:sz w:val="21"/>
                <w:szCs w:val="21"/>
              </w:rPr>
              <w:t>对环境的风险。</w:t>
            </w:r>
          </w:p>
        </w:tc>
      </w:tr>
      <w:tr w14:paraId="7B65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shd w:val="clear" w:color="auto" w:fill="auto"/>
            <w:vAlign w:val="center"/>
          </w:tcPr>
          <w:p w14:paraId="69E74142">
            <w:pPr>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z w:val="21"/>
                <w:szCs w:val="21"/>
              </w:rPr>
              <w:t>2</w:t>
            </w:r>
          </w:p>
        </w:tc>
        <w:tc>
          <w:tcPr>
            <w:tcW w:w="1801" w:type="dxa"/>
            <w:shd w:val="clear" w:color="auto" w:fill="auto"/>
            <w:vAlign w:val="center"/>
          </w:tcPr>
          <w:p w14:paraId="03932677">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8"/>
                <w:sz w:val="21"/>
                <w:szCs w:val="21"/>
              </w:rPr>
              <w:t>应急计划区</w:t>
            </w:r>
          </w:p>
        </w:tc>
        <w:tc>
          <w:tcPr>
            <w:tcW w:w="5927" w:type="dxa"/>
            <w:shd w:val="clear" w:color="auto" w:fill="auto"/>
            <w:vAlign w:val="center"/>
          </w:tcPr>
          <w:p w14:paraId="6BF512EF">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8"/>
                <w:sz w:val="21"/>
                <w:szCs w:val="21"/>
              </w:rPr>
              <w:t>包含周边居民等敏感目标的区域。</w:t>
            </w:r>
          </w:p>
        </w:tc>
      </w:tr>
      <w:tr w14:paraId="18CD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shd w:val="clear" w:color="auto" w:fill="auto"/>
            <w:vAlign w:val="center"/>
          </w:tcPr>
          <w:p w14:paraId="7C4D29B8">
            <w:pPr>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z w:val="21"/>
                <w:szCs w:val="21"/>
              </w:rPr>
              <w:t>3</w:t>
            </w:r>
          </w:p>
        </w:tc>
        <w:tc>
          <w:tcPr>
            <w:tcW w:w="1801" w:type="dxa"/>
            <w:shd w:val="clear" w:color="auto" w:fill="auto"/>
            <w:vAlign w:val="center"/>
          </w:tcPr>
          <w:p w14:paraId="5C281FC7">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7"/>
                <w:sz w:val="21"/>
                <w:szCs w:val="21"/>
              </w:rPr>
              <w:t>应急组织</w:t>
            </w:r>
          </w:p>
        </w:tc>
        <w:tc>
          <w:tcPr>
            <w:tcW w:w="5927" w:type="dxa"/>
            <w:shd w:val="clear" w:color="auto" w:fill="auto"/>
            <w:vAlign w:val="center"/>
          </w:tcPr>
          <w:p w14:paraId="05D2D76C">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rightChars="0" w:firstLine="0" w:firstLineChars="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12"/>
                <w:sz w:val="21"/>
                <w:szCs w:val="21"/>
              </w:rPr>
              <w:t>道路运营主管单位成立应急指挥小组，负责现场全面指挥，</w:t>
            </w:r>
            <w:r>
              <w:rPr>
                <w:rFonts w:hint="default" w:ascii="Times New Roman" w:hAnsi="Times New Roman" w:eastAsia="宋体" w:cs="宋体"/>
                <w:color w:val="auto"/>
                <w:spacing w:val="9"/>
                <w:sz w:val="21"/>
                <w:szCs w:val="21"/>
              </w:rPr>
              <w:t>专业救援队伍负责事故控制、救援和善后处</w:t>
            </w:r>
            <w:r>
              <w:rPr>
                <w:rFonts w:hint="default" w:ascii="Times New Roman" w:hAnsi="Times New Roman" w:eastAsia="宋体" w:cs="宋体"/>
                <w:color w:val="auto"/>
                <w:spacing w:val="8"/>
                <w:sz w:val="21"/>
                <w:szCs w:val="21"/>
              </w:rPr>
              <w:t>理。</w:t>
            </w:r>
          </w:p>
        </w:tc>
      </w:tr>
      <w:tr w14:paraId="3CBF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shd w:val="clear" w:color="auto" w:fill="auto"/>
            <w:vAlign w:val="center"/>
          </w:tcPr>
          <w:p w14:paraId="66EC7029">
            <w:pPr>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1"/>
                <w:sz w:val="21"/>
                <w:szCs w:val="21"/>
              </w:rPr>
              <w:t>4</w:t>
            </w:r>
          </w:p>
        </w:tc>
        <w:tc>
          <w:tcPr>
            <w:tcW w:w="1801" w:type="dxa"/>
            <w:shd w:val="clear" w:color="auto" w:fill="auto"/>
            <w:vAlign w:val="center"/>
          </w:tcPr>
          <w:p w14:paraId="06DFDDC3">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8"/>
                <w:sz w:val="21"/>
                <w:szCs w:val="21"/>
              </w:rPr>
              <w:t>应急状态分类应急响应程序</w:t>
            </w:r>
          </w:p>
        </w:tc>
        <w:tc>
          <w:tcPr>
            <w:tcW w:w="5927" w:type="dxa"/>
            <w:shd w:val="clear" w:color="auto" w:fill="auto"/>
            <w:vAlign w:val="center"/>
          </w:tcPr>
          <w:p w14:paraId="012E28CA">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rightChars="0" w:firstLine="0" w:firstLineChars="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13"/>
                <w:sz w:val="21"/>
                <w:szCs w:val="21"/>
              </w:rPr>
              <w:t>规定环境风险事故的级别及相应的应急状态分类，</w:t>
            </w:r>
            <w:r>
              <w:rPr>
                <w:rFonts w:hint="default" w:ascii="Times New Roman" w:hAnsi="Times New Roman" w:eastAsia="宋体" w:cs="宋体"/>
                <w:color w:val="auto"/>
                <w:spacing w:val="12"/>
                <w:sz w:val="21"/>
                <w:szCs w:val="21"/>
              </w:rPr>
              <w:t>以此制定</w:t>
            </w:r>
            <w:r>
              <w:rPr>
                <w:rFonts w:hint="default" w:ascii="Times New Roman" w:hAnsi="Times New Roman" w:eastAsia="宋体" w:cs="宋体"/>
                <w:color w:val="auto"/>
                <w:spacing w:val="8"/>
                <w:sz w:val="21"/>
                <w:szCs w:val="21"/>
              </w:rPr>
              <w:t>相应的应急响应程序。</w:t>
            </w:r>
          </w:p>
        </w:tc>
      </w:tr>
      <w:tr w14:paraId="1A73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shd w:val="clear" w:color="auto" w:fill="auto"/>
            <w:vAlign w:val="center"/>
          </w:tcPr>
          <w:p w14:paraId="439888FA">
            <w:pPr>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z w:val="21"/>
                <w:szCs w:val="21"/>
              </w:rPr>
              <w:t>5</w:t>
            </w:r>
          </w:p>
        </w:tc>
        <w:tc>
          <w:tcPr>
            <w:tcW w:w="1801" w:type="dxa"/>
            <w:shd w:val="clear" w:color="auto" w:fill="auto"/>
            <w:vAlign w:val="center"/>
          </w:tcPr>
          <w:p w14:paraId="09266CFF">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7"/>
                <w:sz w:val="21"/>
                <w:szCs w:val="21"/>
              </w:rPr>
              <w:t>应急设施设备与材料</w:t>
            </w:r>
          </w:p>
        </w:tc>
        <w:tc>
          <w:tcPr>
            <w:tcW w:w="5927" w:type="dxa"/>
            <w:shd w:val="clear" w:color="auto" w:fill="auto"/>
            <w:vAlign w:val="center"/>
          </w:tcPr>
          <w:p w14:paraId="1BF822C6">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14"/>
                <w:sz w:val="21"/>
                <w:szCs w:val="21"/>
              </w:rPr>
              <w:t>应急计划区：事故的应急设施、设备与材料，主要为消防器材、</w:t>
            </w:r>
            <w:r>
              <w:rPr>
                <w:rFonts w:hint="default" w:ascii="Times New Roman" w:hAnsi="Times New Roman" w:eastAsia="宋体" w:cs="宋体"/>
                <w:color w:val="auto"/>
                <w:spacing w:val="11"/>
                <w:sz w:val="21"/>
                <w:szCs w:val="21"/>
              </w:rPr>
              <w:t>消防服等；防有毒有害物质外溢、扩散；中毒人员急救所用</w:t>
            </w:r>
            <w:r>
              <w:rPr>
                <w:rFonts w:hint="default" w:ascii="Times New Roman" w:hAnsi="Times New Roman" w:eastAsia="宋体" w:cs="宋体"/>
                <w:color w:val="auto"/>
                <w:spacing w:val="10"/>
                <w:sz w:val="21"/>
                <w:szCs w:val="21"/>
              </w:rPr>
              <w:t>的一</w:t>
            </w:r>
            <w:r>
              <w:rPr>
                <w:rFonts w:hint="default" w:ascii="Times New Roman" w:hAnsi="Times New Roman" w:eastAsia="宋体" w:cs="宋体"/>
                <w:color w:val="auto"/>
                <w:spacing w:val="8"/>
                <w:sz w:val="21"/>
                <w:szCs w:val="21"/>
              </w:rPr>
              <w:t>些药品、器材；配备必要的防毒面具。临界地区：人员急救所用的一些药品、器材。</w:t>
            </w:r>
          </w:p>
        </w:tc>
      </w:tr>
      <w:tr w14:paraId="34A7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shd w:val="clear" w:color="auto" w:fill="auto"/>
            <w:vAlign w:val="center"/>
          </w:tcPr>
          <w:p w14:paraId="6D34775B">
            <w:pPr>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z w:val="21"/>
                <w:szCs w:val="21"/>
              </w:rPr>
              <w:t>6</w:t>
            </w:r>
          </w:p>
        </w:tc>
        <w:tc>
          <w:tcPr>
            <w:tcW w:w="1801" w:type="dxa"/>
            <w:shd w:val="clear" w:color="auto" w:fill="auto"/>
            <w:vAlign w:val="center"/>
          </w:tcPr>
          <w:p w14:paraId="055EF293">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7"/>
                <w:sz w:val="21"/>
                <w:szCs w:val="21"/>
              </w:rPr>
              <w:t>应急通讯</w:t>
            </w:r>
            <w:r>
              <w:rPr>
                <w:rFonts w:hint="default" w:ascii="Times New Roman" w:hAnsi="Times New Roman" w:eastAsia="宋体" w:cs="宋体"/>
                <w:color w:val="auto"/>
                <w:spacing w:val="8"/>
                <w:sz w:val="21"/>
                <w:szCs w:val="21"/>
              </w:rPr>
              <w:t>通告与交通</w:t>
            </w:r>
          </w:p>
        </w:tc>
        <w:tc>
          <w:tcPr>
            <w:tcW w:w="5927" w:type="dxa"/>
            <w:shd w:val="clear" w:color="auto" w:fill="auto"/>
            <w:vAlign w:val="center"/>
          </w:tcPr>
          <w:p w14:paraId="7F41908E">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rightChars="0" w:firstLine="0" w:firstLineChars="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14"/>
                <w:sz w:val="21"/>
                <w:szCs w:val="21"/>
              </w:rPr>
              <w:t>规定应急状态下的通讯、通告方式和交通保障、管理等事项</w:t>
            </w:r>
            <w:r>
              <w:rPr>
                <w:rFonts w:hint="default" w:ascii="Times New Roman" w:hAnsi="Times New Roman" w:eastAsia="宋体" w:cs="宋体"/>
                <w:color w:val="auto"/>
                <w:spacing w:val="13"/>
                <w:sz w:val="21"/>
                <w:szCs w:val="21"/>
              </w:rPr>
              <w:t>。可充分利用现代化的通信设施，如手机、固定电</w:t>
            </w:r>
            <w:r>
              <w:rPr>
                <w:rFonts w:hint="default" w:ascii="Times New Roman" w:hAnsi="Times New Roman" w:eastAsia="宋体" w:cs="宋体"/>
                <w:color w:val="auto"/>
                <w:spacing w:val="12"/>
                <w:sz w:val="21"/>
                <w:szCs w:val="21"/>
              </w:rPr>
              <w:t>话、广播、电</w:t>
            </w:r>
            <w:r>
              <w:rPr>
                <w:rFonts w:hint="default" w:ascii="Times New Roman" w:hAnsi="Times New Roman" w:eastAsia="宋体" w:cs="宋体"/>
                <w:color w:val="auto"/>
                <w:spacing w:val="5"/>
                <w:sz w:val="21"/>
                <w:szCs w:val="21"/>
              </w:rPr>
              <w:t>视等</w:t>
            </w:r>
          </w:p>
        </w:tc>
      </w:tr>
      <w:tr w14:paraId="33A3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shd w:val="clear" w:color="auto" w:fill="auto"/>
            <w:vAlign w:val="center"/>
          </w:tcPr>
          <w:p w14:paraId="6B50982E">
            <w:pPr>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z w:val="21"/>
                <w:szCs w:val="21"/>
              </w:rPr>
              <w:t>7</w:t>
            </w:r>
          </w:p>
        </w:tc>
        <w:tc>
          <w:tcPr>
            <w:tcW w:w="1801" w:type="dxa"/>
            <w:shd w:val="clear" w:color="auto" w:fill="auto"/>
            <w:vAlign w:val="center"/>
          </w:tcPr>
          <w:p w14:paraId="3B49722B">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8"/>
                <w:sz w:val="21"/>
                <w:szCs w:val="21"/>
              </w:rPr>
              <w:t>应急环境监测及事故后评价</w:t>
            </w:r>
          </w:p>
        </w:tc>
        <w:tc>
          <w:tcPr>
            <w:tcW w:w="5927" w:type="dxa"/>
            <w:shd w:val="clear" w:color="auto" w:fill="auto"/>
            <w:vAlign w:val="center"/>
          </w:tcPr>
          <w:p w14:paraId="7CB2D0CF">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rightChars="0" w:firstLine="0" w:firstLineChars="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13"/>
                <w:sz w:val="21"/>
                <w:szCs w:val="21"/>
              </w:rPr>
              <w:t>由专业人员对环境分析事故现场进行应急监测，对事故性质</w:t>
            </w:r>
            <w:r>
              <w:rPr>
                <w:rFonts w:hint="default" w:ascii="Times New Roman" w:hAnsi="Times New Roman" w:eastAsia="宋体" w:cs="宋体"/>
                <w:color w:val="auto"/>
                <w:spacing w:val="14"/>
                <w:sz w:val="21"/>
                <w:szCs w:val="21"/>
              </w:rPr>
              <w:t>、严重</w:t>
            </w:r>
            <w:r>
              <w:rPr>
                <w:rFonts w:hint="eastAsia" w:ascii="Times New Roman" w:hAnsi="Times New Roman" w:eastAsia="宋体" w:cs="宋体"/>
                <w:color w:val="auto"/>
                <w:spacing w:val="14"/>
                <w:sz w:val="21"/>
                <w:szCs w:val="21"/>
                <w:lang w:eastAsia="zh-CN"/>
              </w:rPr>
              <w:t>程度</w:t>
            </w:r>
            <w:r>
              <w:rPr>
                <w:rFonts w:hint="default" w:ascii="Times New Roman" w:hAnsi="Times New Roman" w:eastAsia="宋体" w:cs="宋体"/>
                <w:color w:val="auto"/>
                <w:spacing w:val="14"/>
                <w:sz w:val="21"/>
                <w:szCs w:val="21"/>
              </w:rPr>
              <w:t>所造成的环境危害后果进行评估，吸取经验教训避</w:t>
            </w:r>
            <w:r>
              <w:rPr>
                <w:rFonts w:hint="default" w:ascii="Times New Roman" w:hAnsi="Times New Roman" w:eastAsia="宋体" w:cs="宋体"/>
                <w:color w:val="auto"/>
                <w:spacing w:val="8"/>
                <w:sz w:val="21"/>
                <w:szCs w:val="21"/>
              </w:rPr>
              <w:t>免再次发生事故，为指挥部门提供决策依据。</w:t>
            </w:r>
          </w:p>
        </w:tc>
      </w:tr>
      <w:tr w14:paraId="0BA6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shd w:val="clear" w:color="auto" w:fill="auto"/>
            <w:vAlign w:val="center"/>
          </w:tcPr>
          <w:p w14:paraId="6D0E5742">
            <w:pPr>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z w:val="21"/>
                <w:szCs w:val="21"/>
              </w:rPr>
              <w:t>8</w:t>
            </w:r>
          </w:p>
        </w:tc>
        <w:tc>
          <w:tcPr>
            <w:tcW w:w="1801" w:type="dxa"/>
            <w:shd w:val="clear" w:color="auto" w:fill="auto"/>
            <w:vAlign w:val="center"/>
          </w:tcPr>
          <w:p w14:paraId="468CBDAE">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8"/>
                <w:sz w:val="21"/>
                <w:szCs w:val="21"/>
              </w:rPr>
              <w:t>应急防护措施</w:t>
            </w:r>
            <w:r>
              <w:rPr>
                <w:rFonts w:hint="default" w:ascii="Times New Roman" w:hAnsi="Times New Roman" w:eastAsia="宋体" w:cs="宋体"/>
                <w:color w:val="auto"/>
                <w:spacing w:val="7"/>
                <w:sz w:val="21"/>
                <w:szCs w:val="21"/>
              </w:rPr>
              <w:t>消除泄漏措施</w:t>
            </w:r>
            <w:r>
              <w:rPr>
                <w:rFonts w:hint="default" w:ascii="Times New Roman" w:hAnsi="Times New Roman" w:eastAsia="宋体" w:cs="宋体"/>
                <w:color w:val="auto"/>
                <w:spacing w:val="8"/>
                <w:sz w:val="21"/>
                <w:szCs w:val="21"/>
              </w:rPr>
              <w:t>及需使用器材</w:t>
            </w:r>
          </w:p>
        </w:tc>
        <w:tc>
          <w:tcPr>
            <w:tcW w:w="5927" w:type="dxa"/>
            <w:shd w:val="clear" w:color="auto" w:fill="auto"/>
            <w:vAlign w:val="center"/>
          </w:tcPr>
          <w:p w14:paraId="64D930E2">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14"/>
                <w:sz w:val="21"/>
                <w:szCs w:val="21"/>
              </w:rPr>
              <w:t>事故现场：控制事故发展，防止扩大、蔓延及连锁反应；清除现</w:t>
            </w:r>
            <w:r>
              <w:rPr>
                <w:rFonts w:hint="default" w:ascii="Times New Roman" w:hAnsi="Times New Roman" w:eastAsia="宋体" w:cs="宋体"/>
                <w:color w:val="auto"/>
                <w:spacing w:val="9"/>
                <w:sz w:val="21"/>
                <w:szCs w:val="21"/>
              </w:rPr>
              <w:t>场</w:t>
            </w:r>
            <w:r>
              <w:rPr>
                <w:rFonts w:hint="eastAsia" w:ascii="Times New Roman" w:hAnsi="Times New Roman" w:eastAsia="宋体" w:cs="宋体"/>
                <w:color w:val="auto"/>
                <w:spacing w:val="9"/>
                <w:sz w:val="21"/>
                <w:szCs w:val="21"/>
                <w:lang w:eastAsia="zh-CN"/>
              </w:rPr>
              <w:t>泄漏</w:t>
            </w:r>
            <w:r>
              <w:rPr>
                <w:rFonts w:hint="default" w:ascii="Times New Roman" w:hAnsi="Times New Roman" w:eastAsia="宋体" w:cs="宋体"/>
                <w:color w:val="auto"/>
                <w:spacing w:val="9"/>
                <w:sz w:val="21"/>
                <w:szCs w:val="21"/>
              </w:rPr>
              <w:t>物，降低危害；相应的设施器材配备；</w:t>
            </w:r>
            <w:r>
              <w:rPr>
                <w:rFonts w:hint="default" w:ascii="Times New Roman" w:hAnsi="Times New Roman" w:eastAsia="宋体" w:cs="宋体"/>
                <w:color w:val="auto"/>
                <w:spacing w:val="14"/>
                <w:sz w:val="21"/>
                <w:szCs w:val="21"/>
              </w:rPr>
              <w:t>临近地区：控制事故区域，控制和消除环境污染的措施及</w:t>
            </w:r>
            <w:r>
              <w:rPr>
                <w:rFonts w:hint="default" w:ascii="Times New Roman" w:hAnsi="Times New Roman" w:eastAsia="宋体" w:cs="宋体"/>
                <w:color w:val="auto"/>
                <w:spacing w:val="13"/>
                <w:sz w:val="21"/>
                <w:szCs w:val="21"/>
              </w:rPr>
              <w:t>相应的</w:t>
            </w:r>
            <w:r>
              <w:rPr>
                <w:rFonts w:hint="default" w:ascii="Times New Roman" w:hAnsi="Times New Roman" w:eastAsia="宋体" w:cs="宋体"/>
                <w:color w:val="auto"/>
                <w:spacing w:val="5"/>
                <w:sz w:val="21"/>
                <w:szCs w:val="21"/>
              </w:rPr>
              <w:t>设备配备。</w:t>
            </w:r>
          </w:p>
        </w:tc>
      </w:tr>
      <w:tr w14:paraId="3833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shd w:val="clear" w:color="auto" w:fill="auto"/>
            <w:vAlign w:val="center"/>
          </w:tcPr>
          <w:p w14:paraId="1EDE6187">
            <w:pPr>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z w:val="21"/>
                <w:szCs w:val="21"/>
              </w:rPr>
              <w:t>9</w:t>
            </w:r>
          </w:p>
        </w:tc>
        <w:tc>
          <w:tcPr>
            <w:tcW w:w="1801" w:type="dxa"/>
            <w:shd w:val="clear" w:color="auto" w:fill="auto"/>
            <w:vAlign w:val="center"/>
          </w:tcPr>
          <w:p w14:paraId="5A3A1CAC">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8"/>
                <w:sz w:val="21"/>
                <w:szCs w:val="21"/>
              </w:rPr>
              <w:t>应急剂量控制撤离组织计划</w:t>
            </w:r>
            <w:r>
              <w:rPr>
                <w:rFonts w:hint="default" w:ascii="Times New Roman" w:hAnsi="Times New Roman" w:eastAsia="宋体" w:cs="宋体"/>
                <w:color w:val="auto"/>
                <w:spacing w:val="6"/>
                <w:sz w:val="21"/>
                <w:szCs w:val="21"/>
              </w:rPr>
              <w:t>医疗救护与保</w:t>
            </w:r>
            <w:r>
              <w:rPr>
                <w:rFonts w:hint="default" w:ascii="Times New Roman" w:hAnsi="Times New Roman" w:eastAsia="宋体" w:cs="宋体"/>
                <w:color w:val="auto"/>
                <w:spacing w:val="7"/>
                <w:sz w:val="21"/>
                <w:szCs w:val="21"/>
              </w:rPr>
              <w:t>护公众健康</w:t>
            </w:r>
          </w:p>
        </w:tc>
        <w:tc>
          <w:tcPr>
            <w:tcW w:w="5927" w:type="dxa"/>
            <w:shd w:val="clear" w:color="auto" w:fill="auto"/>
            <w:vAlign w:val="center"/>
          </w:tcPr>
          <w:p w14:paraId="2D6417E4">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color w:val="auto"/>
                <w:sz w:val="21"/>
                <w:szCs w:val="21"/>
              </w:rPr>
            </w:pPr>
            <w:r>
              <w:rPr>
                <w:rFonts w:hint="default" w:ascii="Times New Roman" w:hAnsi="Times New Roman" w:eastAsia="宋体" w:cs="宋体"/>
                <w:color w:val="auto"/>
                <w:spacing w:val="14"/>
                <w:sz w:val="21"/>
                <w:szCs w:val="21"/>
              </w:rPr>
              <w:t>事故现场：事故处理人员制定毒物的应急剂量、现场及</w:t>
            </w:r>
            <w:r>
              <w:rPr>
                <w:rFonts w:hint="eastAsia" w:ascii="Times New Roman" w:hAnsi="Times New Roman" w:eastAsia="宋体" w:cs="宋体"/>
                <w:color w:val="auto"/>
                <w:spacing w:val="14"/>
                <w:sz w:val="21"/>
                <w:szCs w:val="21"/>
                <w:lang w:eastAsia="zh-CN"/>
              </w:rPr>
              <w:t>邻近</w:t>
            </w:r>
            <w:r>
              <w:rPr>
                <w:rFonts w:hint="default" w:ascii="Times New Roman" w:hAnsi="Times New Roman" w:eastAsia="宋体" w:cs="宋体"/>
                <w:color w:val="auto"/>
                <w:spacing w:val="14"/>
                <w:sz w:val="21"/>
                <w:szCs w:val="21"/>
              </w:rPr>
              <w:t>装置</w:t>
            </w:r>
            <w:r>
              <w:rPr>
                <w:rFonts w:hint="default" w:ascii="Times New Roman" w:hAnsi="Times New Roman" w:eastAsia="宋体" w:cs="宋体"/>
                <w:color w:val="auto"/>
                <w:spacing w:val="8"/>
                <w:sz w:val="21"/>
                <w:szCs w:val="21"/>
              </w:rPr>
              <w:t>人员的撤离组织计划和紧急救护方案；</w:t>
            </w:r>
          </w:p>
          <w:p w14:paraId="65E48E02">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rightChars="0" w:firstLine="0" w:firstLineChars="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14"/>
                <w:sz w:val="21"/>
                <w:szCs w:val="21"/>
              </w:rPr>
              <w:t>临近地区：制定受事故影响的临近地区内人员对毒物的应</w:t>
            </w:r>
            <w:r>
              <w:rPr>
                <w:rFonts w:hint="default" w:ascii="Times New Roman" w:hAnsi="Times New Roman" w:eastAsia="宋体" w:cs="宋体"/>
                <w:color w:val="auto"/>
                <w:spacing w:val="13"/>
                <w:sz w:val="21"/>
                <w:szCs w:val="21"/>
              </w:rPr>
              <w:t>急剂量</w:t>
            </w:r>
            <w:r>
              <w:rPr>
                <w:rFonts w:hint="default" w:ascii="Times New Roman" w:hAnsi="Times New Roman" w:eastAsia="宋体" w:cs="宋体"/>
                <w:color w:val="auto"/>
                <w:spacing w:val="8"/>
                <w:sz w:val="21"/>
                <w:szCs w:val="21"/>
              </w:rPr>
              <w:t>、公众的疏散组织计划和紧急救护方案。</w:t>
            </w:r>
          </w:p>
        </w:tc>
      </w:tr>
      <w:tr w14:paraId="1625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shd w:val="clear" w:color="auto" w:fill="auto"/>
            <w:vAlign w:val="center"/>
          </w:tcPr>
          <w:p w14:paraId="55C7CECB">
            <w:pPr>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8"/>
                <w:sz w:val="21"/>
                <w:szCs w:val="21"/>
              </w:rPr>
              <w:t>10</w:t>
            </w:r>
          </w:p>
        </w:tc>
        <w:tc>
          <w:tcPr>
            <w:tcW w:w="1801" w:type="dxa"/>
            <w:shd w:val="clear" w:color="auto" w:fill="auto"/>
            <w:vAlign w:val="center"/>
          </w:tcPr>
          <w:p w14:paraId="2B1A77A6">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8"/>
                <w:sz w:val="21"/>
                <w:szCs w:val="21"/>
              </w:rPr>
              <w:t>应急状态中止</w:t>
            </w:r>
            <w:r>
              <w:rPr>
                <w:rFonts w:hint="default" w:ascii="Times New Roman" w:hAnsi="Times New Roman" w:eastAsia="宋体" w:cs="宋体"/>
                <w:color w:val="auto"/>
                <w:spacing w:val="6"/>
                <w:sz w:val="21"/>
                <w:szCs w:val="21"/>
              </w:rPr>
              <w:t>恢复措施</w:t>
            </w:r>
          </w:p>
        </w:tc>
        <w:tc>
          <w:tcPr>
            <w:tcW w:w="5927" w:type="dxa"/>
            <w:shd w:val="clear" w:color="auto" w:fill="auto"/>
            <w:vAlign w:val="center"/>
          </w:tcPr>
          <w:p w14:paraId="6009A1D9">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9"/>
                <w:sz w:val="21"/>
                <w:szCs w:val="21"/>
              </w:rPr>
              <w:t>事故现场：规定应急状态终止秩序；事故现场善后处理；</w:t>
            </w:r>
            <w:r>
              <w:rPr>
                <w:rFonts w:hint="default" w:ascii="Times New Roman" w:hAnsi="Times New Roman" w:eastAsia="宋体" w:cs="宋体"/>
                <w:color w:val="auto"/>
                <w:spacing w:val="8"/>
                <w:sz w:val="21"/>
                <w:szCs w:val="21"/>
              </w:rPr>
              <w:t>临近地区：解除事故警戒，公众返回和善后</w:t>
            </w:r>
            <w:r>
              <w:rPr>
                <w:rFonts w:hint="eastAsia" w:ascii="Times New Roman" w:hAnsi="Times New Roman" w:eastAsia="宋体" w:cs="宋体"/>
                <w:color w:val="auto"/>
                <w:spacing w:val="8"/>
                <w:sz w:val="21"/>
                <w:szCs w:val="21"/>
                <w:lang w:eastAsia="zh-CN"/>
              </w:rPr>
              <w:t>恢复</w:t>
            </w:r>
            <w:r>
              <w:rPr>
                <w:rFonts w:hint="default" w:ascii="Times New Roman" w:hAnsi="Times New Roman" w:eastAsia="宋体" w:cs="宋体"/>
                <w:color w:val="auto"/>
                <w:spacing w:val="8"/>
                <w:sz w:val="21"/>
                <w:szCs w:val="21"/>
              </w:rPr>
              <w:t>措施。</w:t>
            </w:r>
          </w:p>
        </w:tc>
      </w:tr>
      <w:tr w14:paraId="0B2D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shd w:val="clear" w:color="auto" w:fill="auto"/>
            <w:vAlign w:val="center"/>
          </w:tcPr>
          <w:p w14:paraId="48DC2BDD">
            <w:pPr>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8"/>
                <w:sz w:val="21"/>
                <w:szCs w:val="21"/>
              </w:rPr>
              <w:t>11</w:t>
            </w:r>
          </w:p>
        </w:tc>
        <w:tc>
          <w:tcPr>
            <w:tcW w:w="1801" w:type="dxa"/>
            <w:shd w:val="clear" w:color="auto" w:fill="auto"/>
            <w:vAlign w:val="center"/>
          </w:tcPr>
          <w:p w14:paraId="1724DBEF">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rightChars="0" w:firstLine="0" w:firstLineChars="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6"/>
                <w:sz w:val="21"/>
                <w:szCs w:val="21"/>
              </w:rPr>
              <w:t>人员培训</w:t>
            </w:r>
            <w:r>
              <w:rPr>
                <w:rFonts w:hint="default" w:ascii="Times New Roman" w:hAnsi="Times New Roman" w:eastAsia="宋体" w:cs="宋体"/>
                <w:color w:val="auto"/>
                <w:spacing w:val="5"/>
                <w:sz w:val="21"/>
                <w:szCs w:val="21"/>
              </w:rPr>
              <w:t>与演习</w:t>
            </w:r>
          </w:p>
        </w:tc>
        <w:tc>
          <w:tcPr>
            <w:tcW w:w="5927" w:type="dxa"/>
            <w:shd w:val="clear" w:color="auto" w:fill="auto"/>
            <w:vAlign w:val="center"/>
          </w:tcPr>
          <w:p w14:paraId="662A09A6">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rightChars="0" w:firstLine="0" w:firstLineChars="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14"/>
                <w:sz w:val="21"/>
                <w:szCs w:val="21"/>
              </w:rPr>
              <w:t>应急计划制定后，平时安排事故</w:t>
            </w:r>
            <w:r>
              <w:rPr>
                <w:rFonts w:hint="eastAsia" w:ascii="Times New Roman" w:hAnsi="Times New Roman" w:eastAsia="宋体" w:cs="宋体"/>
                <w:color w:val="auto"/>
                <w:spacing w:val="14"/>
                <w:sz w:val="21"/>
                <w:szCs w:val="21"/>
                <w:lang w:eastAsia="zh-CN"/>
              </w:rPr>
              <w:t>处理</w:t>
            </w:r>
            <w:r>
              <w:rPr>
                <w:rFonts w:hint="default" w:ascii="Times New Roman" w:hAnsi="Times New Roman" w:eastAsia="宋体" w:cs="宋体"/>
                <w:color w:val="auto"/>
                <w:spacing w:val="14"/>
                <w:sz w:val="21"/>
                <w:szCs w:val="21"/>
              </w:rPr>
              <w:t>人员进行相关知识培训</w:t>
            </w:r>
            <w:r>
              <w:rPr>
                <w:rFonts w:hint="default" w:ascii="Times New Roman" w:hAnsi="Times New Roman" w:eastAsia="宋体" w:cs="宋体"/>
                <w:color w:val="auto"/>
                <w:spacing w:val="9"/>
                <w:sz w:val="21"/>
                <w:szCs w:val="21"/>
              </w:rPr>
              <w:t>并进行事故应急处理演习；对当地居民进行安全卫生教育。</w:t>
            </w:r>
          </w:p>
        </w:tc>
      </w:tr>
      <w:tr w14:paraId="2283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shd w:val="clear" w:color="auto" w:fill="auto"/>
            <w:vAlign w:val="center"/>
          </w:tcPr>
          <w:p w14:paraId="568C3C77">
            <w:pPr>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8"/>
                <w:sz w:val="21"/>
                <w:szCs w:val="21"/>
              </w:rPr>
              <w:t>12</w:t>
            </w:r>
          </w:p>
        </w:tc>
        <w:tc>
          <w:tcPr>
            <w:tcW w:w="1801" w:type="dxa"/>
            <w:shd w:val="clear" w:color="auto" w:fill="auto"/>
            <w:vAlign w:val="center"/>
          </w:tcPr>
          <w:p w14:paraId="0DB0278D">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5"/>
                <w:sz w:val="21"/>
                <w:szCs w:val="21"/>
              </w:rPr>
              <w:t>公众教育</w:t>
            </w:r>
            <w:r>
              <w:rPr>
                <w:rFonts w:hint="default" w:ascii="Times New Roman" w:hAnsi="Times New Roman" w:eastAsia="宋体" w:cs="宋体"/>
                <w:color w:val="auto"/>
                <w:spacing w:val="7"/>
                <w:sz w:val="21"/>
                <w:szCs w:val="21"/>
              </w:rPr>
              <w:t>信息发布</w:t>
            </w:r>
          </w:p>
        </w:tc>
        <w:tc>
          <w:tcPr>
            <w:tcW w:w="5927" w:type="dxa"/>
            <w:shd w:val="clear" w:color="auto" w:fill="auto"/>
            <w:vAlign w:val="center"/>
          </w:tcPr>
          <w:p w14:paraId="4A7CC956">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rightChars="0" w:firstLine="0" w:firstLineChars="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14"/>
                <w:sz w:val="21"/>
                <w:szCs w:val="21"/>
              </w:rPr>
              <w:t>对道路临近地区公众开展环境风险事故预防教育、应急知识</w:t>
            </w:r>
            <w:r>
              <w:rPr>
                <w:rFonts w:hint="default" w:ascii="Times New Roman" w:hAnsi="Times New Roman" w:eastAsia="宋体" w:cs="宋体"/>
                <w:color w:val="auto"/>
                <w:spacing w:val="8"/>
                <w:sz w:val="21"/>
                <w:szCs w:val="21"/>
              </w:rPr>
              <w:t>培训并定期发布相关信息。</w:t>
            </w:r>
          </w:p>
        </w:tc>
      </w:tr>
      <w:tr w14:paraId="255E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shd w:val="clear" w:color="auto" w:fill="auto"/>
            <w:vAlign w:val="center"/>
          </w:tcPr>
          <w:p w14:paraId="12BE863E">
            <w:pPr>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8"/>
                <w:sz w:val="21"/>
                <w:szCs w:val="21"/>
              </w:rPr>
              <w:t>13</w:t>
            </w:r>
          </w:p>
        </w:tc>
        <w:tc>
          <w:tcPr>
            <w:tcW w:w="1801" w:type="dxa"/>
            <w:shd w:val="clear" w:color="auto" w:fill="auto"/>
            <w:vAlign w:val="center"/>
          </w:tcPr>
          <w:p w14:paraId="1639EB0E">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8"/>
                <w:sz w:val="21"/>
                <w:szCs w:val="21"/>
              </w:rPr>
              <w:t>记录和报告</w:t>
            </w:r>
          </w:p>
        </w:tc>
        <w:tc>
          <w:tcPr>
            <w:tcW w:w="5927" w:type="dxa"/>
            <w:shd w:val="clear" w:color="auto" w:fill="auto"/>
            <w:vAlign w:val="center"/>
          </w:tcPr>
          <w:p w14:paraId="13867A79">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rightChars="0" w:firstLine="0" w:firstLineChars="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14"/>
                <w:sz w:val="21"/>
                <w:szCs w:val="21"/>
              </w:rPr>
              <w:t>设应急事故专门记录，建立档案和报告制度，设专门部门负</w:t>
            </w:r>
            <w:r>
              <w:rPr>
                <w:rFonts w:hint="default" w:ascii="Times New Roman" w:hAnsi="Times New Roman" w:eastAsia="宋体" w:cs="宋体"/>
                <w:color w:val="auto"/>
                <w:spacing w:val="3"/>
                <w:sz w:val="21"/>
                <w:szCs w:val="21"/>
              </w:rPr>
              <w:t>责管理。</w:t>
            </w:r>
          </w:p>
        </w:tc>
      </w:tr>
      <w:tr w14:paraId="4C8E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shd w:val="clear" w:color="auto" w:fill="auto"/>
            <w:vAlign w:val="center"/>
          </w:tcPr>
          <w:p w14:paraId="67B0D825">
            <w:pPr>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8"/>
                <w:sz w:val="21"/>
                <w:szCs w:val="21"/>
              </w:rPr>
              <w:t>14</w:t>
            </w:r>
          </w:p>
        </w:tc>
        <w:tc>
          <w:tcPr>
            <w:tcW w:w="1801" w:type="dxa"/>
            <w:shd w:val="clear" w:color="auto" w:fill="auto"/>
            <w:vAlign w:val="center"/>
          </w:tcPr>
          <w:p w14:paraId="1741DC89">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4"/>
                <w:sz w:val="21"/>
                <w:szCs w:val="21"/>
              </w:rPr>
              <w:t>附件</w:t>
            </w:r>
          </w:p>
        </w:tc>
        <w:tc>
          <w:tcPr>
            <w:tcW w:w="5927" w:type="dxa"/>
            <w:shd w:val="clear" w:color="auto" w:fill="auto"/>
            <w:vAlign w:val="center"/>
          </w:tcPr>
          <w:p w14:paraId="16FA72EC">
            <w:pPr>
              <w:pStyle w:val="27"/>
              <w:keepNext w:val="0"/>
              <w:keepLines w:val="0"/>
              <w:pageBreakBefore w:val="0"/>
              <w:widowControl/>
              <w:kinsoku w:val="0"/>
              <w:wordWrap/>
              <w:overflowPunct/>
              <w:topLinePunct w:val="0"/>
              <w:autoSpaceDE w:val="0"/>
              <w:autoSpaceDN w:val="0"/>
              <w:bidi w:val="0"/>
              <w:adjustRightInd w:val="0"/>
              <w:snapToGrid/>
              <w:spacing w:line="240" w:lineRule="auto"/>
              <w:ind w:left="0" w:leftChars="0" w:right="0" w:firstLine="0"/>
              <w:jc w:val="center"/>
              <w:textAlignment w:val="baseline"/>
              <w:rPr>
                <w:rFonts w:hint="default" w:ascii="Times New Roman" w:hAnsi="Times New Roman" w:eastAsia="宋体" w:cs="宋体"/>
                <w:snapToGrid w:val="0"/>
                <w:color w:val="auto"/>
                <w:kern w:val="0"/>
                <w:sz w:val="21"/>
                <w:szCs w:val="21"/>
                <w:lang w:val="en-US" w:eastAsia="zh-CN" w:bidi="ar-SA"/>
              </w:rPr>
            </w:pPr>
            <w:r>
              <w:rPr>
                <w:rFonts w:hint="default" w:ascii="Times New Roman" w:hAnsi="Times New Roman" w:eastAsia="宋体" w:cs="宋体"/>
                <w:color w:val="auto"/>
                <w:spacing w:val="9"/>
                <w:sz w:val="21"/>
                <w:szCs w:val="21"/>
              </w:rPr>
              <w:t>准备并形成环境风险事故应急处理有关的附件材料。</w:t>
            </w:r>
          </w:p>
        </w:tc>
      </w:tr>
    </w:tbl>
    <w:p w14:paraId="47E457B5">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65" w:name="_Toc22231"/>
      <w:r>
        <w:rPr>
          <w:rFonts w:hint="eastAsia" w:ascii="Times New Roman" w:hAnsi="Times New Roman" w:cs="宋体"/>
          <w:b/>
          <w:bCs/>
          <w:color w:val="auto"/>
          <w:sz w:val="28"/>
          <w:szCs w:val="28"/>
          <w:lang w:val="en-US" w:eastAsia="zh-CN"/>
        </w:rPr>
        <w:t>5</w:t>
      </w:r>
      <w:r>
        <w:rPr>
          <w:rFonts w:hint="eastAsia" w:ascii="Times New Roman" w:hAnsi="Times New Roman" w:eastAsia="宋体" w:cs="宋体"/>
          <w:b/>
          <w:bCs/>
          <w:color w:val="auto"/>
          <w:sz w:val="28"/>
          <w:szCs w:val="28"/>
          <w:lang w:val="en-US" w:eastAsia="zh-CN"/>
        </w:rPr>
        <w:t>.6、环境安全监测</w:t>
      </w:r>
      <w:bookmarkEnd w:id="65"/>
    </w:p>
    <w:p w14:paraId="567A838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根据</w:t>
      </w:r>
      <w:r>
        <w:rPr>
          <w:rFonts w:ascii="Times New Roman" w:hAnsi="Times New Roman" w:eastAsia="宋体" w:cs="宋体"/>
          <w:color w:val="auto"/>
          <w:sz w:val="24"/>
        </w:rPr>
        <w:t>《排污单位自行监测技术指南-总则》（HJ819-2017）</w:t>
      </w:r>
      <w:r>
        <w:rPr>
          <w:rFonts w:hint="eastAsia" w:ascii="Times New Roman" w:hAnsi="Times New Roman" w:eastAsia="宋体" w:cs="宋体"/>
          <w:color w:val="auto"/>
          <w:sz w:val="24"/>
          <w:lang w:eastAsia="zh-CN"/>
        </w:rPr>
        <w:t>、</w:t>
      </w:r>
      <w:r>
        <w:rPr>
          <w:rFonts w:ascii="Times New Roman" w:hAnsi="Times New Roman" w:eastAsia="宋体" w:cs="宋体"/>
          <w:color w:val="auto"/>
          <w:sz w:val="24"/>
        </w:rPr>
        <w:t>《</w:t>
      </w:r>
      <w:r>
        <w:rPr>
          <w:rFonts w:hint="eastAsia" w:ascii="Times New Roman" w:hAnsi="Times New Roman" w:eastAsia="宋体" w:cs="宋体"/>
          <w:color w:val="auto"/>
          <w:sz w:val="24"/>
        </w:rPr>
        <w:t>排污许可证申请与核发技术规范农副食品加工工业-淀粉工业</w:t>
      </w:r>
      <w:r>
        <w:rPr>
          <w:rFonts w:ascii="Times New Roman" w:hAnsi="Times New Roman" w:eastAsia="宋体" w:cs="宋体"/>
          <w:color w:val="auto"/>
          <w:sz w:val="24"/>
        </w:rPr>
        <w:t>》（</w:t>
      </w:r>
      <w:r>
        <w:rPr>
          <w:rFonts w:hint="eastAsia" w:ascii="Times New Roman" w:hAnsi="Times New Roman" w:eastAsia="宋体" w:cs="宋体"/>
          <w:color w:val="auto"/>
          <w:sz w:val="24"/>
        </w:rPr>
        <w:t>HJ860.2-2018</w:t>
      </w:r>
      <w:r>
        <w:rPr>
          <w:rFonts w:ascii="Times New Roman" w:hAnsi="Times New Roman" w:eastAsia="宋体" w:cs="宋体"/>
          <w:color w:val="auto"/>
          <w:sz w:val="24"/>
        </w:rPr>
        <w:t>）</w:t>
      </w:r>
      <w:r>
        <w:rPr>
          <w:rFonts w:hint="eastAsia" w:ascii="Times New Roman" w:hAnsi="Times New Roman" w:eastAsia="宋体" w:cs="宋体"/>
          <w:color w:val="auto"/>
          <w:sz w:val="24"/>
          <w:lang w:eastAsia="zh-CN"/>
        </w:rPr>
        <w:t>、</w:t>
      </w:r>
      <w:r>
        <w:rPr>
          <w:rFonts w:ascii="Times New Roman" w:hAnsi="Times New Roman" w:eastAsia="宋体" w:cs="宋体"/>
          <w:color w:val="auto"/>
          <w:sz w:val="24"/>
        </w:rPr>
        <w:t>《排污许可证申请与核发技术规范</w:t>
      </w:r>
      <w:r>
        <w:rPr>
          <w:rFonts w:hint="eastAsia" w:ascii="Times New Roman" w:hAnsi="Times New Roman" w:eastAsia="宋体" w:cs="宋体"/>
          <w:color w:val="auto"/>
          <w:sz w:val="24"/>
        </w:rPr>
        <w:t>锅炉</w:t>
      </w:r>
      <w:r>
        <w:rPr>
          <w:rFonts w:ascii="Times New Roman" w:hAnsi="Times New Roman" w:eastAsia="宋体" w:cs="宋体"/>
          <w:color w:val="auto"/>
          <w:sz w:val="24"/>
        </w:rPr>
        <w:t>》（HJ1105-2020）</w:t>
      </w:r>
      <w:r>
        <w:rPr>
          <w:rFonts w:hint="eastAsia" w:ascii="Times New Roman" w:hAnsi="Times New Roman" w:eastAsia="宋体" w:cs="宋体"/>
          <w:color w:val="auto"/>
          <w:sz w:val="24"/>
          <w:lang w:val="en-US" w:eastAsia="zh-CN"/>
        </w:rPr>
        <w:t>以及</w:t>
      </w:r>
      <w:r>
        <w:rPr>
          <w:rFonts w:hint="eastAsia" w:ascii="Times New Roman" w:hAnsi="Times New Roman" w:eastAsia="宋体" w:cs="宋体"/>
          <w:snapToGrid w:val="0"/>
          <w:color w:val="auto"/>
          <w:kern w:val="0"/>
          <w:sz w:val="24"/>
          <w:szCs w:val="24"/>
          <w:lang w:val="en-US" w:eastAsia="zh-CN" w:bidi="ar"/>
        </w:rPr>
        <w:t>《马铃薯淀粉工业有机肥水农田利用技术规范》（T/SIACN01-2018）中环境质量监测要求，制定本项目运营期监测计划。</w:t>
      </w:r>
    </w:p>
    <w:p w14:paraId="68DBFFF7">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bookmarkStart w:id="66" w:name="_Toc24736"/>
      <w:r>
        <w:rPr>
          <w:rFonts w:hint="eastAsia" w:ascii="Times New Roman" w:hAnsi="Times New Roman" w:eastAsia="宋体" w:cs="宋体"/>
          <w:b/>
          <w:color w:val="auto"/>
          <w:sz w:val="24"/>
          <w:lang w:val="en-US" w:eastAsia="zh-CN"/>
        </w:rPr>
        <w:t>5.6.1、大气环境质量监测</w:t>
      </w:r>
    </w:p>
    <w:p w14:paraId="496618CC">
      <w:pPr>
        <w:pStyle w:val="7"/>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szCs w:val="24"/>
          <w:lang w:val="en-US" w:eastAsia="zh-CN"/>
        </w:rPr>
      </w:pPr>
      <w:r>
        <w:rPr>
          <w:rFonts w:hint="eastAsia" w:ascii="Times New Roman" w:hAnsi="Times New Roman" w:eastAsia="宋体" w:cs="宋体"/>
          <w:b/>
          <w:color w:val="auto"/>
          <w:sz w:val="24"/>
          <w:szCs w:val="24"/>
          <w:lang w:val="en-US" w:eastAsia="zh-CN"/>
        </w:rPr>
        <w:t>5.6.1.1、厂区</w:t>
      </w:r>
    </w:p>
    <w:p w14:paraId="2F87847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（1）有组织废气：生产车间排气筒颗粒物，应每生产期监测一次、锅炉排气筒颗粒物、二氧化硫、林格曼黑度应一个季度监测一次。</w:t>
      </w:r>
    </w:p>
    <w:p w14:paraId="51D0A6AE">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lang w:val="en-US" w:eastAsia="zh-CN"/>
        </w:rPr>
      </w:pPr>
      <w:r>
        <w:rPr>
          <w:rFonts w:hint="eastAsia" w:ascii="Times New Roman" w:hAnsi="Times New Roman" w:eastAsia="宋体" w:cs="宋体"/>
          <w:snapToGrid w:val="0"/>
          <w:color w:val="auto"/>
          <w:kern w:val="0"/>
          <w:sz w:val="24"/>
          <w:szCs w:val="24"/>
          <w:lang w:val="en-US" w:eastAsia="zh-CN" w:bidi="ar"/>
        </w:rPr>
        <w:t>（2）无组织废气：厂界颗粒物及污水处理设施周边臭气浓度、氨、硫化氢，应每生产期监测一次。</w:t>
      </w:r>
    </w:p>
    <w:p w14:paraId="6BC9FBE9">
      <w:pPr>
        <w:pStyle w:val="7"/>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szCs w:val="24"/>
          <w:lang w:val="en-US" w:eastAsia="zh-CN"/>
        </w:rPr>
      </w:pPr>
      <w:r>
        <w:rPr>
          <w:rFonts w:hint="eastAsia" w:ascii="Times New Roman" w:hAnsi="Times New Roman" w:eastAsia="宋体" w:cs="宋体"/>
          <w:b/>
          <w:color w:val="auto"/>
          <w:sz w:val="24"/>
          <w:szCs w:val="24"/>
          <w:lang w:val="en-US" w:eastAsia="zh-CN"/>
        </w:rPr>
        <w:t>5.6.1.2、还田区</w:t>
      </w:r>
    </w:p>
    <w:p w14:paraId="1E76DDA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w:t>
      </w:r>
      <w:r>
        <w:rPr>
          <w:rFonts w:hint="default" w:ascii="Times New Roman" w:hAnsi="Times New Roman" w:eastAsia="宋体" w:cs="宋体"/>
          <w:snapToGrid w:val="0"/>
          <w:color w:val="auto"/>
          <w:kern w:val="0"/>
          <w:sz w:val="24"/>
          <w:szCs w:val="24"/>
          <w:lang w:val="en-US" w:eastAsia="zh-CN" w:bidi="ar"/>
        </w:rPr>
        <w:t>还田区</w:t>
      </w:r>
      <w:r>
        <w:rPr>
          <w:rFonts w:hint="eastAsia" w:ascii="Times New Roman" w:hAnsi="Times New Roman" w:eastAsia="宋体" w:cs="宋体"/>
          <w:snapToGrid w:val="0"/>
          <w:color w:val="auto"/>
          <w:kern w:val="0"/>
          <w:sz w:val="24"/>
          <w:szCs w:val="24"/>
          <w:lang w:val="en-US" w:eastAsia="zh-CN" w:bidi="ar"/>
        </w:rPr>
        <w:t>恶臭气体</w:t>
      </w:r>
      <w:r>
        <w:rPr>
          <w:rFonts w:hint="default" w:ascii="Times New Roman" w:hAnsi="Times New Roman" w:eastAsia="宋体" w:cs="宋体"/>
          <w:snapToGrid w:val="0"/>
          <w:color w:val="auto"/>
          <w:kern w:val="0"/>
          <w:sz w:val="24"/>
          <w:szCs w:val="24"/>
          <w:lang w:val="en-US" w:eastAsia="zh-CN" w:bidi="ar"/>
        </w:rPr>
        <w:t>监测，每生产季</w:t>
      </w:r>
      <w:r>
        <w:rPr>
          <w:rFonts w:hint="eastAsia" w:ascii="Times New Roman" w:hAnsi="Times New Roman" w:eastAsia="宋体" w:cs="宋体"/>
          <w:snapToGrid w:val="0"/>
          <w:color w:val="auto"/>
          <w:kern w:val="0"/>
          <w:sz w:val="24"/>
          <w:szCs w:val="24"/>
          <w:lang w:val="en-US" w:eastAsia="zh-CN" w:bidi="ar"/>
        </w:rPr>
        <w:t>监测</w:t>
      </w:r>
      <w:r>
        <w:rPr>
          <w:rFonts w:hint="default" w:ascii="Times New Roman" w:hAnsi="Times New Roman" w:eastAsia="宋体" w:cs="宋体"/>
          <w:snapToGrid w:val="0"/>
          <w:color w:val="auto"/>
          <w:kern w:val="0"/>
          <w:sz w:val="24"/>
          <w:szCs w:val="24"/>
          <w:lang w:val="en-US" w:eastAsia="zh-CN" w:bidi="ar"/>
        </w:rPr>
        <w:t>一次。</w:t>
      </w:r>
    </w:p>
    <w:p w14:paraId="0FAEE14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（2）还田区恶臭气体监测应按照《恶臭污染环境监测技术规范》（HJ905-2017）中的相关要求进行监测。</w:t>
      </w:r>
    </w:p>
    <w:p w14:paraId="33A4F29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（3）还田区恶臭气体排放应满足《</w:t>
      </w:r>
      <w:r>
        <w:rPr>
          <w:rFonts w:hint="default" w:ascii="Times New Roman" w:hAnsi="Times New Roman" w:eastAsia="宋体" w:cs="宋体"/>
          <w:snapToGrid w:val="0"/>
          <w:color w:val="auto"/>
          <w:kern w:val="0"/>
          <w:sz w:val="24"/>
          <w:szCs w:val="24"/>
          <w:lang w:val="en-US" w:eastAsia="zh-CN" w:bidi="ar"/>
        </w:rPr>
        <w:t>恶臭污染物排放标准》</w:t>
      </w:r>
      <w:r>
        <w:rPr>
          <w:rFonts w:hint="eastAsia" w:ascii="Times New Roman" w:hAnsi="Times New Roman" w:eastAsia="宋体" w:cs="宋体"/>
          <w:snapToGrid w:val="0"/>
          <w:color w:val="auto"/>
          <w:kern w:val="0"/>
          <w:sz w:val="24"/>
          <w:szCs w:val="24"/>
          <w:lang w:val="en-US" w:eastAsia="zh-CN" w:bidi="ar"/>
        </w:rPr>
        <w:t>（</w:t>
      </w:r>
      <w:r>
        <w:rPr>
          <w:rFonts w:hint="default" w:ascii="Times New Roman" w:hAnsi="Times New Roman" w:eastAsia="宋体" w:cs="宋体"/>
          <w:snapToGrid w:val="0"/>
          <w:color w:val="auto"/>
          <w:kern w:val="0"/>
          <w:sz w:val="24"/>
          <w:szCs w:val="24"/>
          <w:lang w:val="en-US" w:eastAsia="zh-CN" w:bidi="ar"/>
        </w:rPr>
        <w:t>GB14554-93</w:t>
      </w:r>
      <w:r>
        <w:rPr>
          <w:rFonts w:hint="eastAsia" w:ascii="Times New Roman" w:hAnsi="Times New Roman" w:eastAsia="宋体" w:cs="宋体"/>
          <w:snapToGrid w:val="0"/>
          <w:color w:val="auto"/>
          <w:kern w:val="0"/>
          <w:sz w:val="24"/>
          <w:szCs w:val="24"/>
          <w:lang w:val="en-US" w:eastAsia="zh-CN" w:bidi="ar"/>
        </w:rPr>
        <w:t>）中的相关限值要求。</w:t>
      </w:r>
    </w:p>
    <w:p w14:paraId="51521AA5">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5.6.2、噪声环境质量监测</w:t>
      </w:r>
    </w:p>
    <w:p w14:paraId="235C243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厂界四周外每季度监测一次。</w:t>
      </w:r>
    </w:p>
    <w:p w14:paraId="44A3BD6F">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5.6.3、地下水环境质量监测</w:t>
      </w:r>
      <w:bookmarkEnd w:id="66"/>
    </w:p>
    <w:p w14:paraId="1298272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w:t>
      </w:r>
      <w:r>
        <w:rPr>
          <w:rFonts w:hint="default" w:ascii="Times New Roman" w:hAnsi="Times New Roman" w:eastAsia="宋体" w:cs="宋体"/>
          <w:snapToGrid w:val="0"/>
          <w:color w:val="auto"/>
          <w:kern w:val="0"/>
          <w:sz w:val="24"/>
          <w:szCs w:val="24"/>
          <w:lang w:val="en-US" w:eastAsia="zh-CN" w:bidi="ar"/>
        </w:rPr>
        <w:t>还田区地下水环境质量监测，</w:t>
      </w:r>
      <w:r>
        <w:rPr>
          <w:rFonts w:hint="eastAsia" w:ascii="Times New Roman" w:hAnsi="Times New Roman" w:eastAsia="宋体" w:cs="宋体"/>
          <w:snapToGrid w:val="0"/>
          <w:color w:val="auto"/>
          <w:kern w:val="0"/>
          <w:sz w:val="24"/>
          <w:szCs w:val="24"/>
          <w:lang w:val="en-US" w:eastAsia="zh-CN" w:bidi="ar"/>
        </w:rPr>
        <w:t>应</w:t>
      </w:r>
      <w:r>
        <w:rPr>
          <w:rFonts w:hint="default" w:ascii="Times New Roman" w:hAnsi="Times New Roman" w:eastAsia="宋体" w:cs="宋体"/>
          <w:snapToGrid w:val="0"/>
          <w:color w:val="auto"/>
          <w:kern w:val="0"/>
          <w:sz w:val="24"/>
          <w:szCs w:val="24"/>
          <w:lang w:val="en-US" w:eastAsia="zh-CN" w:bidi="ar"/>
        </w:rPr>
        <w:t>每生产季</w:t>
      </w:r>
      <w:r>
        <w:rPr>
          <w:rFonts w:hint="eastAsia" w:ascii="Times New Roman" w:hAnsi="Times New Roman" w:eastAsia="宋体" w:cs="宋体"/>
          <w:snapToGrid w:val="0"/>
          <w:color w:val="auto"/>
          <w:kern w:val="0"/>
          <w:sz w:val="24"/>
          <w:szCs w:val="24"/>
          <w:lang w:val="en-US" w:eastAsia="zh-CN" w:bidi="ar"/>
        </w:rPr>
        <w:t>监测</w:t>
      </w:r>
      <w:r>
        <w:rPr>
          <w:rFonts w:hint="default" w:ascii="Times New Roman" w:hAnsi="Times New Roman" w:eastAsia="宋体" w:cs="宋体"/>
          <w:snapToGrid w:val="0"/>
          <w:color w:val="auto"/>
          <w:kern w:val="0"/>
          <w:sz w:val="24"/>
          <w:szCs w:val="24"/>
          <w:lang w:val="en-US" w:eastAsia="zh-CN" w:bidi="ar"/>
        </w:rPr>
        <w:t>两次，分别在农田利用前和农田利用后进行监测。</w:t>
      </w:r>
    </w:p>
    <w:p w14:paraId="2371176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2</w:t>
      </w:r>
      <w:r>
        <w:rPr>
          <w:rFonts w:hint="default" w:ascii="Times New Roman" w:hAnsi="Times New Roman" w:eastAsia="宋体" w:cs="宋体"/>
          <w:snapToGrid w:val="0"/>
          <w:color w:val="auto"/>
          <w:kern w:val="0"/>
          <w:sz w:val="24"/>
          <w:szCs w:val="24"/>
          <w:lang w:val="en-US" w:eastAsia="zh-CN" w:bidi="ar"/>
        </w:rPr>
        <w:t>）还田区地下水环境质量监测应按照</w:t>
      </w:r>
      <w:r>
        <w:rPr>
          <w:rFonts w:hint="eastAsia" w:ascii="Times New Roman" w:hAnsi="Times New Roman" w:eastAsia="宋体" w:cs="宋体"/>
          <w:snapToGrid w:val="0"/>
          <w:color w:val="auto"/>
          <w:kern w:val="0"/>
          <w:sz w:val="24"/>
          <w:szCs w:val="24"/>
          <w:lang w:val="en-US" w:eastAsia="zh-CN" w:bidi="ar"/>
        </w:rPr>
        <w:t>《地下水环境监测技术规范》（</w:t>
      </w:r>
      <w:r>
        <w:rPr>
          <w:rFonts w:hint="default" w:ascii="Times New Roman" w:hAnsi="Times New Roman" w:eastAsia="宋体" w:cs="宋体"/>
          <w:snapToGrid w:val="0"/>
          <w:color w:val="auto"/>
          <w:kern w:val="0"/>
          <w:sz w:val="24"/>
          <w:szCs w:val="24"/>
          <w:lang w:val="en-US" w:eastAsia="zh-CN" w:bidi="ar"/>
        </w:rPr>
        <w:t>HJ164</w:t>
      </w:r>
      <w:r>
        <w:rPr>
          <w:rFonts w:hint="eastAsia" w:ascii="Times New Roman" w:hAnsi="Times New Roman" w:eastAsia="宋体" w:cs="宋体"/>
          <w:snapToGrid w:val="0"/>
          <w:color w:val="auto"/>
          <w:kern w:val="0"/>
          <w:sz w:val="24"/>
          <w:szCs w:val="24"/>
          <w:lang w:val="en-US" w:eastAsia="zh-CN" w:bidi="ar"/>
        </w:rPr>
        <w:t>-2020）</w:t>
      </w:r>
      <w:r>
        <w:rPr>
          <w:rFonts w:hint="default" w:ascii="Times New Roman" w:hAnsi="Times New Roman" w:eastAsia="宋体" w:cs="宋体"/>
          <w:snapToGrid w:val="0"/>
          <w:color w:val="auto"/>
          <w:kern w:val="0"/>
          <w:sz w:val="24"/>
          <w:szCs w:val="24"/>
          <w:lang w:val="en-US" w:eastAsia="zh-CN" w:bidi="ar"/>
        </w:rPr>
        <w:t>中的相关要求进行监测。</w:t>
      </w:r>
    </w:p>
    <w:p w14:paraId="0D9A2BB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3</w:t>
      </w:r>
      <w:r>
        <w:rPr>
          <w:rFonts w:hint="default" w:ascii="Times New Roman" w:hAnsi="Times New Roman" w:eastAsia="宋体" w:cs="宋体"/>
          <w:snapToGrid w:val="0"/>
          <w:color w:val="auto"/>
          <w:kern w:val="0"/>
          <w:sz w:val="24"/>
          <w:szCs w:val="24"/>
          <w:lang w:val="en-US" w:eastAsia="zh-CN" w:bidi="ar"/>
        </w:rPr>
        <w:t>）还田区地下水环境质量应满足</w:t>
      </w:r>
      <w:r>
        <w:rPr>
          <w:rFonts w:hint="eastAsia" w:ascii="Times New Roman" w:hAnsi="Times New Roman" w:eastAsia="宋体" w:cs="宋体"/>
          <w:snapToGrid w:val="0"/>
          <w:color w:val="auto"/>
          <w:kern w:val="0"/>
          <w:sz w:val="24"/>
          <w:szCs w:val="24"/>
          <w:lang w:val="en-US" w:eastAsia="zh-CN" w:bidi="ar"/>
        </w:rPr>
        <w:t>《地下水质量标准》（</w:t>
      </w:r>
      <w:r>
        <w:rPr>
          <w:rFonts w:hint="default" w:ascii="Times New Roman" w:hAnsi="Times New Roman" w:eastAsia="宋体" w:cs="宋体"/>
          <w:snapToGrid w:val="0"/>
          <w:color w:val="auto"/>
          <w:kern w:val="0"/>
          <w:sz w:val="24"/>
          <w:szCs w:val="24"/>
          <w:lang w:val="en-US" w:eastAsia="zh-CN" w:bidi="ar"/>
        </w:rPr>
        <w:t>GB/T14848</w:t>
      </w:r>
      <w:r>
        <w:rPr>
          <w:rFonts w:hint="eastAsia" w:ascii="Times New Roman" w:hAnsi="Times New Roman" w:eastAsia="宋体" w:cs="宋体"/>
          <w:snapToGrid w:val="0"/>
          <w:color w:val="auto"/>
          <w:kern w:val="0"/>
          <w:sz w:val="24"/>
          <w:szCs w:val="24"/>
          <w:lang w:val="en-US" w:eastAsia="zh-CN" w:bidi="ar"/>
        </w:rPr>
        <w:t>-2017）</w:t>
      </w:r>
      <w:r>
        <w:rPr>
          <w:rFonts w:hint="default" w:ascii="Times New Roman" w:hAnsi="Times New Roman" w:eastAsia="宋体" w:cs="宋体"/>
          <w:snapToGrid w:val="0"/>
          <w:color w:val="auto"/>
          <w:kern w:val="0"/>
          <w:sz w:val="24"/>
          <w:szCs w:val="24"/>
          <w:lang w:val="en-US" w:eastAsia="zh-CN" w:bidi="ar"/>
        </w:rPr>
        <w:t>中的相关限值要求。</w:t>
      </w:r>
    </w:p>
    <w:p w14:paraId="56FD0576">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lang w:val="en-US" w:eastAsia="zh-CN"/>
        </w:rPr>
      </w:pPr>
      <w:bookmarkStart w:id="67" w:name="_Toc2042"/>
      <w:r>
        <w:rPr>
          <w:rFonts w:hint="eastAsia" w:ascii="Times New Roman" w:hAnsi="Times New Roman" w:eastAsia="宋体" w:cs="宋体"/>
          <w:b/>
          <w:color w:val="auto"/>
          <w:sz w:val="24"/>
          <w:lang w:val="en-US" w:eastAsia="zh-CN"/>
        </w:rPr>
        <w:t>5.6.4、</w:t>
      </w:r>
      <w:r>
        <w:rPr>
          <w:rFonts w:hint="default" w:ascii="Times New Roman" w:hAnsi="Times New Roman" w:eastAsia="宋体" w:cs="宋体"/>
          <w:b/>
          <w:color w:val="auto"/>
          <w:sz w:val="24"/>
          <w:lang w:val="en-US" w:eastAsia="zh-CN"/>
        </w:rPr>
        <w:t>土壤环境质量监测</w:t>
      </w:r>
      <w:bookmarkEnd w:id="67"/>
    </w:p>
    <w:p w14:paraId="6564D5E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（1）还田</w:t>
      </w:r>
      <w:r>
        <w:rPr>
          <w:rFonts w:hint="eastAsia" w:ascii="Times New Roman" w:hAnsi="Times New Roman" w:eastAsia="宋体" w:cs="宋体"/>
          <w:snapToGrid w:val="0"/>
          <w:color w:val="auto"/>
          <w:kern w:val="0"/>
          <w:sz w:val="24"/>
          <w:szCs w:val="24"/>
          <w:lang w:val="en-US" w:eastAsia="zh-CN" w:bidi="ar"/>
        </w:rPr>
        <w:t>区</w:t>
      </w:r>
      <w:r>
        <w:rPr>
          <w:rFonts w:hint="default" w:ascii="Times New Roman" w:hAnsi="Times New Roman" w:eastAsia="宋体" w:cs="宋体"/>
          <w:snapToGrid w:val="0"/>
          <w:color w:val="auto"/>
          <w:kern w:val="0"/>
          <w:sz w:val="24"/>
          <w:szCs w:val="24"/>
          <w:lang w:val="en-US" w:eastAsia="zh-CN" w:bidi="ar"/>
        </w:rPr>
        <w:t>土壤环境质量监测，</w:t>
      </w:r>
      <w:r>
        <w:rPr>
          <w:rFonts w:hint="eastAsia" w:ascii="Times New Roman" w:hAnsi="Times New Roman" w:eastAsia="宋体" w:cs="宋体"/>
          <w:snapToGrid w:val="0"/>
          <w:color w:val="auto"/>
          <w:kern w:val="0"/>
          <w:sz w:val="24"/>
          <w:szCs w:val="24"/>
          <w:lang w:val="en-US" w:eastAsia="zh-CN" w:bidi="ar"/>
        </w:rPr>
        <w:t>应</w:t>
      </w:r>
      <w:r>
        <w:rPr>
          <w:rFonts w:hint="default" w:ascii="Times New Roman" w:hAnsi="Times New Roman" w:eastAsia="宋体" w:cs="宋体"/>
          <w:snapToGrid w:val="0"/>
          <w:color w:val="auto"/>
          <w:kern w:val="0"/>
          <w:sz w:val="24"/>
          <w:szCs w:val="24"/>
          <w:lang w:val="en-US" w:eastAsia="zh-CN" w:bidi="ar"/>
        </w:rPr>
        <w:t>每生产季</w:t>
      </w:r>
      <w:r>
        <w:rPr>
          <w:rFonts w:hint="eastAsia" w:ascii="Times New Roman" w:hAnsi="Times New Roman" w:eastAsia="宋体" w:cs="宋体"/>
          <w:snapToGrid w:val="0"/>
          <w:color w:val="auto"/>
          <w:kern w:val="0"/>
          <w:sz w:val="24"/>
          <w:szCs w:val="24"/>
          <w:lang w:val="en-US" w:eastAsia="zh-CN" w:bidi="ar"/>
        </w:rPr>
        <w:t>监测</w:t>
      </w:r>
      <w:r>
        <w:rPr>
          <w:rFonts w:hint="default" w:ascii="Times New Roman" w:hAnsi="Times New Roman" w:eastAsia="宋体" w:cs="宋体"/>
          <w:snapToGrid w:val="0"/>
          <w:color w:val="auto"/>
          <w:kern w:val="0"/>
          <w:sz w:val="24"/>
          <w:szCs w:val="24"/>
          <w:lang w:val="en-US" w:eastAsia="zh-CN" w:bidi="ar"/>
        </w:rPr>
        <w:t>一次。</w:t>
      </w:r>
    </w:p>
    <w:p w14:paraId="752D24A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2</w:t>
      </w:r>
      <w:r>
        <w:rPr>
          <w:rFonts w:hint="default" w:ascii="Times New Roman" w:hAnsi="Times New Roman" w:eastAsia="宋体" w:cs="宋体"/>
          <w:snapToGrid w:val="0"/>
          <w:color w:val="auto"/>
          <w:kern w:val="0"/>
          <w:sz w:val="24"/>
          <w:szCs w:val="24"/>
          <w:lang w:val="en-US" w:eastAsia="zh-CN" w:bidi="ar"/>
        </w:rPr>
        <w:t>）还田区土壤环境监测应按照</w:t>
      </w:r>
      <w:r>
        <w:rPr>
          <w:rFonts w:hint="eastAsia" w:ascii="Times New Roman" w:hAnsi="Times New Roman" w:eastAsia="宋体" w:cs="宋体"/>
          <w:snapToGrid w:val="0"/>
          <w:color w:val="auto"/>
          <w:kern w:val="0"/>
          <w:sz w:val="24"/>
          <w:szCs w:val="24"/>
          <w:lang w:val="en-US" w:eastAsia="zh-CN" w:bidi="ar"/>
        </w:rPr>
        <w:t>《</w:t>
      </w:r>
      <w:r>
        <w:rPr>
          <w:rFonts w:hint="default" w:ascii="Times New Roman" w:hAnsi="Times New Roman" w:eastAsia="宋体" w:cs="宋体"/>
          <w:snapToGrid w:val="0"/>
          <w:color w:val="auto"/>
          <w:kern w:val="0"/>
          <w:sz w:val="24"/>
          <w:szCs w:val="24"/>
          <w:lang w:val="en-US" w:eastAsia="zh-CN" w:bidi="ar"/>
        </w:rPr>
        <w:t>土壤环境监测技术规范</w:t>
      </w:r>
      <w:r>
        <w:rPr>
          <w:rFonts w:hint="eastAsia" w:ascii="Times New Roman" w:hAnsi="Times New Roman" w:eastAsia="宋体" w:cs="宋体"/>
          <w:snapToGrid w:val="0"/>
          <w:color w:val="auto"/>
          <w:kern w:val="0"/>
          <w:sz w:val="24"/>
          <w:szCs w:val="24"/>
          <w:lang w:val="en-US" w:eastAsia="zh-CN" w:bidi="ar"/>
        </w:rPr>
        <w:t>》（HJ/T166-2004）</w:t>
      </w:r>
      <w:r>
        <w:rPr>
          <w:rFonts w:hint="default" w:ascii="Times New Roman" w:hAnsi="Times New Roman" w:eastAsia="宋体" w:cs="宋体"/>
          <w:snapToGrid w:val="0"/>
          <w:color w:val="auto"/>
          <w:kern w:val="0"/>
          <w:sz w:val="24"/>
          <w:szCs w:val="24"/>
          <w:lang w:val="en-US" w:eastAsia="zh-CN" w:bidi="ar"/>
        </w:rPr>
        <w:t>相关要求进行监测。</w:t>
      </w:r>
    </w:p>
    <w:p w14:paraId="04B5C17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w:t>
      </w:r>
      <w:r>
        <w:rPr>
          <w:rFonts w:hint="eastAsia" w:ascii="Times New Roman" w:hAnsi="Times New Roman" w:eastAsia="宋体" w:cs="宋体"/>
          <w:snapToGrid w:val="0"/>
          <w:color w:val="auto"/>
          <w:kern w:val="0"/>
          <w:sz w:val="24"/>
          <w:szCs w:val="24"/>
          <w:lang w:val="en-US" w:eastAsia="zh-CN" w:bidi="ar"/>
        </w:rPr>
        <w:t>3</w:t>
      </w:r>
      <w:r>
        <w:rPr>
          <w:rFonts w:hint="default" w:ascii="Times New Roman" w:hAnsi="Times New Roman" w:eastAsia="宋体" w:cs="宋体"/>
          <w:snapToGrid w:val="0"/>
          <w:color w:val="auto"/>
          <w:kern w:val="0"/>
          <w:sz w:val="24"/>
          <w:szCs w:val="24"/>
          <w:lang w:val="en-US" w:eastAsia="zh-CN" w:bidi="ar"/>
        </w:rPr>
        <w:t>）还田区土壤环境质量应满足</w:t>
      </w:r>
      <w:r>
        <w:rPr>
          <w:rFonts w:hint="eastAsia" w:ascii="Times New Roman" w:hAnsi="Times New Roman" w:eastAsia="宋体" w:cs="宋体"/>
          <w:snapToGrid w:val="0"/>
          <w:color w:val="auto"/>
          <w:kern w:val="0"/>
          <w:sz w:val="24"/>
          <w:szCs w:val="24"/>
          <w:lang w:val="en-US" w:eastAsia="zh-CN" w:bidi="ar"/>
        </w:rPr>
        <w:t>《土壤环境质量农用地土壤污染风险管控标准（试行）》（</w:t>
      </w:r>
      <w:r>
        <w:rPr>
          <w:rFonts w:hint="default" w:ascii="Times New Roman" w:hAnsi="Times New Roman" w:eastAsia="宋体" w:cs="宋体"/>
          <w:snapToGrid w:val="0"/>
          <w:color w:val="auto"/>
          <w:kern w:val="0"/>
          <w:sz w:val="24"/>
          <w:szCs w:val="24"/>
          <w:lang w:val="en-US" w:eastAsia="zh-CN" w:bidi="ar"/>
        </w:rPr>
        <w:t>GB15618-2018</w:t>
      </w:r>
      <w:r>
        <w:rPr>
          <w:rFonts w:hint="eastAsia" w:ascii="Times New Roman" w:hAnsi="Times New Roman" w:eastAsia="宋体" w:cs="宋体"/>
          <w:snapToGrid w:val="0"/>
          <w:color w:val="auto"/>
          <w:kern w:val="0"/>
          <w:sz w:val="24"/>
          <w:szCs w:val="24"/>
          <w:lang w:val="en-US" w:eastAsia="zh-CN" w:bidi="ar"/>
        </w:rPr>
        <w:t>）</w:t>
      </w:r>
      <w:r>
        <w:rPr>
          <w:rFonts w:hint="default" w:ascii="Times New Roman" w:hAnsi="Times New Roman" w:eastAsia="宋体" w:cs="宋体"/>
          <w:snapToGrid w:val="0"/>
          <w:color w:val="auto"/>
          <w:kern w:val="0"/>
          <w:sz w:val="24"/>
          <w:szCs w:val="24"/>
          <w:lang w:val="en-US" w:eastAsia="zh-CN" w:bidi="ar"/>
        </w:rPr>
        <w:t>中的相关</w:t>
      </w:r>
      <w:r>
        <w:rPr>
          <w:rFonts w:hint="eastAsia" w:ascii="Times New Roman" w:hAnsi="Times New Roman" w:eastAsia="宋体" w:cs="宋体"/>
          <w:snapToGrid w:val="0"/>
          <w:color w:val="auto"/>
          <w:kern w:val="0"/>
          <w:sz w:val="24"/>
          <w:szCs w:val="24"/>
          <w:lang w:val="en-US" w:eastAsia="zh-CN" w:bidi="ar"/>
        </w:rPr>
        <w:t>限值</w:t>
      </w:r>
      <w:r>
        <w:rPr>
          <w:rFonts w:hint="default" w:ascii="Times New Roman" w:hAnsi="Times New Roman" w:eastAsia="宋体" w:cs="宋体"/>
          <w:snapToGrid w:val="0"/>
          <w:color w:val="auto"/>
          <w:kern w:val="0"/>
          <w:sz w:val="24"/>
          <w:szCs w:val="24"/>
          <w:lang w:val="en-US" w:eastAsia="zh-CN" w:bidi="ar"/>
        </w:rPr>
        <w:t>要求。</w:t>
      </w:r>
    </w:p>
    <w:p w14:paraId="60BCB7B8">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68" w:name="_Toc25916"/>
      <w:r>
        <w:rPr>
          <w:rFonts w:hint="eastAsia" w:ascii="Times New Roman" w:hAnsi="Times New Roman" w:cs="宋体"/>
          <w:b/>
          <w:bCs/>
          <w:color w:val="auto"/>
          <w:sz w:val="28"/>
          <w:szCs w:val="28"/>
          <w:lang w:val="en-US" w:eastAsia="zh-CN"/>
        </w:rPr>
        <w:t>5</w:t>
      </w:r>
      <w:r>
        <w:rPr>
          <w:rFonts w:hint="eastAsia" w:ascii="Times New Roman" w:hAnsi="Times New Roman" w:eastAsia="宋体" w:cs="宋体"/>
          <w:b/>
          <w:bCs/>
          <w:color w:val="auto"/>
          <w:sz w:val="28"/>
          <w:szCs w:val="28"/>
          <w:lang w:val="en-US" w:eastAsia="zh-CN"/>
        </w:rPr>
        <w:t>.</w:t>
      </w:r>
      <w:r>
        <w:rPr>
          <w:rFonts w:hint="eastAsia" w:ascii="Times New Roman" w:hAnsi="Times New Roman" w:cs="宋体"/>
          <w:b/>
          <w:bCs/>
          <w:color w:val="auto"/>
          <w:sz w:val="28"/>
          <w:szCs w:val="28"/>
          <w:lang w:val="en-US" w:eastAsia="zh-CN"/>
        </w:rPr>
        <w:t>7</w:t>
      </w:r>
      <w:r>
        <w:rPr>
          <w:rFonts w:hint="eastAsia" w:ascii="Times New Roman" w:hAnsi="Times New Roman" w:eastAsia="宋体" w:cs="宋体"/>
          <w:b/>
          <w:bCs/>
          <w:color w:val="auto"/>
          <w:sz w:val="28"/>
          <w:szCs w:val="28"/>
          <w:lang w:val="en-US" w:eastAsia="zh-CN"/>
        </w:rPr>
        <w:t>、</w:t>
      </w:r>
      <w:r>
        <w:rPr>
          <w:rFonts w:hint="eastAsia" w:ascii="Times New Roman" w:hAnsi="Times New Roman" w:cs="宋体"/>
          <w:b/>
          <w:bCs/>
          <w:color w:val="auto"/>
          <w:sz w:val="28"/>
          <w:szCs w:val="28"/>
          <w:lang w:val="en-US" w:eastAsia="zh-CN"/>
        </w:rPr>
        <w:t>其他监测</w:t>
      </w:r>
      <w:bookmarkEnd w:id="68"/>
    </w:p>
    <w:p w14:paraId="5C74AE8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（1）土壤肥力检测</w:t>
      </w:r>
    </w:p>
    <w:p w14:paraId="58B4F39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每年开展一次土壤肥力检测，土壤肥力参考全国二次土壤普查推荐土壤肥力分级标准。</w:t>
      </w:r>
    </w:p>
    <w:p w14:paraId="303DAF2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（2）农产品的检测</w:t>
      </w:r>
    </w:p>
    <w:p w14:paraId="352484B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每年开展一次</w:t>
      </w:r>
      <w:r>
        <w:rPr>
          <w:rFonts w:hint="eastAsia" w:ascii="Times New Roman" w:hAnsi="Times New Roman" w:eastAsia="宋体" w:cs="宋体"/>
          <w:snapToGrid w:val="0"/>
          <w:color w:val="auto"/>
          <w:kern w:val="0"/>
          <w:sz w:val="24"/>
          <w:szCs w:val="24"/>
          <w:lang w:val="en-US" w:eastAsia="zh-CN" w:bidi="ar"/>
        </w:rPr>
        <w:t>农产品</w:t>
      </w:r>
      <w:r>
        <w:rPr>
          <w:rFonts w:hint="default" w:ascii="Times New Roman" w:hAnsi="Times New Roman" w:eastAsia="宋体" w:cs="宋体"/>
          <w:snapToGrid w:val="0"/>
          <w:color w:val="auto"/>
          <w:kern w:val="0"/>
          <w:sz w:val="24"/>
          <w:szCs w:val="24"/>
          <w:lang w:val="en-US" w:eastAsia="zh-CN" w:bidi="ar"/>
        </w:rPr>
        <w:t>检测</w:t>
      </w:r>
      <w:r>
        <w:rPr>
          <w:rFonts w:hint="eastAsia" w:ascii="Times New Roman" w:hAnsi="Times New Roman" w:eastAsia="宋体" w:cs="宋体"/>
          <w:snapToGrid w:val="0"/>
          <w:color w:val="auto"/>
          <w:kern w:val="0"/>
          <w:sz w:val="24"/>
          <w:szCs w:val="24"/>
          <w:lang w:val="en-US" w:eastAsia="zh-CN" w:bidi="ar"/>
        </w:rPr>
        <w:t>，经过马铃薯淀粉加工废水施用的农田产出的农产品相关指标应全部符合《食品安全国家标准 食品中污染物限量》（GB 2762—2022）限量标准。</w:t>
      </w:r>
    </w:p>
    <w:p w14:paraId="5A2ACB34">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color w:val="auto"/>
          <w:spacing w:val="2"/>
          <w:sz w:val="28"/>
          <w:szCs w:val="28"/>
          <w:lang w:val="en-US"/>
        </w:rPr>
      </w:pPr>
      <w:bookmarkStart w:id="69" w:name="_Toc32116"/>
      <w:r>
        <w:rPr>
          <w:rFonts w:hint="eastAsia" w:ascii="Times New Roman" w:hAnsi="Times New Roman" w:cs="宋体"/>
          <w:b/>
          <w:bCs/>
          <w:color w:val="auto"/>
          <w:sz w:val="28"/>
          <w:szCs w:val="28"/>
          <w:lang w:val="en-US" w:eastAsia="zh-CN"/>
        </w:rPr>
        <w:t>5</w:t>
      </w:r>
      <w:r>
        <w:rPr>
          <w:rFonts w:hint="eastAsia" w:ascii="Times New Roman" w:hAnsi="Times New Roman" w:eastAsia="宋体" w:cs="宋体"/>
          <w:b/>
          <w:bCs/>
          <w:color w:val="auto"/>
          <w:sz w:val="28"/>
          <w:szCs w:val="28"/>
          <w:lang w:val="en-US" w:eastAsia="zh-CN"/>
        </w:rPr>
        <w:t>.</w:t>
      </w:r>
      <w:r>
        <w:rPr>
          <w:rFonts w:hint="eastAsia" w:ascii="Times New Roman" w:hAnsi="Times New Roman" w:cs="宋体"/>
          <w:b/>
          <w:bCs/>
          <w:color w:val="auto"/>
          <w:sz w:val="28"/>
          <w:szCs w:val="28"/>
          <w:lang w:val="en-US" w:eastAsia="zh-CN"/>
        </w:rPr>
        <w:t>8</w:t>
      </w:r>
      <w:r>
        <w:rPr>
          <w:rFonts w:hint="eastAsia" w:ascii="Times New Roman" w:hAnsi="Times New Roman" w:eastAsia="宋体" w:cs="宋体"/>
          <w:b/>
          <w:bCs/>
          <w:color w:val="auto"/>
          <w:sz w:val="28"/>
          <w:szCs w:val="28"/>
          <w:lang w:val="en-US" w:eastAsia="zh-CN"/>
        </w:rPr>
        <w:t>、环境效益分析</w:t>
      </w:r>
      <w:bookmarkEnd w:id="69"/>
    </w:p>
    <w:p w14:paraId="606C1BF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1、有效削减污染负荷，保护水环境：</w:t>
      </w:r>
    </w:p>
    <w:p w14:paraId="108E75C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高COD/BOD去除率：黑膜氧化池利用厌氧微生物高效降解废水中的有机污染物（淀粉、糖类、蛋白质等），能有效去除70%-90%的COD（化学需氧量）和BOD（生化需氧量）。这大大降低了废水直接排入水体的污染风险，避免了水体黑臭、富营养化和水生生态系统破坏。</w:t>
      </w:r>
    </w:p>
    <w:p w14:paraId="3A451FC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减少末端处理压力与成本：经过厌氧处理后，废水的可生化性通常得到改善，其处理负荷、能耗和化学品投加量都将显著降低，能够降低企业的运行成本。</w:t>
      </w:r>
    </w:p>
    <w:p w14:paraId="28C7F32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2、资源循环利用，替代化肥：</w:t>
      </w:r>
    </w:p>
    <w:p w14:paraId="065A268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营养元素回收：厌氧发酵过程将废水中的有机氮、磷、钾等转化为植物更易吸收的无机态或简单有机态（如铵态氮、速效磷、钾离子），并富含腐殖酸类物质和多种中微量元素。沼液是一种优质的有机液体肥料。</w:t>
      </w:r>
    </w:p>
    <w:p w14:paraId="48D67CF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减少化肥依赖与生产能耗：科学合理地施用沼液替代部分化肥，可直接减少农业生产中对化学合成氮肥、磷肥、钾肥的需求。化肥生产是高能耗、高碳排放的过程（尤其是氮肥），因此沼液还田有效降低了化肥生产、运输、施用过程中伴随的能源消耗、温室气体排放以及潜在的土壤板结、酸化、水体污染（化肥流失）风险。</w:t>
      </w:r>
    </w:p>
    <w:p w14:paraId="2430F5B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3）提升土壤有机质：沼液中含有的腐殖质、氨基酸等有机物质，是土壤有机质的重要来源。长期施用能有效改善土壤结构，增加土壤团粒结构，提高土壤的保水保肥能力、通气性和缓冲性能，增强土壤微生物活性，提升土壤基础肥力，促进农业可持续发展。</w:t>
      </w:r>
    </w:p>
    <w:p w14:paraId="554122C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3、改善土壤健康与生态：</w:t>
      </w:r>
    </w:p>
    <w:p w14:paraId="2F9BC81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（1）促进微生物多样性：沼液含有丰富的有机质和养分，为土壤有益微生物（细菌、真菌、放线菌等）提供了良好的生长环境和食物来源，有助于维持和提升土壤微生物群落的多样性和活性。</w:t>
      </w:r>
    </w:p>
    <w:p w14:paraId="4611A89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（2）减少土壤退化风险：相比于长期单一施用化肥导致的土壤板结、酸化、盐渍化等退化风险，沼液还田（在科学施用下）有助于维持土壤pH平衡，改善土壤物理性质，降低退化风险。</w:t>
      </w:r>
    </w:p>
    <w:p w14:paraId="2C8A4C6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3）闭环循环，减少环境足迹：将淀粉加工废水在本地（农田）进行资源化利用，构建了“农田（马铃薯）-加工厂（废水）-厌氧处理（能源+肥料）-农田”的局部物质循环链，显著减少了长距离运输肥料和处理废弃物的环境成本（交通排放、填埋占地与污染等）。</w:t>
      </w:r>
    </w:p>
    <w:p w14:paraId="279084A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4、减少化学品使用：</w:t>
      </w:r>
    </w:p>
    <w:p w14:paraId="33F8933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厌氧处理过程主要依赖微生物作用，相较于某些物化处理工艺（如化学混凝、高级氧化），其化学品（絮凝剂、氧化剂等）消耗量通常很低或为零，减少了化学品的生产、运输、使用及其潜在的环境风险。</w:t>
      </w:r>
    </w:p>
    <w:p w14:paraId="787F797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cs="宋体"/>
          <w:b/>
          <w:bCs/>
          <w:color w:val="auto"/>
          <w:sz w:val="28"/>
          <w:szCs w:val="28"/>
          <w:lang w:val="en-US" w:eastAsia="zh-CN"/>
        </w:rPr>
      </w:pPr>
      <w:r>
        <w:rPr>
          <w:rFonts w:hint="eastAsia" w:ascii="Times New Roman" w:hAnsi="Times New Roman" w:eastAsia="宋体" w:cs="宋体"/>
          <w:snapToGrid w:val="0"/>
          <w:color w:val="auto"/>
          <w:kern w:val="0"/>
          <w:sz w:val="24"/>
          <w:szCs w:val="24"/>
          <w:lang w:val="en-US" w:eastAsia="zh-CN" w:bidi="ar"/>
        </w:rPr>
        <w:t>马铃薯淀粉加工废水采用黑膜厌氧池发酵处理并科学还田利用，是一条环境效益非常突出的资源化路径。它有效削减了污染负荷，保护了水环境；高效回收了废水中的养分和有机质，替代化肥；改善了土壤健康，促进了农业生态系统的良性循环。其环境效益的核心在于将“污染源”转化为“资源”，实现了“变废为宝”和“以废治废”的循环经济模式。然而，这一切环境效益的可持续实现，高度依赖于对沼液质量的严格监控和对还田施用的科学管理。只有在规范操作和持续监测下，才能最大化其环境正效益，规避潜在风险，真正实现经济、社会、环境的三赢。</w:t>
      </w:r>
    </w:p>
    <w:p w14:paraId="424C8A0C">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ascii="Times New Roman" w:hAnsi="Times New Roman" w:eastAsia="宋体" w:cs="宋体"/>
          <w:color w:val="auto"/>
          <w:spacing w:val="2"/>
          <w:sz w:val="28"/>
          <w:szCs w:val="28"/>
        </w:rPr>
      </w:pPr>
      <w:bookmarkStart w:id="70" w:name="_Toc10052"/>
      <w:r>
        <w:rPr>
          <w:rFonts w:hint="eastAsia" w:ascii="Times New Roman" w:hAnsi="Times New Roman" w:cs="宋体"/>
          <w:b/>
          <w:bCs/>
          <w:color w:val="auto"/>
          <w:sz w:val="28"/>
          <w:szCs w:val="28"/>
          <w:lang w:val="en-US" w:eastAsia="zh-CN"/>
        </w:rPr>
        <w:t>5</w:t>
      </w:r>
      <w:r>
        <w:rPr>
          <w:rFonts w:hint="eastAsia" w:ascii="Times New Roman" w:hAnsi="Times New Roman" w:eastAsia="宋体" w:cs="宋体"/>
          <w:b/>
          <w:bCs/>
          <w:color w:val="auto"/>
          <w:sz w:val="28"/>
          <w:szCs w:val="28"/>
          <w:lang w:val="en-US" w:eastAsia="zh-CN"/>
        </w:rPr>
        <w:t>.</w:t>
      </w:r>
      <w:r>
        <w:rPr>
          <w:rFonts w:hint="eastAsia" w:ascii="Times New Roman" w:hAnsi="Times New Roman" w:cs="宋体"/>
          <w:b/>
          <w:bCs/>
          <w:color w:val="auto"/>
          <w:sz w:val="28"/>
          <w:szCs w:val="28"/>
          <w:lang w:val="en-US" w:eastAsia="zh-CN"/>
        </w:rPr>
        <w:t>9</w:t>
      </w:r>
      <w:r>
        <w:rPr>
          <w:rFonts w:hint="eastAsia" w:ascii="Times New Roman" w:hAnsi="Times New Roman" w:eastAsia="宋体" w:cs="宋体"/>
          <w:b/>
          <w:bCs/>
          <w:color w:val="auto"/>
          <w:sz w:val="28"/>
          <w:szCs w:val="28"/>
          <w:lang w:val="en-US" w:eastAsia="zh-CN"/>
        </w:rPr>
        <w:t>、小结</w:t>
      </w:r>
      <w:bookmarkEnd w:id="70"/>
    </w:p>
    <w:p w14:paraId="2DCAC22D">
      <w:pPr>
        <w:keepNext w:val="0"/>
        <w:keepLines w:val="0"/>
        <w:pageBreakBefore w:val="0"/>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SA"/>
        </w:rPr>
      </w:pPr>
      <w:r>
        <w:rPr>
          <w:rFonts w:hint="default" w:ascii="Times New Roman" w:hAnsi="Times New Roman" w:eastAsia="宋体" w:cs="宋体"/>
          <w:snapToGrid w:val="0"/>
          <w:color w:val="auto"/>
          <w:kern w:val="0"/>
          <w:sz w:val="24"/>
          <w:szCs w:val="24"/>
          <w:lang w:val="en-US" w:eastAsia="zh-CN" w:bidi="ar-SA"/>
        </w:rPr>
        <w:t>本项目建成后，</w:t>
      </w:r>
      <w:r>
        <w:rPr>
          <w:rFonts w:hint="eastAsia" w:ascii="Times New Roman" w:hAnsi="Times New Roman" w:eastAsia="宋体" w:cs="宋体"/>
          <w:snapToGrid w:val="0"/>
          <w:color w:val="auto"/>
          <w:kern w:val="0"/>
          <w:sz w:val="24"/>
          <w:szCs w:val="24"/>
          <w:lang w:val="en-US" w:eastAsia="zh-CN" w:bidi="ar-SA"/>
        </w:rPr>
        <w:t>根据制定的环境</w:t>
      </w:r>
      <w:r>
        <w:rPr>
          <w:rFonts w:hint="default" w:ascii="Times New Roman" w:hAnsi="Times New Roman" w:eastAsia="宋体" w:cs="宋体"/>
          <w:snapToGrid w:val="0"/>
          <w:color w:val="auto"/>
          <w:kern w:val="0"/>
          <w:sz w:val="24"/>
          <w:szCs w:val="24"/>
          <w:lang w:val="en-US" w:eastAsia="zh-CN" w:bidi="ar-SA"/>
        </w:rPr>
        <w:t>监测计划，对可能产生较明显环境影响的关键岗位进行监测。根据对项目场址的环境质量现状分析及其对周围水、大气、声环境的影响预测和评价，本项目在建设期和运营期间采取有效措施后，不会对周围环境产生不良影响，在环保方面是可行的。</w:t>
      </w:r>
    </w:p>
    <w:p w14:paraId="21FF67FC">
      <w:pPr>
        <w:keepNext w:val="0"/>
        <w:keepLines w:val="0"/>
        <w:pageBreakBefore w:val="0"/>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SA"/>
        </w:rPr>
      </w:pPr>
      <w:r>
        <w:rPr>
          <w:rFonts w:hint="default" w:ascii="Times New Roman" w:hAnsi="Times New Roman" w:eastAsia="宋体" w:cs="宋体"/>
          <w:snapToGrid w:val="0"/>
          <w:color w:val="auto"/>
          <w:kern w:val="0"/>
          <w:sz w:val="24"/>
          <w:szCs w:val="24"/>
          <w:lang w:val="en-US" w:eastAsia="zh-CN" w:bidi="ar-SA"/>
        </w:rPr>
        <w:t>因此，该项目从环境保护的角度考虑是切实可行的。</w:t>
      </w:r>
    </w:p>
    <w:p w14:paraId="7D283748">
      <w:pPr>
        <w:pStyle w:val="2"/>
        <w:rPr>
          <w:rFonts w:hint="default"/>
          <w:color w:val="auto"/>
          <w:lang w:val="en-US" w:eastAsia="zh-CN"/>
        </w:rPr>
      </w:pPr>
    </w:p>
    <w:p w14:paraId="1044AC5B">
      <w:pPr>
        <w:rPr>
          <w:rFonts w:hint="eastAsia" w:ascii="Times New Roman" w:hAnsi="Times New Roman" w:eastAsia="宋体" w:cs="宋体"/>
          <w:b/>
          <w:bCs/>
          <w:color w:val="auto"/>
          <w:sz w:val="28"/>
          <w:szCs w:val="28"/>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5DD650C1">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jc w:val="center"/>
        <w:textAlignment w:val="baseline"/>
        <w:rPr>
          <w:rFonts w:hint="default" w:ascii="Times New Roman" w:hAnsi="Times New Roman" w:eastAsia="宋体" w:cs="宋体"/>
          <w:b/>
          <w:color w:val="auto"/>
          <w:sz w:val="30"/>
          <w:szCs w:val="30"/>
          <w:lang w:val="en-US" w:eastAsia="zh-CN"/>
        </w:rPr>
      </w:pPr>
      <w:bookmarkStart w:id="71" w:name="_Toc23638"/>
      <w:r>
        <w:rPr>
          <w:rFonts w:hint="eastAsia" w:ascii="Times New Roman" w:hAnsi="Times New Roman" w:eastAsia="宋体" w:cs="宋体"/>
          <w:b/>
          <w:color w:val="auto"/>
          <w:sz w:val="30"/>
          <w:szCs w:val="30"/>
          <w:lang w:val="en-US" w:eastAsia="zh-CN"/>
        </w:rPr>
        <w:t>第六章 电气设计说明</w:t>
      </w:r>
      <w:bookmarkEnd w:id="71"/>
    </w:p>
    <w:p w14:paraId="45ECE7BD">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72" w:name="_Toc18376"/>
      <w:r>
        <w:rPr>
          <w:rFonts w:hint="eastAsia" w:ascii="Times New Roman" w:hAnsi="Times New Roman" w:eastAsia="宋体" w:cs="宋体"/>
          <w:b/>
          <w:bCs/>
          <w:color w:val="auto"/>
          <w:sz w:val="28"/>
          <w:szCs w:val="28"/>
          <w:lang w:val="en-US" w:eastAsia="zh-CN"/>
        </w:rPr>
        <w:t>6.1、设计依据</w:t>
      </w:r>
      <w:bookmarkEnd w:id="72"/>
    </w:p>
    <w:p w14:paraId="5FA85F0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（1）相关专业提供的工程设计资料；</w:t>
      </w:r>
    </w:p>
    <w:p w14:paraId="71C95303">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（2）《民用建筑电气设计标准》</w:t>
      </w:r>
      <w:r>
        <w:rPr>
          <w:rFonts w:ascii="Times New Roman" w:hAnsi="Times New Roman" w:eastAsia="宋体" w:cs="宋体"/>
          <w:snapToGrid w:val="0"/>
          <w:color w:val="auto"/>
          <w:kern w:val="0"/>
          <w:sz w:val="24"/>
          <w:szCs w:val="30"/>
          <w:lang w:val="en-US" w:eastAsia="zh-CN" w:bidi="ar"/>
        </w:rPr>
        <w:t>GB51348-2019</w:t>
      </w:r>
      <w:r>
        <w:rPr>
          <w:rFonts w:hint="eastAsia" w:ascii="Times New Roman" w:hAnsi="Times New Roman" w:eastAsia="宋体" w:cs="宋体"/>
          <w:snapToGrid w:val="0"/>
          <w:color w:val="auto"/>
          <w:kern w:val="0"/>
          <w:sz w:val="24"/>
          <w:szCs w:val="30"/>
          <w:lang w:val="en-US" w:eastAsia="zh-CN" w:bidi="ar"/>
        </w:rPr>
        <w:t>；</w:t>
      </w:r>
    </w:p>
    <w:p w14:paraId="3EF0B9E5">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（3）《综合布线系统工程设计规范》</w:t>
      </w:r>
      <w:r>
        <w:rPr>
          <w:rFonts w:hint="default" w:ascii="Times New Roman" w:hAnsi="Times New Roman" w:eastAsia="宋体" w:cs="宋体"/>
          <w:snapToGrid w:val="0"/>
          <w:color w:val="auto"/>
          <w:kern w:val="0"/>
          <w:sz w:val="24"/>
          <w:szCs w:val="30"/>
          <w:lang w:val="en-US" w:eastAsia="zh-CN" w:bidi="ar"/>
        </w:rPr>
        <w:t>GB50311-2016</w:t>
      </w:r>
      <w:r>
        <w:rPr>
          <w:rFonts w:hint="eastAsia" w:ascii="Times New Roman" w:hAnsi="Times New Roman" w:eastAsia="宋体" w:cs="宋体"/>
          <w:snapToGrid w:val="0"/>
          <w:color w:val="auto"/>
          <w:kern w:val="0"/>
          <w:sz w:val="24"/>
          <w:szCs w:val="30"/>
          <w:lang w:val="en-US" w:eastAsia="zh-CN" w:bidi="ar"/>
        </w:rPr>
        <w:t>；</w:t>
      </w:r>
    </w:p>
    <w:p w14:paraId="29827AA9">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（4）《建筑照明设计标准》</w:t>
      </w:r>
      <w:r>
        <w:rPr>
          <w:rFonts w:hint="default" w:ascii="Times New Roman" w:hAnsi="Times New Roman" w:eastAsia="宋体" w:cs="宋体"/>
          <w:snapToGrid w:val="0"/>
          <w:color w:val="auto"/>
          <w:kern w:val="0"/>
          <w:sz w:val="24"/>
          <w:szCs w:val="30"/>
          <w:lang w:val="en-US" w:eastAsia="zh-CN" w:bidi="ar"/>
        </w:rPr>
        <w:t>GB50034-2013</w:t>
      </w:r>
      <w:r>
        <w:rPr>
          <w:rFonts w:hint="eastAsia" w:ascii="Times New Roman" w:hAnsi="Times New Roman" w:eastAsia="宋体" w:cs="宋体"/>
          <w:snapToGrid w:val="0"/>
          <w:color w:val="auto"/>
          <w:kern w:val="0"/>
          <w:sz w:val="24"/>
          <w:szCs w:val="30"/>
          <w:lang w:val="en-US" w:eastAsia="zh-CN" w:bidi="ar"/>
        </w:rPr>
        <w:t>；</w:t>
      </w:r>
    </w:p>
    <w:p w14:paraId="39DF4401">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（5）《有线电视网络工程设计标准》</w:t>
      </w:r>
      <w:r>
        <w:rPr>
          <w:rFonts w:hint="default" w:ascii="Times New Roman" w:hAnsi="Times New Roman" w:eastAsia="宋体" w:cs="宋体"/>
          <w:snapToGrid w:val="0"/>
          <w:color w:val="auto"/>
          <w:kern w:val="0"/>
          <w:sz w:val="24"/>
          <w:szCs w:val="30"/>
          <w:lang w:val="en-US" w:eastAsia="zh-CN" w:bidi="ar"/>
        </w:rPr>
        <w:t>GB/T50200-2018</w:t>
      </w:r>
      <w:r>
        <w:rPr>
          <w:rFonts w:hint="eastAsia" w:ascii="Times New Roman" w:hAnsi="Times New Roman" w:eastAsia="宋体" w:cs="宋体"/>
          <w:snapToGrid w:val="0"/>
          <w:color w:val="auto"/>
          <w:kern w:val="0"/>
          <w:sz w:val="24"/>
          <w:szCs w:val="30"/>
          <w:lang w:val="en-US" w:eastAsia="zh-CN" w:bidi="ar"/>
        </w:rPr>
        <w:t>；</w:t>
      </w:r>
    </w:p>
    <w:p w14:paraId="4C41FAB7">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（6）《</w:t>
      </w:r>
      <w:r>
        <w:rPr>
          <w:rFonts w:hint="default" w:ascii="Times New Roman" w:hAnsi="Times New Roman" w:eastAsia="宋体" w:cs="宋体"/>
          <w:snapToGrid w:val="0"/>
          <w:color w:val="auto"/>
          <w:kern w:val="0"/>
          <w:sz w:val="24"/>
          <w:szCs w:val="30"/>
          <w:lang w:val="en-US" w:eastAsia="zh-CN" w:bidi="ar"/>
        </w:rPr>
        <w:t>10KV</w:t>
      </w:r>
      <w:r>
        <w:rPr>
          <w:rFonts w:hint="eastAsia" w:ascii="Times New Roman" w:hAnsi="Times New Roman" w:eastAsia="宋体" w:cs="宋体"/>
          <w:snapToGrid w:val="0"/>
          <w:color w:val="auto"/>
          <w:kern w:val="0"/>
          <w:sz w:val="24"/>
          <w:szCs w:val="30"/>
          <w:lang w:val="en-US" w:eastAsia="zh-CN" w:bidi="ar"/>
        </w:rPr>
        <w:t>及以下变电所设计规范》</w:t>
      </w:r>
      <w:r>
        <w:rPr>
          <w:rFonts w:hint="default" w:ascii="Times New Roman" w:hAnsi="Times New Roman" w:eastAsia="宋体" w:cs="宋体"/>
          <w:snapToGrid w:val="0"/>
          <w:color w:val="auto"/>
          <w:kern w:val="0"/>
          <w:sz w:val="24"/>
          <w:szCs w:val="30"/>
          <w:lang w:val="en-US" w:eastAsia="zh-CN" w:bidi="ar"/>
        </w:rPr>
        <w:t>GB50053-2013</w:t>
      </w:r>
      <w:r>
        <w:rPr>
          <w:rFonts w:hint="eastAsia" w:ascii="Times New Roman" w:hAnsi="Times New Roman" w:eastAsia="宋体" w:cs="宋体"/>
          <w:snapToGrid w:val="0"/>
          <w:color w:val="auto"/>
          <w:kern w:val="0"/>
          <w:sz w:val="24"/>
          <w:szCs w:val="30"/>
          <w:lang w:val="en-US" w:eastAsia="zh-CN" w:bidi="ar"/>
        </w:rPr>
        <w:t>；</w:t>
      </w:r>
    </w:p>
    <w:p w14:paraId="0EC4BF3F">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（7）《低压配电设计规范》</w:t>
      </w:r>
      <w:r>
        <w:rPr>
          <w:rFonts w:hint="default" w:ascii="Times New Roman" w:hAnsi="Times New Roman" w:eastAsia="宋体" w:cs="宋体"/>
          <w:snapToGrid w:val="0"/>
          <w:color w:val="auto"/>
          <w:kern w:val="0"/>
          <w:sz w:val="24"/>
          <w:szCs w:val="30"/>
          <w:lang w:val="en-US" w:eastAsia="zh-CN" w:bidi="ar"/>
        </w:rPr>
        <w:t>GB50054-2011</w:t>
      </w:r>
      <w:r>
        <w:rPr>
          <w:rFonts w:hint="eastAsia" w:ascii="Times New Roman" w:hAnsi="Times New Roman" w:eastAsia="宋体" w:cs="宋体"/>
          <w:snapToGrid w:val="0"/>
          <w:color w:val="auto"/>
          <w:kern w:val="0"/>
          <w:sz w:val="24"/>
          <w:szCs w:val="30"/>
          <w:lang w:val="en-US" w:eastAsia="zh-CN" w:bidi="ar"/>
        </w:rPr>
        <w:t>；</w:t>
      </w:r>
    </w:p>
    <w:p w14:paraId="738EBB14">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（8）《供配电系统设计规范》</w:t>
      </w:r>
      <w:r>
        <w:rPr>
          <w:rFonts w:hint="default" w:ascii="Times New Roman" w:hAnsi="Times New Roman" w:eastAsia="宋体" w:cs="宋体"/>
          <w:snapToGrid w:val="0"/>
          <w:color w:val="auto"/>
          <w:kern w:val="0"/>
          <w:sz w:val="24"/>
          <w:szCs w:val="30"/>
          <w:lang w:val="en-US" w:eastAsia="zh-CN" w:bidi="ar"/>
        </w:rPr>
        <w:t>GB50052-2009</w:t>
      </w:r>
      <w:r>
        <w:rPr>
          <w:rFonts w:hint="eastAsia" w:ascii="Times New Roman" w:hAnsi="Times New Roman" w:eastAsia="宋体" w:cs="宋体"/>
          <w:snapToGrid w:val="0"/>
          <w:color w:val="auto"/>
          <w:kern w:val="0"/>
          <w:sz w:val="24"/>
          <w:szCs w:val="30"/>
          <w:lang w:val="en-US" w:eastAsia="zh-CN" w:bidi="ar"/>
        </w:rPr>
        <w:t>；</w:t>
      </w:r>
    </w:p>
    <w:p w14:paraId="32EAC04F">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（9）《电力工程电缆设计标准》</w:t>
      </w:r>
      <w:r>
        <w:rPr>
          <w:rFonts w:hint="default" w:ascii="Times New Roman" w:hAnsi="Times New Roman" w:eastAsia="宋体" w:cs="宋体"/>
          <w:snapToGrid w:val="0"/>
          <w:color w:val="auto"/>
          <w:kern w:val="0"/>
          <w:sz w:val="24"/>
          <w:szCs w:val="30"/>
          <w:lang w:val="en-US" w:eastAsia="zh-CN" w:bidi="ar"/>
        </w:rPr>
        <w:t>GB50217-2018</w:t>
      </w:r>
      <w:r>
        <w:rPr>
          <w:rFonts w:hint="eastAsia" w:ascii="Times New Roman" w:hAnsi="Times New Roman" w:eastAsia="宋体" w:cs="宋体"/>
          <w:snapToGrid w:val="0"/>
          <w:color w:val="auto"/>
          <w:kern w:val="0"/>
          <w:sz w:val="24"/>
          <w:szCs w:val="30"/>
          <w:lang w:val="en-US" w:eastAsia="zh-CN" w:bidi="ar"/>
        </w:rPr>
        <w:t>；</w:t>
      </w:r>
    </w:p>
    <w:p w14:paraId="2BF6829E">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（10）《建筑设计防火规范》</w:t>
      </w:r>
      <w:r>
        <w:rPr>
          <w:rFonts w:hint="default" w:ascii="Times New Roman" w:hAnsi="Times New Roman" w:eastAsia="宋体" w:cs="宋体"/>
          <w:snapToGrid w:val="0"/>
          <w:color w:val="auto"/>
          <w:kern w:val="0"/>
          <w:sz w:val="24"/>
          <w:szCs w:val="30"/>
          <w:lang w:val="en-US" w:eastAsia="zh-CN" w:bidi="ar"/>
        </w:rPr>
        <w:t>GB50016-2014</w:t>
      </w:r>
      <w:r>
        <w:rPr>
          <w:rFonts w:hint="eastAsia" w:ascii="Times New Roman" w:hAnsi="Times New Roman" w:eastAsia="宋体" w:cs="宋体"/>
          <w:snapToGrid w:val="0"/>
          <w:color w:val="auto"/>
          <w:kern w:val="0"/>
          <w:sz w:val="24"/>
          <w:szCs w:val="30"/>
          <w:lang w:val="en-US" w:eastAsia="zh-CN" w:bidi="ar"/>
        </w:rPr>
        <w:t>（</w:t>
      </w:r>
      <w:r>
        <w:rPr>
          <w:rFonts w:hint="default" w:ascii="Times New Roman" w:hAnsi="Times New Roman" w:eastAsia="宋体" w:cs="宋体"/>
          <w:snapToGrid w:val="0"/>
          <w:color w:val="auto"/>
          <w:kern w:val="0"/>
          <w:sz w:val="24"/>
          <w:szCs w:val="30"/>
          <w:lang w:val="en-US" w:eastAsia="zh-CN" w:bidi="ar"/>
        </w:rPr>
        <w:t>2018</w:t>
      </w:r>
      <w:r>
        <w:rPr>
          <w:rFonts w:hint="eastAsia" w:ascii="Times New Roman" w:hAnsi="Times New Roman" w:eastAsia="宋体" w:cs="宋体"/>
          <w:snapToGrid w:val="0"/>
          <w:color w:val="auto"/>
          <w:kern w:val="0"/>
          <w:sz w:val="24"/>
          <w:szCs w:val="30"/>
          <w:lang w:val="en-US" w:eastAsia="zh-CN" w:bidi="ar"/>
        </w:rPr>
        <w:t>年版）；</w:t>
      </w:r>
    </w:p>
    <w:p w14:paraId="4A59A93C">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（11）《建筑物防雷设计规范》</w:t>
      </w:r>
      <w:r>
        <w:rPr>
          <w:rFonts w:hint="default" w:ascii="Times New Roman" w:hAnsi="Times New Roman" w:eastAsia="宋体" w:cs="宋体"/>
          <w:snapToGrid w:val="0"/>
          <w:color w:val="auto"/>
          <w:kern w:val="0"/>
          <w:sz w:val="24"/>
          <w:szCs w:val="30"/>
          <w:lang w:val="en-US" w:eastAsia="zh-CN" w:bidi="ar"/>
        </w:rPr>
        <w:t>GB50057-2010</w:t>
      </w:r>
      <w:r>
        <w:rPr>
          <w:rFonts w:hint="eastAsia" w:ascii="Times New Roman" w:hAnsi="Times New Roman" w:eastAsia="宋体" w:cs="宋体"/>
          <w:snapToGrid w:val="0"/>
          <w:color w:val="auto"/>
          <w:kern w:val="0"/>
          <w:sz w:val="24"/>
          <w:szCs w:val="30"/>
          <w:lang w:val="en-US" w:eastAsia="zh-CN" w:bidi="ar"/>
        </w:rPr>
        <w:t>；</w:t>
      </w:r>
    </w:p>
    <w:p w14:paraId="2197EBD7">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（12）《建筑物电子信息系统防雷技术规范》</w:t>
      </w:r>
      <w:r>
        <w:rPr>
          <w:rFonts w:hint="default" w:ascii="Times New Roman" w:hAnsi="Times New Roman" w:eastAsia="宋体" w:cs="宋体"/>
          <w:snapToGrid w:val="0"/>
          <w:color w:val="auto"/>
          <w:kern w:val="0"/>
          <w:sz w:val="24"/>
          <w:szCs w:val="30"/>
          <w:lang w:val="en-US" w:eastAsia="zh-CN" w:bidi="ar"/>
        </w:rPr>
        <w:t>GB50343-2012</w:t>
      </w:r>
      <w:r>
        <w:rPr>
          <w:rFonts w:hint="eastAsia" w:ascii="Times New Roman" w:hAnsi="Times New Roman" w:eastAsia="宋体" w:cs="宋体"/>
          <w:snapToGrid w:val="0"/>
          <w:color w:val="auto"/>
          <w:kern w:val="0"/>
          <w:sz w:val="24"/>
          <w:szCs w:val="30"/>
          <w:lang w:val="en-US" w:eastAsia="zh-CN" w:bidi="ar"/>
        </w:rPr>
        <w:t>；</w:t>
      </w:r>
    </w:p>
    <w:p w14:paraId="356EAC37">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（13）《消防应急照明和疏散指示系统》</w:t>
      </w:r>
      <w:r>
        <w:rPr>
          <w:rFonts w:hint="default" w:ascii="Times New Roman" w:hAnsi="Times New Roman" w:eastAsia="宋体" w:cs="宋体"/>
          <w:snapToGrid w:val="0"/>
          <w:color w:val="auto"/>
          <w:kern w:val="0"/>
          <w:sz w:val="24"/>
          <w:szCs w:val="30"/>
          <w:lang w:val="en-US" w:eastAsia="zh-CN" w:bidi="ar"/>
        </w:rPr>
        <w:t>GB17945-2010</w:t>
      </w:r>
      <w:r>
        <w:rPr>
          <w:rFonts w:hint="eastAsia" w:ascii="Times New Roman" w:hAnsi="Times New Roman" w:eastAsia="宋体" w:cs="宋体"/>
          <w:snapToGrid w:val="0"/>
          <w:color w:val="auto"/>
          <w:kern w:val="0"/>
          <w:sz w:val="24"/>
          <w:szCs w:val="30"/>
          <w:lang w:val="en-US" w:eastAsia="zh-CN" w:bidi="ar"/>
        </w:rPr>
        <w:t>；</w:t>
      </w:r>
    </w:p>
    <w:p w14:paraId="31F0C130">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（14）《火灾自动报警系统设计规范》</w:t>
      </w:r>
      <w:r>
        <w:rPr>
          <w:rFonts w:hint="default" w:ascii="Times New Roman" w:hAnsi="Times New Roman" w:eastAsia="宋体" w:cs="宋体"/>
          <w:snapToGrid w:val="0"/>
          <w:color w:val="auto"/>
          <w:kern w:val="0"/>
          <w:sz w:val="24"/>
          <w:szCs w:val="30"/>
          <w:lang w:val="en-US" w:eastAsia="zh-CN" w:bidi="ar"/>
        </w:rPr>
        <w:t>GB50116-2013</w:t>
      </w:r>
      <w:r>
        <w:rPr>
          <w:rFonts w:hint="eastAsia" w:ascii="Times New Roman" w:hAnsi="Times New Roman" w:eastAsia="宋体" w:cs="宋体"/>
          <w:snapToGrid w:val="0"/>
          <w:color w:val="auto"/>
          <w:kern w:val="0"/>
          <w:sz w:val="24"/>
          <w:szCs w:val="30"/>
          <w:lang w:val="en-US" w:eastAsia="zh-CN" w:bidi="ar"/>
        </w:rPr>
        <w:t>；</w:t>
      </w:r>
    </w:p>
    <w:p w14:paraId="70EEA9DF">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（15）《建筑电气与智能化通用规范》</w:t>
      </w:r>
      <w:r>
        <w:rPr>
          <w:rFonts w:hint="default" w:ascii="Times New Roman" w:hAnsi="Times New Roman" w:eastAsia="宋体" w:cs="宋体"/>
          <w:snapToGrid w:val="0"/>
          <w:color w:val="auto"/>
          <w:kern w:val="0"/>
          <w:sz w:val="24"/>
          <w:szCs w:val="30"/>
          <w:lang w:val="en-US" w:eastAsia="zh-CN" w:bidi="ar"/>
        </w:rPr>
        <w:t>GB55024-2022</w:t>
      </w:r>
      <w:r>
        <w:rPr>
          <w:rFonts w:hint="eastAsia" w:ascii="Times New Roman" w:hAnsi="Times New Roman" w:eastAsia="宋体" w:cs="宋体"/>
          <w:snapToGrid w:val="0"/>
          <w:color w:val="auto"/>
          <w:kern w:val="0"/>
          <w:sz w:val="24"/>
          <w:szCs w:val="30"/>
          <w:lang w:val="en-US" w:eastAsia="zh-CN" w:bidi="ar"/>
        </w:rPr>
        <w:t>；</w:t>
      </w:r>
    </w:p>
    <w:p w14:paraId="5DC96AFF">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（16）《消防设施通用规范》</w:t>
      </w:r>
      <w:r>
        <w:rPr>
          <w:rFonts w:hint="default" w:ascii="Times New Roman" w:hAnsi="Times New Roman" w:eastAsia="宋体" w:cs="宋体"/>
          <w:snapToGrid w:val="0"/>
          <w:color w:val="auto"/>
          <w:kern w:val="0"/>
          <w:sz w:val="24"/>
          <w:szCs w:val="30"/>
          <w:lang w:val="en-US" w:eastAsia="zh-CN" w:bidi="ar"/>
        </w:rPr>
        <w:t>GB55036-2022</w:t>
      </w:r>
      <w:r>
        <w:rPr>
          <w:rFonts w:hint="eastAsia" w:ascii="Times New Roman" w:hAnsi="Times New Roman" w:eastAsia="宋体" w:cs="宋体"/>
          <w:snapToGrid w:val="0"/>
          <w:color w:val="auto"/>
          <w:kern w:val="0"/>
          <w:sz w:val="24"/>
          <w:szCs w:val="30"/>
          <w:lang w:val="en-US" w:eastAsia="zh-CN" w:bidi="ar"/>
        </w:rPr>
        <w:t>；</w:t>
      </w:r>
    </w:p>
    <w:p w14:paraId="6CD3868E">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（17）《安全防范工程通用规范》</w:t>
      </w:r>
      <w:r>
        <w:rPr>
          <w:rFonts w:hint="default" w:ascii="Times New Roman" w:hAnsi="Times New Roman" w:eastAsia="宋体" w:cs="宋体"/>
          <w:snapToGrid w:val="0"/>
          <w:color w:val="auto"/>
          <w:kern w:val="0"/>
          <w:sz w:val="24"/>
          <w:szCs w:val="30"/>
          <w:lang w:val="en-US" w:eastAsia="zh-CN" w:bidi="ar"/>
        </w:rPr>
        <w:t>GB55029-2022</w:t>
      </w:r>
      <w:r>
        <w:rPr>
          <w:rFonts w:hint="eastAsia" w:ascii="Times New Roman" w:hAnsi="Times New Roman" w:eastAsia="宋体" w:cs="宋体"/>
          <w:snapToGrid w:val="0"/>
          <w:color w:val="auto"/>
          <w:kern w:val="0"/>
          <w:sz w:val="24"/>
          <w:szCs w:val="30"/>
          <w:lang w:val="en-US" w:eastAsia="zh-CN" w:bidi="ar"/>
        </w:rPr>
        <w:t>；</w:t>
      </w:r>
    </w:p>
    <w:p w14:paraId="46935699">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（18）《建筑防火通用规范》</w:t>
      </w:r>
      <w:r>
        <w:rPr>
          <w:rFonts w:hint="default" w:ascii="Times New Roman" w:hAnsi="Times New Roman" w:eastAsia="宋体" w:cs="宋体"/>
          <w:snapToGrid w:val="0"/>
          <w:color w:val="auto"/>
          <w:kern w:val="0"/>
          <w:sz w:val="24"/>
          <w:szCs w:val="30"/>
          <w:lang w:val="en-US" w:eastAsia="zh-CN" w:bidi="ar"/>
        </w:rPr>
        <w:t>GB55037-2022</w:t>
      </w:r>
      <w:r>
        <w:rPr>
          <w:rFonts w:hint="eastAsia" w:ascii="Times New Roman" w:hAnsi="Times New Roman" w:eastAsia="宋体" w:cs="宋体"/>
          <w:snapToGrid w:val="0"/>
          <w:color w:val="auto"/>
          <w:kern w:val="0"/>
          <w:sz w:val="24"/>
          <w:szCs w:val="30"/>
          <w:lang w:val="en-US" w:eastAsia="zh-CN" w:bidi="ar"/>
        </w:rPr>
        <w:t>；</w:t>
      </w:r>
    </w:p>
    <w:p w14:paraId="7FD4BEAB">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（19）《数据中心设计规范》</w:t>
      </w:r>
      <w:r>
        <w:rPr>
          <w:rFonts w:hint="default" w:ascii="Times New Roman" w:hAnsi="Times New Roman" w:eastAsia="宋体" w:cs="宋体"/>
          <w:snapToGrid w:val="0"/>
          <w:color w:val="auto"/>
          <w:kern w:val="0"/>
          <w:sz w:val="24"/>
          <w:szCs w:val="30"/>
          <w:lang w:val="en-US" w:eastAsia="zh-CN" w:bidi="ar"/>
        </w:rPr>
        <w:t>GB50174-2017</w:t>
      </w:r>
      <w:r>
        <w:rPr>
          <w:rFonts w:hint="eastAsia" w:ascii="Times New Roman" w:hAnsi="Times New Roman" w:eastAsia="宋体" w:cs="宋体"/>
          <w:snapToGrid w:val="0"/>
          <w:color w:val="auto"/>
          <w:kern w:val="0"/>
          <w:sz w:val="24"/>
          <w:szCs w:val="30"/>
          <w:lang w:val="en-US" w:eastAsia="zh-CN" w:bidi="ar"/>
        </w:rPr>
        <w:t>；</w:t>
      </w:r>
    </w:p>
    <w:p w14:paraId="08DB60A1">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30"/>
          <w:lang w:val="en-US" w:eastAsia="zh-CN" w:bidi="ar"/>
        </w:rPr>
        <w:t>（20）《全国民用建筑工程设计技术措施</w:t>
      </w:r>
      <w:r>
        <w:rPr>
          <w:rFonts w:ascii="Times New Roman" w:hAnsi="Times New Roman" w:eastAsia="宋体" w:cs="宋体"/>
          <w:snapToGrid w:val="0"/>
          <w:color w:val="auto"/>
          <w:kern w:val="0"/>
          <w:sz w:val="24"/>
          <w:szCs w:val="30"/>
          <w:lang w:val="en-US" w:eastAsia="zh-CN" w:bidi="ar"/>
        </w:rPr>
        <w:t>-</w:t>
      </w:r>
      <w:r>
        <w:rPr>
          <w:rFonts w:hint="eastAsia" w:ascii="Times New Roman" w:hAnsi="Times New Roman" w:eastAsia="宋体" w:cs="宋体"/>
          <w:snapToGrid w:val="0"/>
          <w:color w:val="auto"/>
          <w:kern w:val="0"/>
          <w:sz w:val="24"/>
          <w:szCs w:val="30"/>
          <w:lang w:val="en-US" w:eastAsia="zh-CN" w:bidi="ar"/>
        </w:rPr>
        <w:t>电气篇》等其他有关国家及地方的现行相关规范及标准。</w:t>
      </w:r>
    </w:p>
    <w:p w14:paraId="1181D16F">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eastAsia" w:ascii="Times New Roman" w:hAnsi="Times New Roman" w:eastAsia="宋体" w:cs="宋体"/>
          <w:b/>
          <w:bCs/>
          <w:color w:val="auto"/>
          <w:sz w:val="28"/>
          <w:szCs w:val="28"/>
          <w:lang w:val="en-US" w:eastAsia="zh-CN"/>
        </w:rPr>
      </w:pPr>
      <w:bookmarkStart w:id="73" w:name="_Toc16108"/>
      <w:r>
        <w:rPr>
          <w:rFonts w:hint="eastAsia" w:ascii="Times New Roman" w:hAnsi="Times New Roman" w:eastAsia="宋体" w:cs="宋体"/>
          <w:b/>
          <w:bCs/>
          <w:color w:val="auto"/>
          <w:sz w:val="28"/>
          <w:szCs w:val="28"/>
          <w:lang w:val="en-US" w:eastAsia="zh-CN"/>
        </w:rPr>
        <w:t>6.2、设计范围</w:t>
      </w:r>
      <w:bookmarkEnd w:id="73"/>
    </w:p>
    <w:p w14:paraId="52036C6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1、低压配电系统；</w:t>
      </w:r>
    </w:p>
    <w:p w14:paraId="3D05E3B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2、照明配电系统；</w:t>
      </w:r>
    </w:p>
    <w:p w14:paraId="68D9CFE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3、火灾自动报警系统；</w:t>
      </w:r>
    </w:p>
    <w:p w14:paraId="53EDA27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4、防雷接地及安全接地系统；</w:t>
      </w:r>
    </w:p>
    <w:p w14:paraId="419361E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5、电气节能及环保措施；</w:t>
      </w:r>
    </w:p>
    <w:p w14:paraId="58966CA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6、建筑机电工程抗震措施</w:t>
      </w:r>
    </w:p>
    <w:p w14:paraId="4724A3C3">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74" w:name="_Toc24773"/>
      <w:r>
        <w:rPr>
          <w:rFonts w:hint="eastAsia" w:ascii="Times New Roman" w:hAnsi="Times New Roman" w:eastAsia="宋体" w:cs="宋体"/>
          <w:b/>
          <w:bCs/>
          <w:color w:val="auto"/>
          <w:sz w:val="28"/>
          <w:szCs w:val="28"/>
          <w:lang w:val="en-US" w:eastAsia="zh-CN"/>
        </w:rPr>
        <w:t>6.3、供配电系统</w:t>
      </w:r>
      <w:bookmarkEnd w:id="74"/>
    </w:p>
    <w:p w14:paraId="68F0ACB3">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color w:val="auto"/>
          <w:sz w:val="24"/>
          <w:szCs w:val="24"/>
          <w:lang w:val="en-US" w:eastAsia="zh-CN"/>
        </w:rPr>
      </w:pPr>
      <w:r>
        <w:rPr>
          <w:rFonts w:hint="eastAsia" w:ascii="Times New Roman" w:hAnsi="Times New Roman" w:eastAsia="宋体" w:cs="宋体"/>
          <w:b/>
          <w:color w:val="auto"/>
          <w:sz w:val="24"/>
          <w:lang w:val="en-US" w:eastAsia="zh-CN"/>
        </w:rPr>
        <w:t>6.3.1、负荷等级</w:t>
      </w:r>
    </w:p>
    <w:p w14:paraId="3559DC8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根据《供配电系统设计规范》（GB50052），本项目室外消防用水量15L/S本工程用电负荷按三级负荷设计。</w:t>
      </w:r>
    </w:p>
    <w:p w14:paraId="25B3805F">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color w:val="auto"/>
          <w:sz w:val="24"/>
          <w:szCs w:val="24"/>
          <w:lang w:val="en-US" w:eastAsia="zh-CN"/>
        </w:rPr>
      </w:pPr>
      <w:r>
        <w:rPr>
          <w:rFonts w:hint="eastAsia" w:ascii="Times New Roman" w:hAnsi="Times New Roman" w:eastAsia="宋体" w:cs="宋体"/>
          <w:b/>
          <w:color w:val="auto"/>
          <w:sz w:val="24"/>
          <w:lang w:val="en-US" w:eastAsia="zh-CN"/>
        </w:rPr>
        <w:t>6.3.2、供配电</w:t>
      </w:r>
    </w:p>
    <w:p w14:paraId="44EB224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低压侧采用</w:t>
      </w:r>
      <w:r>
        <w:rPr>
          <w:rFonts w:hint="default" w:ascii="Times New Roman" w:hAnsi="Times New Roman" w:eastAsia="宋体" w:cs="宋体"/>
          <w:color w:val="auto"/>
          <w:sz w:val="24"/>
          <w:lang w:val="en-US" w:eastAsia="zh-CN"/>
        </w:rPr>
        <w:t>TN-S</w:t>
      </w:r>
      <w:r>
        <w:rPr>
          <w:rFonts w:hint="eastAsia" w:ascii="Times New Roman" w:hAnsi="Times New Roman" w:eastAsia="宋体" w:cs="宋体"/>
          <w:color w:val="auto"/>
          <w:sz w:val="24"/>
          <w:lang w:val="en-US" w:eastAsia="zh-CN"/>
        </w:rPr>
        <w:t>系统，以放射式或树干式为各子项供电。</w:t>
      </w:r>
    </w:p>
    <w:p w14:paraId="1B52347B">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color w:val="auto"/>
          <w:sz w:val="24"/>
          <w:szCs w:val="24"/>
          <w:lang w:val="en-US" w:eastAsia="zh-CN"/>
        </w:rPr>
      </w:pPr>
      <w:r>
        <w:rPr>
          <w:rFonts w:hint="eastAsia" w:ascii="Times New Roman" w:hAnsi="Times New Roman" w:eastAsia="宋体" w:cs="宋体"/>
          <w:b/>
          <w:color w:val="auto"/>
          <w:sz w:val="24"/>
          <w:lang w:val="en-US" w:eastAsia="zh-CN"/>
        </w:rPr>
        <w:t>6.3.3、功率因数补偿及计量</w:t>
      </w:r>
    </w:p>
    <w:p w14:paraId="17775AC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采用变配电间低压侧集中补偿与大型设备就地补偿（MCC柜处）相结合的补偿方式，电容补偿柜容量根据负载情况确定，原则上不低于变压器容量的</w:t>
      </w:r>
      <w:r>
        <w:rPr>
          <w:rFonts w:hint="default" w:ascii="Times New Roman" w:hAnsi="Times New Roman" w:eastAsia="宋体" w:cs="宋体"/>
          <w:color w:val="auto"/>
          <w:sz w:val="24"/>
          <w:lang w:val="en-US" w:eastAsia="zh-CN"/>
        </w:rPr>
        <w:t>40%</w:t>
      </w:r>
      <w:r>
        <w:rPr>
          <w:rFonts w:hint="eastAsia" w:ascii="Times New Roman" w:hAnsi="Times New Roman" w:eastAsia="宋体" w:cs="宋体"/>
          <w:color w:val="auto"/>
          <w:sz w:val="24"/>
          <w:lang w:val="en-US" w:eastAsia="zh-CN"/>
        </w:rPr>
        <w:t>，补偿后的功率因数不低于</w:t>
      </w:r>
      <w:r>
        <w:rPr>
          <w:rFonts w:hint="default" w:ascii="Times New Roman" w:hAnsi="Times New Roman" w:eastAsia="宋体" w:cs="宋体"/>
          <w:color w:val="auto"/>
          <w:sz w:val="24"/>
          <w:lang w:val="en-US" w:eastAsia="zh-CN"/>
        </w:rPr>
        <w:t>0.95</w:t>
      </w:r>
      <w:r>
        <w:rPr>
          <w:rFonts w:hint="eastAsia" w:ascii="Times New Roman" w:hAnsi="Times New Roman" w:eastAsia="宋体" w:cs="宋体"/>
          <w:color w:val="auto"/>
          <w:sz w:val="24"/>
          <w:lang w:val="en-US" w:eastAsia="zh-CN"/>
        </w:rPr>
        <w:t>。</w:t>
      </w:r>
    </w:p>
    <w:p w14:paraId="45A986F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冷库内不做计费计量，实现分段电量统计，主要耗电设备用电量单独统计。在新建变电所内设高压计费计量。</w:t>
      </w:r>
    </w:p>
    <w:p w14:paraId="44090F42">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color w:val="auto"/>
          <w:sz w:val="24"/>
          <w:szCs w:val="24"/>
          <w:lang w:val="en-US" w:eastAsia="zh-CN"/>
        </w:rPr>
      </w:pPr>
      <w:r>
        <w:rPr>
          <w:rFonts w:hint="eastAsia" w:ascii="Times New Roman" w:hAnsi="Times New Roman" w:eastAsia="宋体" w:cs="宋体"/>
          <w:b/>
          <w:color w:val="auto"/>
          <w:sz w:val="24"/>
          <w:lang w:val="en-US" w:eastAsia="zh-CN"/>
        </w:rPr>
        <w:t>6.3.4、附属设施</w:t>
      </w:r>
    </w:p>
    <w:p w14:paraId="4EEF1F8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变配电室内配备绝缘用品，如绝缘拉杆、绝缘鞋（至少2副）、绝缘手套（至少</w:t>
      </w:r>
      <w:r>
        <w:rPr>
          <w:rFonts w:hint="default" w:ascii="Times New Roman" w:hAnsi="Times New Roman" w:eastAsia="宋体" w:cs="宋体"/>
          <w:color w:val="auto"/>
          <w:sz w:val="24"/>
          <w:lang w:val="en-US" w:eastAsia="zh-CN"/>
        </w:rPr>
        <w:t>2</w:t>
      </w:r>
      <w:r>
        <w:rPr>
          <w:rFonts w:hint="eastAsia" w:ascii="Times New Roman" w:hAnsi="Times New Roman" w:eastAsia="宋体" w:cs="宋体"/>
          <w:color w:val="auto"/>
          <w:sz w:val="24"/>
          <w:lang w:val="en-US" w:eastAsia="zh-CN"/>
        </w:rPr>
        <w:t>副</w:t>
      </w:r>
      <w:r>
        <w:rPr>
          <w:rFonts w:hint="default" w:ascii="Times New Roman" w:hAnsi="Times New Roman" w:eastAsia="宋体" w:cs="宋体"/>
          <w:color w:val="auto"/>
          <w:sz w:val="24"/>
          <w:lang w:val="en-US" w:eastAsia="zh-CN"/>
        </w:rPr>
        <w:t>)</w:t>
      </w:r>
      <w:r>
        <w:rPr>
          <w:rFonts w:hint="eastAsia" w:ascii="Times New Roman" w:hAnsi="Times New Roman" w:eastAsia="宋体" w:cs="宋体"/>
          <w:color w:val="auto"/>
          <w:sz w:val="24"/>
          <w:lang w:val="en-US" w:eastAsia="zh-CN"/>
        </w:rPr>
        <w:t>、绝缘胶垫、空调、专用工具等。</w:t>
      </w:r>
    </w:p>
    <w:p w14:paraId="23AB18DE">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color w:val="auto"/>
          <w:sz w:val="24"/>
          <w:szCs w:val="24"/>
          <w:lang w:val="en-US" w:eastAsia="zh-CN"/>
        </w:rPr>
      </w:pPr>
      <w:r>
        <w:rPr>
          <w:rFonts w:hint="eastAsia" w:ascii="Times New Roman" w:hAnsi="Times New Roman" w:eastAsia="宋体" w:cs="宋体"/>
          <w:b/>
          <w:color w:val="auto"/>
          <w:sz w:val="24"/>
          <w:lang w:val="en-US" w:eastAsia="zh-CN"/>
        </w:rPr>
        <w:t>6.3.5、供电电源</w:t>
      </w:r>
    </w:p>
    <w:p w14:paraId="305B329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本项目工程由厂区内变配电室箱式变压器引来一路</w:t>
      </w:r>
      <w:r>
        <w:rPr>
          <w:rFonts w:hint="default" w:ascii="Times New Roman" w:hAnsi="Times New Roman" w:eastAsia="宋体" w:cs="宋体"/>
          <w:color w:val="auto"/>
          <w:sz w:val="24"/>
          <w:lang w:val="en-US" w:eastAsia="zh-CN"/>
        </w:rPr>
        <w:t>220/380V</w:t>
      </w:r>
      <w:r>
        <w:rPr>
          <w:rFonts w:hint="eastAsia" w:ascii="Times New Roman" w:hAnsi="Times New Roman" w:eastAsia="宋体" w:cs="宋体"/>
          <w:color w:val="auto"/>
          <w:sz w:val="24"/>
          <w:lang w:val="en-US" w:eastAsia="zh-CN"/>
        </w:rPr>
        <w:t>电源，供给本厂区生产、生活的负荷用电；进线电缆引入直接进入总配电箱；消防负荷备用电源接自变压器不同母线排。双电源切换开关采用电气联锁，以防止两路电源并列运行。</w:t>
      </w:r>
    </w:p>
    <w:p w14:paraId="00882CC5">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75" w:name="_Toc2652"/>
      <w:r>
        <w:rPr>
          <w:rFonts w:hint="eastAsia" w:ascii="Times New Roman" w:hAnsi="Times New Roman" w:eastAsia="宋体" w:cs="宋体"/>
          <w:b/>
          <w:bCs/>
          <w:color w:val="auto"/>
          <w:sz w:val="28"/>
          <w:szCs w:val="28"/>
          <w:lang w:val="en-US" w:eastAsia="zh-CN"/>
        </w:rPr>
        <w:t>6.4、照明设计</w:t>
      </w:r>
      <w:bookmarkEnd w:id="75"/>
    </w:p>
    <w:p w14:paraId="4393DAA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1、照明参照《建筑照明设计标准》及《建筑节能与可再生能源利用通用规范》要求设计：</w:t>
      </w:r>
    </w:p>
    <w:p w14:paraId="29C5C5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主要乙类库房照度：</w:t>
      </w:r>
      <w:r>
        <w:rPr>
          <w:rFonts w:hint="default" w:ascii="Times New Roman" w:hAnsi="Times New Roman" w:eastAsia="宋体" w:cs="宋体"/>
          <w:color w:val="auto"/>
          <w:sz w:val="24"/>
          <w:lang w:val="en-US" w:eastAsia="zh-CN"/>
        </w:rPr>
        <w:t>100LX</w:t>
      </w:r>
      <w:r>
        <w:rPr>
          <w:rFonts w:hint="eastAsia" w:ascii="Times New Roman" w:hAnsi="Times New Roman" w:eastAsia="宋体" w:cs="宋体"/>
          <w:color w:val="auto"/>
          <w:sz w:val="24"/>
          <w:lang w:val="en-US" w:eastAsia="zh-CN"/>
        </w:rPr>
        <w:t>，功率密度限值</w:t>
      </w:r>
      <w:r>
        <w:rPr>
          <w:rFonts w:hint="default" w:ascii="Times New Roman" w:hAnsi="Times New Roman" w:eastAsia="宋体" w:cs="宋体"/>
          <w:color w:val="auto"/>
          <w:sz w:val="24"/>
          <w:lang w:val="en-US" w:eastAsia="zh-CN"/>
        </w:rPr>
        <w:t>&lt;3.5</w:t>
      </w:r>
      <w:r>
        <w:rPr>
          <w:rFonts w:hint="eastAsia" w:ascii="Times New Roman" w:hAnsi="Times New Roman" w:eastAsia="宋体" w:cs="宋体"/>
          <w:color w:val="auto"/>
          <w:sz w:val="24"/>
          <w:lang w:val="en-US" w:eastAsia="zh-CN"/>
        </w:rPr>
        <w:t>，综合楼照度：</w:t>
      </w:r>
      <w:r>
        <w:rPr>
          <w:rFonts w:hint="default" w:ascii="Times New Roman" w:hAnsi="Times New Roman" w:eastAsia="宋体" w:cs="宋体"/>
          <w:color w:val="auto"/>
          <w:sz w:val="24"/>
          <w:lang w:val="en-US" w:eastAsia="zh-CN"/>
        </w:rPr>
        <w:t>300LX</w:t>
      </w:r>
      <w:r>
        <w:rPr>
          <w:rFonts w:hint="eastAsia" w:ascii="Times New Roman" w:hAnsi="Times New Roman" w:eastAsia="宋体" w:cs="宋体"/>
          <w:color w:val="auto"/>
          <w:sz w:val="24"/>
          <w:lang w:val="en-US" w:eastAsia="zh-CN"/>
        </w:rPr>
        <w:t>，功率密度限值</w:t>
      </w:r>
      <w:r>
        <w:rPr>
          <w:rFonts w:hint="default" w:ascii="Times New Roman" w:hAnsi="Times New Roman" w:eastAsia="宋体" w:cs="宋体"/>
          <w:color w:val="auto"/>
          <w:sz w:val="24"/>
          <w:lang w:val="en-US" w:eastAsia="zh-CN"/>
        </w:rPr>
        <w:t>&lt;8</w:t>
      </w:r>
      <w:r>
        <w:rPr>
          <w:rFonts w:hint="eastAsia" w:ascii="Times New Roman" w:hAnsi="Times New Roman" w:eastAsia="宋体" w:cs="宋体"/>
          <w:color w:val="auto"/>
          <w:sz w:val="24"/>
          <w:lang w:val="en-US" w:eastAsia="zh-CN"/>
        </w:rPr>
        <w:t>：</w:t>
      </w:r>
    </w:p>
    <w:p w14:paraId="0D567AA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2、照明配电：电源进线处设置剩余电流动作保护器（</w:t>
      </w:r>
      <w:r>
        <w:rPr>
          <w:rFonts w:hint="default" w:ascii="Times New Roman" w:hAnsi="Times New Roman" w:eastAsia="宋体" w:cs="宋体"/>
          <w:color w:val="auto"/>
          <w:sz w:val="24"/>
          <w:lang w:val="en-US" w:eastAsia="zh-CN"/>
        </w:rPr>
        <w:t>SPD</w:t>
      </w:r>
      <w:r>
        <w:rPr>
          <w:rFonts w:hint="eastAsia" w:ascii="Times New Roman" w:hAnsi="Times New Roman" w:eastAsia="宋体" w:cs="宋体"/>
          <w:color w:val="auto"/>
          <w:sz w:val="24"/>
          <w:lang w:val="en-US" w:eastAsia="zh-CN"/>
        </w:rPr>
        <w:t>）。照明、插座均由不同的支路供电；所有插座回路均设剩余电流保护器。</w:t>
      </w:r>
    </w:p>
    <w:p w14:paraId="2E0C5EFC">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eastAsia" w:ascii="Times New Roman" w:hAnsi="Times New Roman" w:eastAsia="宋体" w:cs="宋体"/>
          <w:b/>
          <w:bCs/>
          <w:color w:val="auto"/>
          <w:sz w:val="28"/>
          <w:szCs w:val="28"/>
          <w:lang w:val="en-US" w:eastAsia="zh-CN"/>
        </w:rPr>
      </w:pPr>
      <w:bookmarkStart w:id="76" w:name="_Toc12641"/>
      <w:r>
        <w:rPr>
          <w:rFonts w:hint="eastAsia" w:ascii="Times New Roman" w:hAnsi="Times New Roman" w:eastAsia="宋体" w:cs="宋体"/>
          <w:b/>
          <w:bCs/>
          <w:color w:val="auto"/>
          <w:sz w:val="28"/>
          <w:szCs w:val="28"/>
          <w:lang w:val="en-US" w:eastAsia="zh-CN"/>
        </w:rPr>
        <w:t>6.5、导线选型和线路敷设</w:t>
      </w:r>
      <w:bookmarkEnd w:id="76"/>
    </w:p>
    <w:p w14:paraId="1C78FC7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1、电源进线选用</w:t>
      </w:r>
      <w:r>
        <w:rPr>
          <w:rFonts w:hint="default" w:ascii="Times New Roman" w:hAnsi="Times New Roman" w:eastAsia="宋体" w:cs="宋体"/>
          <w:color w:val="auto"/>
          <w:sz w:val="24"/>
          <w:lang w:val="en-US" w:eastAsia="zh-CN"/>
        </w:rPr>
        <w:t>YJV-0.6/1KV</w:t>
      </w:r>
      <w:r>
        <w:rPr>
          <w:rFonts w:hint="eastAsia" w:ascii="Times New Roman" w:hAnsi="Times New Roman" w:eastAsia="宋体" w:cs="宋体"/>
          <w:color w:val="auto"/>
          <w:sz w:val="24"/>
          <w:lang w:val="en-US" w:eastAsia="zh-CN"/>
        </w:rPr>
        <w:t>型铜芯交联聚乙烯绝缘聚氯乙烯护套电力电缆，穿钢管（</w:t>
      </w:r>
      <w:r>
        <w:rPr>
          <w:rFonts w:hint="default" w:ascii="Times New Roman" w:hAnsi="Times New Roman" w:eastAsia="宋体" w:cs="宋体"/>
          <w:color w:val="auto"/>
          <w:sz w:val="24"/>
          <w:lang w:val="en-US" w:eastAsia="zh-CN"/>
        </w:rPr>
        <w:t>RC</w:t>
      </w:r>
      <w:r>
        <w:rPr>
          <w:rFonts w:hint="eastAsia" w:ascii="Times New Roman" w:hAnsi="Times New Roman" w:eastAsia="宋体" w:cs="宋体"/>
          <w:color w:val="auto"/>
          <w:sz w:val="24"/>
          <w:lang w:val="en-US" w:eastAsia="zh-CN"/>
        </w:rPr>
        <w:t>）管埋地敷设。室内照明导线选用</w:t>
      </w:r>
      <w:r>
        <w:rPr>
          <w:rFonts w:hint="default" w:ascii="Times New Roman" w:hAnsi="Times New Roman" w:eastAsia="宋体" w:cs="宋体"/>
          <w:color w:val="auto"/>
          <w:sz w:val="24"/>
          <w:lang w:val="en-US" w:eastAsia="zh-CN"/>
        </w:rPr>
        <w:t>NH-BV-500V</w:t>
      </w:r>
      <w:r>
        <w:rPr>
          <w:rFonts w:hint="eastAsia" w:ascii="Times New Roman" w:hAnsi="Times New Roman" w:eastAsia="宋体" w:cs="宋体"/>
          <w:color w:val="auto"/>
          <w:sz w:val="24"/>
          <w:lang w:val="en-US" w:eastAsia="zh-CN"/>
        </w:rPr>
        <w:t>塑料耐火铜芯导线，插座支线选用</w:t>
      </w:r>
      <w:r>
        <w:rPr>
          <w:rFonts w:hint="default" w:ascii="Times New Roman" w:hAnsi="Times New Roman" w:eastAsia="宋体" w:cs="宋体"/>
          <w:color w:val="auto"/>
          <w:sz w:val="24"/>
          <w:lang w:val="en-US" w:eastAsia="zh-CN"/>
        </w:rPr>
        <w:t>NH-BV-3X4mm2-SC20</w:t>
      </w:r>
      <w:r>
        <w:rPr>
          <w:rFonts w:hint="eastAsia" w:ascii="Times New Roman" w:hAnsi="Times New Roman" w:eastAsia="宋体" w:cs="宋体"/>
          <w:color w:val="auto"/>
          <w:sz w:val="24"/>
          <w:lang w:val="en-US" w:eastAsia="zh-CN"/>
        </w:rPr>
        <w:t>。</w:t>
      </w:r>
    </w:p>
    <w:p w14:paraId="79F6DD4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2</w:t>
      </w:r>
      <w:r>
        <w:rPr>
          <w:rFonts w:hint="eastAsia" w:ascii="Times New Roman" w:hAnsi="Times New Roman" w:eastAsia="宋体" w:cs="宋体"/>
          <w:color w:val="auto"/>
          <w:sz w:val="24"/>
          <w:lang w:val="en-US" w:eastAsia="zh-CN"/>
        </w:rPr>
        <w:t>、导线敷设，室内管线采用</w:t>
      </w:r>
      <w:r>
        <w:rPr>
          <w:rFonts w:hint="default" w:ascii="Times New Roman" w:hAnsi="Times New Roman" w:eastAsia="宋体" w:cs="宋体"/>
          <w:color w:val="auto"/>
          <w:sz w:val="24"/>
          <w:lang w:val="en-US" w:eastAsia="zh-CN"/>
        </w:rPr>
        <w:t>SC</w:t>
      </w:r>
      <w:r>
        <w:rPr>
          <w:rFonts w:hint="eastAsia" w:ascii="Times New Roman" w:hAnsi="Times New Roman" w:eastAsia="宋体" w:cs="宋体"/>
          <w:color w:val="auto"/>
          <w:sz w:val="24"/>
          <w:lang w:val="en-US" w:eastAsia="zh-CN"/>
        </w:rPr>
        <w:t>焊接钢管，沿墙</w:t>
      </w:r>
      <w:r>
        <w:rPr>
          <w:rFonts w:hint="default" w:ascii="Times New Roman" w:hAnsi="Times New Roman" w:eastAsia="宋体" w:cs="宋体"/>
          <w:color w:val="auto"/>
          <w:sz w:val="24"/>
          <w:lang w:val="en-US" w:eastAsia="zh-CN"/>
        </w:rPr>
        <w:t>[WC]</w:t>
      </w:r>
      <w:r>
        <w:rPr>
          <w:rFonts w:hint="eastAsia" w:ascii="Times New Roman" w:hAnsi="Times New Roman" w:eastAsia="宋体" w:cs="宋体"/>
          <w:color w:val="auto"/>
          <w:sz w:val="24"/>
          <w:lang w:val="en-US" w:eastAsia="zh-CN"/>
        </w:rPr>
        <w:t>、天棚</w:t>
      </w:r>
      <w:r>
        <w:rPr>
          <w:rFonts w:hint="default" w:ascii="Times New Roman" w:hAnsi="Times New Roman" w:eastAsia="宋体" w:cs="宋体"/>
          <w:color w:val="auto"/>
          <w:sz w:val="24"/>
          <w:lang w:val="en-US" w:eastAsia="zh-CN"/>
        </w:rPr>
        <w:t>[CC]</w:t>
      </w:r>
      <w:r>
        <w:rPr>
          <w:rFonts w:hint="eastAsia" w:ascii="Times New Roman" w:hAnsi="Times New Roman" w:eastAsia="宋体" w:cs="宋体"/>
          <w:color w:val="auto"/>
          <w:sz w:val="24"/>
          <w:lang w:val="en-US" w:eastAsia="zh-CN"/>
        </w:rPr>
        <w:t>、地板</w:t>
      </w:r>
      <w:r>
        <w:rPr>
          <w:rFonts w:hint="default" w:ascii="Times New Roman" w:hAnsi="Times New Roman" w:eastAsia="宋体" w:cs="宋体"/>
          <w:color w:val="auto"/>
          <w:sz w:val="24"/>
          <w:lang w:val="en-US" w:eastAsia="zh-CN"/>
        </w:rPr>
        <w:t>[FC]</w:t>
      </w:r>
      <w:r>
        <w:rPr>
          <w:rFonts w:hint="eastAsia" w:ascii="Times New Roman" w:hAnsi="Times New Roman" w:eastAsia="宋体" w:cs="宋体"/>
          <w:color w:val="auto"/>
          <w:sz w:val="24"/>
          <w:lang w:val="en-US" w:eastAsia="zh-CN"/>
        </w:rPr>
        <w:t>、柱</w:t>
      </w:r>
      <w:r>
        <w:rPr>
          <w:rFonts w:hint="default" w:ascii="Times New Roman" w:hAnsi="Times New Roman" w:eastAsia="宋体" w:cs="宋体"/>
          <w:color w:val="auto"/>
          <w:sz w:val="24"/>
          <w:lang w:val="en-US" w:eastAsia="zh-CN"/>
        </w:rPr>
        <w:t>[CLC]</w:t>
      </w:r>
      <w:r>
        <w:rPr>
          <w:rFonts w:hint="eastAsia" w:ascii="Times New Roman" w:hAnsi="Times New Roman" w:eastAsia="宋体" w:cs="宋体"/>
          <w:color w:val="auto"/>
          <w:sz w:val="24"/>
          <w:lang w:val="en-US" w:eastAsia="zh-CN"/>
        </w:rPr>
        <w:t>、梁</w:t>
      </w:r>
      <w:r>
        <w:rPr>
          <w:rFonts w:hint="default" w:ascii="Times New Roman" w:hAnsi="Times New Roman" w:eastAsia="宋体" w:cs="宋体"/>
          <w:color w:val="auto"/>
          <w:sz w:val="24"/>
          <w:lang w:val="en-US" w:eastAsia="zh-CN"/>
        </w:rPr>
        <w:t>[BC]</w:t>
      </w:r>
      <w:r>
        <w:rPr>
          <w:rFonts w:hint="eastAsia" w:ascii="Times New Roman" w:hAnsi="Times New Roman" w:eastAsia="宋体" w:cs="宋体"/>
          <w:color w:val="auto"/>
          <w:sz w:val="24"/>
          <w:lang w:val="en-US" w:eastAsia="zh-CN"/>
        </w:rPr>
        <w:t>暗敷设，凡导线在接头处线芯应用细纱布清除氧化膜，连接完毕后刷锡，并先包扎绝缘塑料带一层，然后再包扎绝缘胶布，导线连接见《03D301-3》，导线穿管径见表《</w:t>
      </w:r>
      <w:r>
        <w:rPr>
          <w:rFonts w:hint="default" w:ascii="Times New Roman" w:hAnsi="Times New Roman" w:eastAsia="宋体" w:cs="宋体"/>
          <w:color w:val="auto"/>
          <w:sz w:val="24"/>
          <w:lang w:val="en-US" w:eastAsia="zh-CN"/>
        </w:rPr>
        <w:t>04DX101-1</w:t>
      </w:r>
      <w:r>
        <w:rPr>
          <w:rFonts w:hint="eastAsia" w:ascii="Times New Roman" w:hAnsi="Times New Roman" w:eastAsia="宋体" w:cs="宋体"/>
          <w:color w:val="auto"/>
          <w:sz w:val="24"/>
          <w:lang w:val="en-US" w:eastAsia="zh-CN"/>
        </w:rPr>
        <w:t>》。</w:t>
      </w:r>
    </w:p>
    <w:p w14:paraId="09AF8A0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3</w:t>
      </w:r>
      <w:r>
        <w:rPr>
          <w:rFonts w:hint="eastAsia" w:ascii="Times New Roman" w:hAnsi="Times New Roman" w:eastAsia="宋体" w:cs="宋体"/>
          <w:color w:val="auto"/>
          <w:sz w:val="24"/>
          <w:lang w:val="en-US" w:eastAsia="zh-CN"/>
        </w:rPr>
        <w:t>、照明均为</w:t>
      </w:r>
      <w:r>
        <w:rPr>
          <w:rFonts w:hint="default" w:ascii="Times New Roman" w:hAnsi="Times New Roman" w:eastAsia="宋体" w:cs="宋体"/>
          <w:color w:val="auto"/>
          <w:sz w:val="24"/>
          <w:lang w:val="en-US" w:eastAsia="zh-CN"/>
        </w:rPr>
        <w:t>3*2.5</w:t>
      </w:r>
      <w:r>
        <w:rPr>
          <w:rFonts w:hint="eastAsia" w:ascii="Times New Roman" w:hAnsi="Times New Roman" w:eastAsia="宋体" w:cs="宋体"/>
          <w:color w:val="auto"/>
          <w:sz w:val="24"/>
          <w:lang w:val="en-US" w:eastAsia="zh-CN"/>
        </w:rPr>
        <w:t>平方毫米，管中导线根数</w:t>
      </w:r>
      <w:r>
        <w:rPr>
          <w:rFonts w:hint="default" w:ascii="Times New Roman" w:hAnsi="Times New Roman" w:eastAsia="宋体" w:cs="宋体"/>
          <w:color w:val="auto"/>
          <w:sz w:val="24"/>
          <w:lang w:val="en-US" w:eastAsia="zh-CN"/>
        </w:rPr>
        <w:t>3-4</w:t>
      </w:r>
      <w:r>
        <w:rPr>
          <w:rFonts w:hint="eastAsia" w:ascii="Times New Roman" w:hAnsi="Times New Roman" w:eastAsia="宋体" w:cs="宋体"/>
          <w:color w:val="auto"/>
          <w:sz w:val="24"/>
          <w:lang w:val="en-US" w:eastAsia="zh-CN"/>
        </w:rPr>
        <w:t>根，敷设管为</w:t>
      </w:r>
      <w:r>
        <w:rPr>
          <w:rFonts w:hint="default" w:ascii="Times New Roman" w:hAnsi="Times New Roman" w:eastAsia="宋体" w:cs="宋体"/>
          <w:color w:val="auto"/>
          <w:sz w:val="24"/>
          <w:lang w:val="en-US" w:eastAsia="zh-CN"/>
        </w:rPr>
        <w:t>SC15</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5-7</w:t>
      </w:r>
      <w:r>
        <w:rPr>
          <w:rFonts w:hint="eastAsia" w:ascii="Times New Roman" w:hAnsi="Times New Roman" w:eastAsia="宋体" w:cs="宋体"/>
          <w:color w:val="auto"/>
          <w:sz w:val="24"/>
          <w:lang w:val="en-US" w:eastAsia="zh-CN"/>
        </w:rPr>
        <w:t>根为</w:t>
      </w:r>
      <w:r>
        <w:rPr>
          <w:rFonts w:hint="default" w:ascii="Times New Roman" w:hAnsi="Times New Roman" w:eastAsia="宋体" w:cs="宋体"/>
          <w:color w:val="auto"/>
          <w:sz w:val="24"/>
          <w:lang w:val="en-US" w:eastAsia="zh-CN"/>
        </w:rPr>
        <w:t>SC20</w:t>
      </w:r>
      <w:r>
        <w:rPr>
          <w:rFonts w:hint="eastAsia" w:ascii="Times New Roman" w:hAnsi="Times New Roman" w:eastAsia="宋体" w:cs="宋体"/>
          <w:color w:val="auto"/>
          <w:sz w:val="24"/>
          <w:lang w:val="en-US" w:eastAsia="zh-CN"/>
        </w:rPr>
        <w:t>，插座均为</w:t>
      </w:r>
      <w:r>
        <w:rPr>
          <w:rFonts w:hint="default" w:ascii="Times New Roman" w:hAnsi="Times New Roman" w:eastAsia="宋体" w:cs="宋体"/>
          <w:color w:val="auto"/>
          <w:sz w:val="24"/>
          <w:lang w:val="en-US" w:eastAsia="zh-CN"/>
        </w:rPr>
        <w:t>3*4</w:t>
      </w:r>
      <w:r>
        <w:rPr>
          <w:rFonts w:hint="eastAsia" w:ascii="Times New Roman" w:hAnsi="Times New Roman" w:eastAsia="宋体" w:cs="宋体"/>
          <w:color w:val="auto"/>
          <w:sz w:val="24"/>
          <w:lang w:val="en-US" w:eastAsia="zh-CN"/>
        </w:rPr>
        <w:t>平方毫米，敷设管均为</w:t>
      </w:r>
      <w:r>
        <w:rPr>
          <w:rFonts w:hint="default" w:ascii="Times New Roman" w:hAnsi="Times New Roman" w:eastAsia="宋体" w:cs="宋体"/>
          <w:color w:val="auto"/>
          <w:sz w:val="24"/>
          <w:lang w:val="en-US" w:eastAsia="zh-CN"/>
        </w:rPr>
        <w:t>SC20</w:t>
      </w:r>
      <w:r>
        <w:rPr>
          <w:rFonts w:hint="eastAsia" w:ascii="Times New Roman" w:hAnsi="Times New Roman" w:eastAsia="宋体" w:cs="宋体"/>
          <w:color w:val="auto"/>
          <w:sz w:val="24"/>
          <w:lang w:val="en-US" w:eastAsia="zh-CN"/>
        </w:rPr>
        <w:t>。</w:t>
      </w:r>
    </w:p>
    <w:p w14:paraId="5136A95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4</w:t>
      </w:r>
      <w:r>
        <w:rPr>
          <w:rFonts w:hint="eastAsia" w:ascii="Times New Roman" w:hAnsi="Times New Roman" w:eastAsia="宋体" w:cs="宋体"/>
          <w:color w:val="auto"/>
          <w:sz w:val="24"/>
          <w:lang w:val="en-US" w:eastAsia="zh-CN"/>
        </w:rPr>
        <w:t>、所有穿过变形缝、沉降缝的管线应按《建筑电气安装工程图集》中有关做法采取补偿措施，并留适当余量。</w:t>
      </w:r>
    </w:p>
    <w:p w14:paraId="0B33888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5</w:t>
      </w:r>
      <w:r>
        <w:rPr>
          <w:rFonts w:hint="eastAsia" w:ascii="Times New Roman" w:hAnsi="Times New Roman" w:eastAsia="宋体" w:cs="宋体"/>
          <w:color w:val="auto"/>
          <w:sz w:val="24"/>
          <w:lang w:val="en-US" w:eastAsia="zh-CN"/>
        </w:rPr>
        <w:t>、电缆明敷在桥架上，普通电缆与应急电源电缆敷设在同一电缆桥架时，中间设置防火分隔，向消防负荷供电的两回电源电缆采用防火隔板隔开，若不敷设在桥架上，应穿热镀锌钢管敷设。</w:t>
      </w:r>
    </w:p>
    <w:p w14:paraId="26A6C20D">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color w:val="auto"/>
          <w:lang w:val="en-US" w:eastAsia="zh-CN"/>
        </w:rPr>
      </w:pPr>
      <w:bookmarkStart w:id="77" w:name="_Toc7527"/>
      <w:r>
        <w:rPr>
          <w:rFonts w:hint="eastAsia" w:ascii="Times New Roman" w:hAnsi="Times New Roman" w:eastAsia="宋体" w:cs="宋体"/>
          <w:b/>
          <w:bCs/>
          <w:color w:val="auto"/>
          <w:sz w:val="28"/>
          <w:szCs w:val="28"/>
          <w:lang w:val="en-US" w:eastAsia="zh-CN"/>
        </w:rPr>
        <w:t>6.6、防雷接地及安全接地系统</w:t>
      </w:r>
      <w:bookmarkEnd w:id="77"/>
    </w:p>
    <w:p w14:paraId="2044414E">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color w:val="auto"/>
          <w:sz w:val="24"/>
          <w:lang w:val="en-US"/>
        </w:rPr>
      </w:pPr>
      <w:r>
        <w:rPr>
          <w:rFonts w:hint="eastAsia" w:ascii="Times New Roman" w:hAnsi="Times New Roman" w:eastAsia="宋体" w:cs="宋体"/>
          <w:b/>
          <w:color w:val="auto"/>
          <w:sz w:val="24"/>
          <w:lang w:val="en-US" w:eastAsia="zh-CN"/>
        </w:rPr>
        <w:t>6.6.1、</w:t>
      </w:r>
      <w:r>
        <w:rPr>
          <w:rFonts w:hint="eastAsia" w:ascii="Times New Roman" w:hAnsi="Times New Roman" w:eastAsia="宋体" w:cs="宋体"/>
          <w:b/>
          <w:bCs/>
          <w:snapToGrid w:val="0"/>
          <w:color w:val="auto"/>
          <w:kern w:val="0"/>
          <w:sz w:val="24"/>
          <w:szCs w:val="28"/>
          <w:lang w:val="en-US" w:eastAsia="zh-CN" w:bidi="ar"/>
        </w:rPr>
        <w:t>防雷及安全措施</w:t>
      </w:r>
    </w:p>
    <w:p w14:paraId="26B0398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1</w:t>
      </w:r>
      <w:r>
        <w:rPr>
          <w:rFonts w:hint="eastAsia" w:ascii="Times New Roman" w:hAnsi="Times New Roman" w:eastAsia="宋体" w:cs="宋体"/>
          <w:color w:val="auto"/>
          <w:sz w:val="24"/>
          <w:lang w:val="en-US" w:eastAsia="zh-CN"/>
        </w:rPr>
        <w:t>、本工程建筑根据计算预计年雷击数均达不到第三类防雷，均按三类防雷建筑物设防，按《建筑物电子信息系统防雷技术规范》</w:t>
      </w:r>
      <w:r>
        <w:rPr>
          <w:rFonts w:hint="default" w:ascii="Times New Roman" w:hAnsi="Times New Roman" w:eastAsia="宋体" w:cs="宋体"/>
          <w:color w:val="auto"/>
          <w:sz w:val="24"/>
          <w:lang w:val="en-US" w:eastAsia="zh-CN"/>
        </w:rPr>
        <w:t>GB50343-2012</w:t>
      </w:r>
      <w:r>
        <w:rPr>
          <w:rFonts w:hint="eastAsia" w:ascii="Times New Roman" w:hAnsi="Times New Roman" w:eastAsia="宋体" w:cs="宋体"/>
          <w:color w:val="auto"/>
          <w:sz w:val="24"/>
          <w:lang w:val="en-US" w:eastAsia="zh-CN"/>
        </w:rPr>
        <w:t>，电子信息系统雷击电磁脉冲防护等级为</w:t>
      </w:r>
      <w:r>
        <w:rPr>
          <w:rFonts w:hint="default" w:ascii="Times New Roman" w:hAnsi="Times New Roman" w:eastAsia="宋体" w:cs="宋体"/>
          <w:color w:val="auto"/>
          <w:sz w:val="24"/>
          <w:lang w:val="en-US" w:eastAsia="zh-CN"/>
        </w:rPr>
        <w:t>D</w:t>
      </w:r>
      <w:r>
        <w:rPr>
          <w:rFonts w:hint="eastAsia" w:ascii="Times New Roman" w:hAnsi="Times New Roman" w:eastAsia="宋体" w:cs="宋体"/>
          <w:color w:val="auto"/>
          <w:sz w:val="24"/>
          <w:lang w:val="en-US" w:eastAsia="zh-CN"/>
        </w:rPr>
        <w:t>级，建筑防雷利用金属屋架、檩条及持久贯通连接的金属屋面板（厚度</w:t>
      </w:r>
      <w:r>
        <w:rPr>
          <w:rFonts w:hint="default" w:ascii="Times New Roman" w:hAnsi="Times New Roman" w:eastAsia="宋体" w:cs="宋体"/>
          <w:color w:val="auto"/>
          <w:sz w:val="24"/>
          <w:lang w:val="en-US" w:eastAsia="zh-CN"/>
        </w:rPr>
        <w:t>&gt;0.5</w:t>
      </w:r>
      <w:r>
        <w:rPr>
          <w:rFonts w:hint="eastAsia" w:ascii="Times New Roman" w:hAnsi="Times New Roman" w:eastAsia="宋体" w:cs="宋体"/>
          <w:color w:val="auto"/>
          <w:sz w:val="24"/>
          <w:lang w:val="en-US" w:eastAsia="zh-CN"/>
        </w:rPr>
        <w:t>毫米）为接闪器，金属板之间采用搭接时，其搭接长度不应小于</w:t>
      </w:r>
      <w:r>
        <w:rPr>
          <w:rFonts w:hint="default" w:ascii="Times New Roman" w:hAnsi="Times New Roman" w:eastAsia="宋体" w:cs="宋体"/>
          <w:color w:val="auto"/>
          <w:sz w:val="24"/>
          <w:lang w:val="en-US" w:eastAsia="zh-CN"/>
        </w:rPr>
        <w:t>100mm</w:t>
      </w:r>
      <w:r>
        <w:rPr>
          <w:rFonts w:hint="eastAsia" w:ascii="Times New Roman" w:hAnsi="Times New Roman" w:eastAsia="宋体" w:cs="宋体"/>
          <w:color w:val="auto"/>
          <w:sz w:val="24"/>
          <w:lang w:val="en-US" w:eastAsia="zh-CN"/>
        </w:rPr>
        <w:t>；引下线利用钢柱金属物并沿建筑物四周均匀或对称布置，其各部件之间均应连成电气通路，其间距不大于</w:t>
      </w:r>
      <w:r>
        <w:rPr>
          <w:rFonts w:hint="default" w:ascii="Times New Roman" w:hAnsi="Times New Roman" w:eastAsia="宋体" w:cs="宋体"/>
          <w:color w:val="auto"/>
          <w:sz w:val="24"/>
          <w:lang w:val="en-US" w:eastAsia="zh-CN"/>
        </w:rPr>
        <w:t>25m</w:t>
      </w:r>
      <w:r>
        <w:rPr>
          <w:rFonts w:hint="eastAsia" w:ascii="Times New Roman" w:hAnsi="Times New Roman" w:eastAsia="宋体" w:cs="宋体"/>
          <w:color w:val="auto"/>
          <w:sz w:val="24"/>
          <w:lang w:val="en-US" w:eastAsia="zh-CN"/>
        </w:rPr>
        <w:t>。</w:t>
      </w:r>
    </w:p>
    <w:p w14:paraId="66BEB3A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2</w:t>
      </w:r>
      <w:r>
        <w:rPr>
          <w:rFonts w:hint="eastAsia" w:ascii="Times New Roman" w:hAnsi="Times New Roman" w:eastAsia="宋体" w:cs="宋体"/>
          <w:color w:val="auto"/>
          <w:sz w:val="24"/>
          <w:lang w:val="en-US" w:eastAsia="zh-CN"/>
        </w:rPr>
        <w:t>、屋面上的金属构件和凸出物内钢筋都应与整个避雷系统可靠焊通，当利用钢柱作为自然引下线并同时采用基础接地体时，可不设断接卡，引下线须上下焊连；在</w:t>
      </w:r>
      <w:r>
        <w:rPr>
          <w:rFonts w:hint="default" w:ascii="Times New Roman" w:hAnsi="Times New Roman" w:eastAsia="宋体" w:cs="宋体"/>
          <w:color w:val="auto"/>
          <w:sz w:val="24"/>
          <w:lang w:val="en-US" w:eastAsia="zh-CN"/>
        </w:rPr>
        <w:t>M/N</w:t>
      </w:r>
      <w:r>
        <w:rPr>
          <w:rFonts w:hint="eastAsia" w:ascii="Times New Roman" w:hAnsi="Times New Roman" w:eastAsia="宋体" w:cs="宋体"/>
          <w:color w:val="auto"/>
          <w:sz w:val="24"/>
          <w:lang w:val="en-US" w:eastAsia="zh-CN"/>
        </w:rPr>
        <w:t>处距地面离地</w:t>
      </w:r>
      <w:r>
        <w:rPr>
          <w:rFonts w:hint="default" w:ascii="Times New Roman" w:hAnsi="Times New Roman" w:eastAsia="宋体" w:cs="宋体"/>
          <w:color w:val="auto"/>
          <w:sz w:val="24"/>
          <w:lang w:val="en-US" w:eastAsia="zh-CN"/>
        </w:rPr>
        <w:t>0.8m(</w:t>
      </w:r>
      <w:r>
        <w:rPr>
          <w:rFonts w:hint="eastAsia" w:ascii="Times New Roman" w:hAnsi="Times New Roman" w:eastAsia="宋体" w:cs="宋体"/>
          <w:color w:val="auto"/>
          <w:sz w:val="24"/>
          <w:lang w:val="en-US" w:eastAsia="zh-CN"/>
        </w:rPr>
        <w:t>接地电阻测试用）和</w:t>
      </w:r>
      <w:r>
        <w:rPr>
          <w:rFonts w:hint="default" w:ascii="Times New Roman" w:hAnsi="Times New Roman" w:eastAsia="宋体" w:cs="宋体"/>
          <w:color w:val="auto"/>
          <w:sz w:val="24"/>
          <w:lang w:val="en-US" w:eastAsia="zh-CN"/>
        </w:rPr>
        <w:t>-0.8m</w:t>
      </w:r>
      <w:r>
        <w:rPr>
          <w:rFonts w:hint="eastAsia" w:ascii="Times New Roman" w:hAnsi="Times New Roman" w:eastAsia="宋体" w:cs="宋体"/>
          <w:color w:val="auto"/>
          <w:sz w:val="24"/>
          <w:lang w:val="en-US" w:eastAsia="zh-CN"/>
        </w:rPr>
        <w:t>（预留外接利用钢筋作引下线并采用埋于土壤中的人工地基用）处设连接板，接地装置利用基础桩内钢筋，连接板为热镀锌钢板</w:t>
      </w:r>
      <w:r>
        <w:rPr>
          <w:rFonts w:hint="default" w:ascii="Times New Roman" w:hAnsi="Times New Roman" w:eastAsia="宋体" w:cs="宋体"/>
          <w:color w:val="auto"/>
          <w:sz w:val="24"/>
          <w:lang w:val="en-US" w:eastAsia="zh-CN"/>
        </w:rPr>
        <w:t>100*100*8</w:t>
      </w:r>
      <w:r>
        <w:rPr>
          <w:rFonts w:hint="eastAsia" w:ascii="Times New Roman" w:hAnsi="Times New Roman" w:eastAsia="宋体" w:cs="宋体"/>
          <w:color w:val="auto"/>
          <w:sz w:val="24"/>
          <w:lang w:val="en-US" w:eastAsia="zh-CN"/>
        </w:rPr>
        <w:t>，并做好防锈处理。</w:t>
      </w:r>
    </w:p>
    <w:p w14:paraId="7BE6738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3</w:t>
      </w:r>
      <w:r>
        <w:rPr>
          <w:rFonts w:hint="eastAsia" w:ascii="Times New Roman" w:hAnsi="Times New Roman" w:eastAsia="宋体" w:cs="宋体"/>
          <w:color w:val="auto"/>
          <w:sz w:val="24"/>
          <w:lang w:val="en-US" w:eastAsia="zh-CN"/>
        </w:rPr>
        <w:t>、高、低屋面处连接采用</w:t>
      </w:r>
      <w:r>
        <w:rPr>
          <w:rFonts w:hint="default" w:ascii="Times New Roman" w:hAnsi="Times New Roman" w:eastAsia="宋体" w:cs="宋体"/>
          <w:color w:val="auto"/>
          <w:sz w:val="24"/>
          <w:lang w:val="en-US" w:eastAsia="zh-CN"/>
        </w:rPr>
        <w:t>-25*4</w:t>
      </w:r>
      <w:r>
        <w:rPr>
          <w:rFonts w:hint="eastAsia" w:ascii="Times New Roman" w:hAnsi="Times New Roman" w:eastAsia="宋体" w:cs="宋体"/>
          <w:color w:val="auto"/>
          <w:sz w:val="24"/>
          <w:lang w:val="en-US" w:eastAsia="zh-CN"/>
        </w:rPr>
        <w:t>热镀锌扁钢，作弓形连接。</w:t>
      </w:r>
    </w:p>
    <w:p w14:paraId="28D9B1D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4</w:t>
      </w:r>
      <w:r>
        <w:rPr>
          <w:rFonts w:hint="eastAsia" w:ascii="Times New Roman" w:hAnsi="Times New Roman" w:eastAsia="宋体" w:cs="宋体"/>
          <w:color w:val="auto"/>
          <w:sz w:val="24"/>
          <w:lang w:val="en-US" w:eastAsia="zh-CN"/>
        </w:rPr>
        <w:t>、凸出屋面的金属物及自流风机等金属体须采用</w:t>
      </w:r>
      <w:r>
        <w:rPr>
          <w:rFonts w:hint="default" w:ascii="Times New Roman" w:hAnsi="Times New Roman" w:eastAsia="宋体" w:cs="宋体"/>
          <w:color w:val="auto"/>
          <w:sz w:val="24"/>
          <w:lang w:val="en-US" w:eastAsia="zh-CN"/>
        </w:rPr>
        <w:t>-25*4</w:t>
      </w:r>
      <w:r>
        <w:rPr>
          <w:rFonts w:hint="eastAsia" w:ascii="Times New Roman" w:hAnsi="Times New Roman" w:eastAsia="宋体" w:cs="宋体"/>
          <w:color w:val="auto"/>
          <w:sz w:val="24"/>
          <w:lang w:val="en-US" w:eastAsia="zh-CN"/>
        </w:rPr>
        <w:t>镀锌启钢就近与屋面连雷带焊接</w:t>
      </w:r>
      <w:r>
        <w:rPr>
          <w:rFonts w:hint="default" w:ascii="Times New Roman" w:hAnsi="Times New Roman" w:eastAsia="宋体" w:cs="宋体"/>
          <w:color w:val="auto"/>
          <w:sz w:val="24"/>
          <w:lang w:val="en-US" w:eastAsia="zh-CN"/>
        </w:rPr>
        <w:t>(</w:t>
      </w:r>
      <w:r>
        <w:rPr>
          <w:rFonts w:hint="eastAsia" w:ascii="Times New Roman" w:hAnsi="Times New Roman" w:eastAsia="宋体" w:cs="宋体"/>
          <w:color w:val="auto"/>
          <w:sz w:val="24"/>
          <w:lang w:val="en-US" w:eastAsia="zh-CN"/>
        </w:rPr>
        <w:t>不少于两处</w:t>
      </w:r>
      <w:r>
        <w:rPr>
          <w:rFonts w:hint="default" w:ascii="Times New Roman" w:hAnsi="Times New Roman" w:eastAsia="宋体" w:cs="宋体"/>
          <w:color w:val="auto"/>
          <w:sz w:val="24"/>
          <w:lang w:val="en-US" w:eastAsia="zh-CN"/>
        </w:rPr>
        <w:t>)</w:t>
      </w:r>
      <w:r>
        <w:rPr>
          <w:rFonts w:hint="eastAsia" w:ascii="Times New Roman" w:hAnsi="Times New Roman" w:eastAsia="宋体" w:cs="宋体"/>
          <w:color w:val="auto"/>
          <w:sz w:val="24"/>
          <w:lang w:val="en-US" w:eastAsia="zh-CN"/>
        </w:rPr>
        <w:t>。</w:t>
      </w:r>
    </w:p>
    <w:p w14:paraId="3DD0597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5</w:t>
      </w:r>
      <w:r>
        <w:rPr>
          <w:rFonts w:hint="eastAsia" w:ascii="Times New Roman" w:hAnsi="Times New Roman" w:eastAsia="宋体" w:cs="宋体"/>
          <w:color w:val="auto"/>
          <w:sz w:val="24"/>
          <w:lang w:val="en-US" w:eastAsia="zh-CN"/>
        </w:rPr>
        <w:t>、整个建筑的基础底板内的钢筋网要求通过地圈梁内二根通长筋焊成一整体。</w:t>
      </w:r>
    </w:p>
    <w:p w14:paraId="50B3F04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6</w:t>
      </w:r>
      <w:r>
        <w:rPr>
          <w:rFonts w:hint="eastAsia" w:ascii="Times New Roman" w:hAnsi="Times New Roman" w:eastAsia="宋体" w:cs="宋体"/>
          <w:color w:val="auto"/>
          <w:sz w:val="24"/>
          <w:lang w:val="en-US" w:eastAsia="zh-CN"/>
        </w:rPr>
        <w:t>、室外接地凡连接处均应刷沥青防腐。</w:t>
      </w:r>
    </w:p>
    <w:p w14:paraId="3C9531AE">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color w:val="auto"/>
          <w:sz w:val="24"/>
          <w:lang w:val="en-US"/>
        </w:rPr>
      </w:pPr>
      <w:r>
        <w:rPr>
          <w:rFonts w:hint="eastAsia" w:ascii="Times New Roman" w:hAnsi="Times New Roman" w:eastAsia="宋体" w:cs="宋体"/>
          <w:b/>
          <w:color w:val="auto"/>
          <w:sz w:val="24"/>
          <w:lang w:val="en-US" w:eastAsia="zh-CN"/>
        </w:rPr>
        <w:t>6.6.2、接地及安全措施</w:t>
      </w:r>
    </w:p>
    <w:p w14:paraId="5FD86E1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1</w:t>
      </w:r>
      <w:r>
        <w:rPr>
          <w:rFonts w:hint="eastAsia" w:ascii="Times New Roman" w:hAnsi="Times New Roman" w:eastAsia="宋体" w:cs="宋体"/>
          <w:color w:val="auto"/>
          <w:sz w:val="24"/>
          <w:lang w:val="en-US" w:eastAsia="zh-CN"/>
        </w:rPr>
        <w:t>、本工程防雷接地、电气设备的保护接地等的接地共用统一的接地极，要求接地电阻不大于</w:t>
      </w:r>
      <w:r>
        <w:rPr>
          <w:rFonts w:hint="default" w:ascii="Times New Roman" w:hAnsi="Times New Roman" w:eastAsia="宋体" w:cs="宋体"/>
          <w:color w:val="auto"/>
          <w:sz w:val="24"/>
          <w:lang w:val="en-US" w:eastAsia="zh-CN"/>
        </w:rPr>
        <w:t>1</w:t>
      </w:r>
      <w:r>
        <w:rPr>
          <w:rFonts w:hint="eastAsia" w:ascii="Times New Roman" w:hAnsi="Times New Roman" w:eastAsia="宋体" w:cs="宋体"/>
          <w:color w:val="auto"/>
          <w:sz w:val="24"/>
          <w:lang w:val="en-US" w:eastAsia="zh-CN"/>
        </w:rPr>
        <w:t>欧姆、实测不满足要求时，增设人工接地极。人工接地极做法参照《</w:t>
      </w:r>
      <w:r>
        <w:rPr>
          <w:rFonts w:hint="default" w:ascii="Times New Roman" w:hAnsi="Times New Roman" w:eastAsia="宋体" w:cs="宋体"/>
          <w:color w:val="auto"/>
          <w:sz w:val="24"/>
          <w:lang w:val="en-US" w:eastAsia="zh-CN"/>
        </w:rPr>
        <w:t>14D504-P15</w:t>
      </w:r>
      <w:r>
        <w:rPr>
          <w:rFonts w:hint="eastAsia" w:ascii="Times New Roman" w:hAnsi="Times New Roman" w:eastAsia="宋体" w:cs="宋体"/>
          <w:color w:val="auto"/>
          <w:sz w:val="24"/>
          <w:lang w:val="en-US" w:eastAsia="zh-CN"/>
        </w:rPr>
        <w:t>》。</w:t>
      </w:r>
    </w:p>
    <w:p w14:paraId="290DE08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2</w:t>
      </w:r>
      <w:r>
        <w:rPr>
          <w:rFonts w:hint="eastAsia" w:ascii="Times New Roman" w:hAnsi="Times New Roman" w:eastAsia="宋体" w:cs="宋体"/>
          <w:color w:val="auto"/>
          <w:sz w:val="24"/>
          <w:lang w:val="en-US" w:eastAsia="zh-CN"/>
        </w:rPr>
        <w:t>、凡正常不带电，而当绝缘破坏有可能呈现电压的一切电气设备金属外壳均应信手可靠接地。</w:t>
      </w:r>
    </w:p>
    <w:p w14:paraId="3CD5C1C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3</w:t>
      </w:r>
      <w:r>
        <w:rPr>
          <w:rFonts w:hint="eastAsia" w:ascii="Times New Roman" w:hAnsi="Times New Roman" w:eastAsia="宋体" w:cs="宋体"/>
          <w:color w:val="auto"/>
          <w:sz w:val="24"/>
          <w:lang w:val="en-US" w:eastAsia="zh-CN"/>
        </w:rPr>
        <w:t>、本工程采用总等电位联结，在总进线处做总等电位联结箱，总等电位板由紫铜板制成，应将建筑物内保护干线、设备进线总管等进行连接，总等电位联结均采用的验等电位卡子，禁止在金属管道上焊接。</w:t>
      </w:r>
    </w:p>
    <w:p w14:paraId="508F3AE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4</w:t>
      </w:r>
      <w:r>
        <w:rPr>
          <w:rFonts w:hint="eastAsia" w:ascii="Times New Roman" w:hAnsi="Times New Roman" w:eastAsia="宋体" w:cs="宋体"/>
          <w:color w:val="auto"/>
          <w:sz w:val="24"/>
          <w:lang w:val="en-US" w:eastAsia="zh-CN"/>
        </w:rPr>
        <w:t>、过电压保护：在电源总配电柜内安装第一级电涌保护器（</w:t>
      </w:r>
      <w:r>
        <w:rPr>
          <w:rFonts w:hint="default" w:ascii="Times New Roman" w:hAnsi="Times New Roman" w:eastAsia="宋体" w:cs="宋体"/>
          <w:color w:val="auto"/>
          <w:sz w:val="24"/>
          <w:lang w:val="en-US" w:eastAsia="zh-CN"/>
        </w:rPr>
        <w:t>SPD</w:t>
      </w:r>
      <w:r>
        <w:rPr>
          <w:rFonts w:hint="eastAsia" w:ascii="Times New Roman" w:hAnsi="Times New Roman" w:eastAsia="宋体" w:cs="宋体"/>
          <w:color w:val="auto"/>
          <w:sz w:val="24"/>
          <w:lang w:val="en-US" w:eastAsia="zh-CN"/>
        </w:rPr>
        <w:t>）。</w:t>
      </w:r>
    </w:p>
    <w:p w14:paraId="3633763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5</w:t>
      </w:r>
      <w:r>
        <w:rPr>
          <w:rFonts w:hint="eastAsia" w:ascii="Times New Roman" w:hAnsi="Times New Roman" w:eastAsia="宋体" w:cs="宋体"/>
          <w:color w:val="auto"/>
          <w:sz w:val="24"/>
          <w:lang w:val="en-US" w:eastAsia="zh-CN"/>
        </w:rPr>
        <w:t>、本工程接地型式采用</w:t>
      </w:r>
      <w:r>
        <w:rPr>
          <w:rFonts w:hint="default" w:ascii="Times New Roman" w:hAnsi="Times New Roman" w:eastAsia="宋体" w:cs="宋体"/>
          <w:color w:val="auto"/>
          <w:sz w:val="24"/>
          <w:lang w:val="en-US" w:eastAsia="zh-CN"/>
        </w:rPr>
        <w:t>TN-S</w:t>
      </w:r>
      <w:r>
        <w:rPr>
          <w:rFonts w:hint="eastAsia" w:ascii="Times New Roman" w:hAnsi="Times New Roman" w:eastAsia="宋体" w:cs="宋体"/>
          <w:color w:val="auto"/>
          <w:sz w:val="24"/>
          <w:lang w:val="en-US" w:eastAsia="zh-CN"/>
        </w:rPr>
        <w:t>系统，电源在进户处对</w:t>
      </w:r>
      <w:r>
        <w:rPr>
          <w:rFonts w:hint="default" w:ascii="Times New Roman" w:hAnsi="Times New Roman" w:eastAsia="宋体" w:cs="宋体"/>
          <w:color w:val="auto"/>
          <w:sz w:val="24"/>
          <w:lang w:val="en-US" w:eastAsia="zh-CN"/>
        </w:rPr>
        <w:t>PE</w:t>
      </w:r>
      <w:r>
        <w:rPr>
          <w:rFonts w:hint="eastAsia" w:ascii="Times New Roman" w:hAnsi="Times New Roman" w:eastAsia="宋体" w:cs="宋体"/>
          <w:color w:val="auto"/>
          <w:sz w:val="24"/>
          <w:lang w:val="en-US" w:eastAsia="zh-CN"/>
        </w:rPr>
        <w:t>线做重复接地，并与防雷照明接地共用接地极。</w:t>
      </w:r>
    </w:p>
    <w:p w14:paraId="2B5BE46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6</w:t>
      </w:r>
      <w:r>
        <w:rPr>
          <w:rFonts w:hint="eastAsia" w:ascii="Times New Roman" w:hAnsi="Times New Roman" w:eastAsia="宋体" w:cs="宋体"/>
          <w:color w:val="auto"/>
          <w:sz w:val="24"/>
          <w:lang w:val="en-US" w:eastAsia="zh-CN"/>
        </w:rPr>
        <w:t>、Ⅰ类灯具的不带电的外露可导电部分必须与保护接地线（</w:t>
      </w:r>
      <w:r>
        <w:rPr>
          <w:rFonts w:hint="default" w:ascii="Times New Roman" w:hAnsi="Times New Roman" w:eastAsia="宋体" w:cs="宋体"/>
          <w:color w:val="auto"/>
          <w:sz w:val="24"/>
          <w:lang w:val="en-US" w:eastAsia="zh-CN"/>
        </w:rPr>
        <w:t>PE</w:t>
      </w:r>
      <w:r>
        <w:rPr>
          <w:rFonts w:hint="eastAsia" w:ascii="Times New Roman" w:hAnsi="Times New Roman" w:eastAsia="宋体" w:cs="宋体"/>
          <w:color w:val="auto"/>
          <w:sz w:val="24"/>
          <w:lang w:val="en-US" w:eastAsia="zh-CN"/>
        </w:rPr>
        <w:t>）可靠连接。</w:t>
      </w:r>
    </w:p>
    <w:p w14:paraId="00D9190A">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color w:val="auto"/>
          <w:lang w:val="en-US" w:eastAsia="zh-CN"/>
        </w:rPr>
      </w:pPr>
      <w:bookmarkStart w:id="78" w:name="_Toc4288"/>
      <w:r>
        <w:rPr>
          <w:rFonts w:hint="eastAsia" w:ascii="Times New Roman" w:hAnsi="Times New Roman" w:eastAsia="宋体" w:cs="宋体"/>
          <w:b/>
          <w:bCs/>
          <w:color w:val="auto"/>
          <w:sz w:val="28"/>
          <w:szCs w:val="28"/>
          <w:lang w:val="en-US" w:eastAsia="zh-CN"/>
        </w:rPr>
        <w:t>6.7、视频监控系统</w:t>
      </w:r>
      <w:bookmarkEnd w:id="78"/>
    </w:p>
    <w:p w14:paraId="3ECEA38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1</w:t>
      </w:r>
      <w:r>
        <w:rPr>
          <w:rFonts w:hint="eastAsia" w:ascii="Times New Roman" w:hAnsi="Times New Roman" w:eastAsia="宋体" w:cs="宋体"/>
          <w:color w:val="auto"/>
          <w:sz w:val="24"/>
          <w:lang w:val="en-US" w:eastAsia="zh-CN"/>
        </w:rPr>
        <w:t>、安防监控设备设于值班室内（兼安防监控室）。</w:t>
      </w:r>
    </w:p>
    <w:p w14:paraId="3C94320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2</w:t>
      </w:r>
      <w:r>
        <w:rPr>
          <w:rFonts w:hint="eastAsia" w:ascii="Times New Roman" w:hAnsi="Times New Roman" w:eastAsia="宋体" w:cs="宋体"/>
          <w:color w:val="auto"/>
          <w:sz w:val="24"/>
          <w:lang w:val="en-US" w:eastAsia="zh-CN"/>
        </w:rPr>
        <w:t>、厂区监控系统内设系统矩阵主机、视频录像、打印机、监视器及</w:t>
      </w:r>
      <w:r>
        <w:rPr>
          <w:rFonts w:hint="default" w:ascii="Times New Roman" w:hAnsi="Times New Roman" w:eastAsia="宋体" w:cs="宋体"/>
          <w:color w:val="auto"/>
          <w:sz w:val="24"/>
          <w:lang w:val="en-US" w:eastAsia="zh-CN"/>
        </w:rPr>
        <w:t>24V</w:t>
      </w:r>
      <w:r>
        <w:rPr>
          <w:rFonts w:hint="eastAsia" w:ascii="Times New Roman" w:hAnsi="Times New Roman" w:eastAsia="宋体" w:cs="宋体"/>
          <w:color w:val="auto"/>
          <w:sz w:val="24"/>
          <w:lang w:val="en-US" w:eastAsia="zh-CN"/>
        </w:rPr>
        <w:t>电源设备。所有摄像机的电源，均由主机供给。主机自带</w:t>
      </w:r>
      <w:r>
        <w:rPr>
          <w:rFonts w:hint="default" w:ascii="Times New Roman" w:hAnsi="Times New Roman" w:eastAsia="宋体" w:cs="宋体"/>
          <w:color w:val="auto"/>
          <w:sz w:val="24"/>
          <w:lang w:val="en-US" w:eastAsia="zh-CN"/>
        </w:rPr>
        <w:t>UPS</w:t>
      </w:r>
      <w:r>
        <w:rPr>
          <w:rFonts w:hint="eastAsia" w:ascii="Times New Roman" w:hAnsi="Times New Roman" w:eastAsia="宋体" w:cs="宋体"/>
          <w:color w:val="auto"/>
          <w:sz w:val="24"/>
          <w:lang w:val="en-US" w:eastAsia="zh-CN"/>
        </w:rPr>
        <w:t>电源。</w:t>
      </w:r>
    </w:p>
    <w:p w14:paraId="660911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3</w:t>
      </w:r>
      <w:r>
        <w:rPr>
          <w:rFonts w:hint="eastAsia" w:ascii="Times New Roman" w:hAnsi="Times New Roman" w:eastAsia="宋体" w:cs="宋体"/>
          <w:color w:val="auto"/>
          <w:sz w:val="24"/>
          <w:lang w:val="en-US" w:eastAsia="zh-CN"/>
        </w:rPr>
        <w:t>、系统控制方式为编码控制，中心主机系统采用全矩阵系统，所有视频信号可手动</w:t>
      </w:r>
      <w:r>
        <w:rPr>
          <w:rFonts w:hint="default" w:ascii="Times New Roman" w:hAnsi="Times New Roman" w:eastAsia="宋体" w:cs="宋体"/>
          <w:color w:val="auto"/>
          <w:sz w:val="24"/>
          <w:lang w:val="en-US" w:eastAsia="zh-CN"/>
        </w:rPr>
        <w:t>/</w:t>
      </w:r>
      <w:r>
        <w:rPr>
          <w:rFonts w:hint="eastAsia" w:ascii="Times New Roman" w:hAnsi="Times New Roman" w:eastAsia="宋体" w:cs="宋体"/>
          <w:color w:val="auto"/>
          <w:sz w:val="24"/>
          <w:lang w:val="en-US" w:eastAsia="zh-CN"/>
        </w:rPr>
        <w:t>自动切换。</w:t>
      </w:r>
    </w:p>
    <w:p w14:paraId="487D96C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4</w:t>
      </w:r>
      <w:r>
        <w:rPr>
          <w:rFonts w:hint="eastAsia" w:ascii="Times New Roman" w:hAnsi="Times New Roman" w:eastAsia="宋体" w:cs="宋体"/>
          <w:color w:val="auto"/>
          <w:sz w:val="24"/>
          <w:lang w:val="en-US" w:eastAsia="zh-CN"/>
        </w:rPr>
        <w:t>、所有摄像点能同时录像，录像选用多台数字硬盘录像机，内置高速硬盘，容量不低于动态存储一个月的空间，并可随时提供调阅及快速检索，图像应包含摄像机机位、日期、时间等，要求图像质量不低于四级。</w:t>
      </w:r>
    </w:p>
    <w:p w14:paraId="16984B9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5</w:t>
      </w:r>
      <w:r>
        <w:rPr>
          <w:rFonts w:hint="eastAsia" w:ascii="Times New Roman" w:hAnsi="Times New Roman" w:eastAsia="宋体" w:cs="宋体"/>
          <w:color w:val="auto"/>
          <w:sz w:val="24"/>
          <w:lang w:val="en-US" w:eastAsia="zh-CN"/>
        </w:rPr>
        <w:t>、视频监控说明中补充视频安防监控系统中使用的设备必须符合国家法律法规和现行强制性标准的要求。</w:t>
      </w:r>
    </w:p>
    <w:p w14:paraId="295143A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6</w:t>
      </w:r>
      <w:r>
        <w:rPr>
          <w:rFonts w:hint="eastAsia" w:ascii="Times New Roman" w:hAnsi="Times New Roman" w:eastAsia="宋体" w:cs="宋体"/>
          <w:color w:val="auto"/>
          <w:sz w:val="24"/>
          <w:lang w:val="en-US" w:eastAsia="zh-CN"/>
        </w:rPr>
        <w:t>、监控中心应设置为禁区，应有保证自身安全的防护措施和进行内外联络的通老均应信手段，并应设置紧急报警装置和留有向上一级接处警中心报警的通信接口。</w:t>
      </w:r>
    </w:p>
    <w:p w14:paraId="2521FC5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7</w:t>
      </w:r>
      <w:r>
        <w:rPr>
          <w:rFonts w:hint="eastAsia" w:ascii="Times New Roman" w:hAnsi="Times New Roman" w:eastAsia="宋体" w:cs="宋体"/>
          <w:color w:val="auto"/>
          <w:sz w:val="24"/>
          <w:lang w:val="en-US" w:eastAsia="zh-CN"/>
        </w:rPr>
        <w:t>、线路敷设采用穿</w:t>
      </w:r>
      <w:r>
        <w:rPr>
          <w:rFonts w:hint="default" w:ascii="Times New Roman" w:hAnsi="Times New Roman" w:eastAsia="宋体" w:cs="宋体"/>
          <w:color w:val="auto"/>
          <w:sz w:val="24"/>
          <w:lang w:val="en-US" w:eastAsia="zh-CN"/>
        </w:rPr>
        <w:t>PC</w:t>
      </w:r>
      <w:r>
        <w:rPr>
          <w:rFonts w:hint="eastAsia" w:ascii="Times New Roman" w:hAnsi="Times New Roman" w:eastAsia="宋体" w:cs="宋体"/>
          <w:color w:val="auto"/>
          <w:sz w:val="24"/>
          <w:lang w:val="en-US" w:eastAsia="zh-CN"/>
        </w:rPr>
        <w:t>管暗敷相结合的形式。导线选型及施工均有承包商负责。</w:t>
      </w:r>
    </w:p>
    <w:p w14:paraId="22CC56D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8</w:t>
      </w:r>
      <w:r>
        <w:rPr>
          <w:rFonts w:hint="eastAsia" w:ascii="Times New Roman" w:hAnsi="Times New Roman" w:eastAsia="宋体" w:cs="宋体"/>
          <w:color w:val="auto"/>
          <w:sz w:val="24"/>
          <w:lang w:val="en-US" w:eastAsia="zh-CN"/>
        </w:rPr>
        <w:t>、系统的深化设计、安装、调试均由承包商负责。并协助甲方通过当地安防办采用的验收。</w:t>
      </w:r>
    </w:p>
    <w:p w14:paraId="03A93361">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color w:val="auto"/>
          <w:lang w:val="en-US" w:eastAsia="zh-CN"/>
        </w:rPr>
      </w:pPr>
      <w:bookmarkStart w:id="79" w:name="_Toc16483"/>
      <w:r>
        <w:rPr>
          <w:rFonts w:hint="eastAsia" w:ascii="Times New Roman" w:hAnsi="Times New Roman" w:eastAsia="宋体" w:cs="宋体"/>
          <w:b/>
          <w:bCs/>
          <w:color w:val="auto"/>
          <w:sz w:val="28"/>
          <w:szCs w:val="28"/>
          <w:lang w:val="en-US" w:eastAsia="zh-CN"/>
        </w:rPr>
        <w:t>6.8、绿色建筑设计说明</w:t>
      </w:r>
      <w:bookmarkEnd w:id="79"/>
    </w:p>
    <w:p w14:paraId="39E6AD1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1</w:t>
      </w:r>
      <w:r>
        <w:rPr>
          <w:rFonts w:hint="eastAsia" w:ascii="Times New Roman" w:hAnsi="Times New Roman" w:eastAsia="宋体" w:cs="宋体"/>
          <w:color w:val="auto"/>
          <w:sz w:val="24"/>
          <w:lang w:val="en-US" w:eastAsia="zh-CN"/>
        </w:rPr>
        <w:t>、根据建筑照明要求，合理利用天然采光，除有特殊要求的场所外，选用高效防雷照明光源，高效灯及其附件。</w:t>
      </w:r>
    </w:p>
    <w:p w14:paraId="0FF6E98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2</w:t>
      </w:r>
      <w:r>
        <w:rPr>
          <w:rFonts w:hint="eastAsia" w:ascii="Times New Roman" w:hAnsi="Times New Roman" w:eastAsia="宋体" w:cs="宋体"/>
          <w:color w:val="auto"/>
          <w:sz w:val="24"/>
          <w:lang w:val="en-US" w:eastAsia="zh-CN"/>
        </w:rPr>
        <w:t>、光源优先选用国家·绿色照明工程·推荐的高效节能灯。</w:t>
      </w:r>
    </w:p>
    <w:p w14:paraId="376AA2E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3</w:t>
      </w:r>
      <w:r>
        <w:rPr>
          <w:rFonts w:hint="eastAsia" w:ascii="Times New Roman" w:hAnsi="Times New Roman" w:eastAsia="宋体" w:cs="宋体"/>
          <w:color w:val="auto"/>
          <w:sz w:val="24"/>
          <w:lang w:val="en-US" w:eastAsia="zh-CN"/>
        </w:rPr>
        <w:t>、金卤灯就地补偿，选用节能型高功率因数的电感镇流器（符合该产品国家能效标准），气体放电灯单灯功率因数不小于</w:t>
      </w:r>
      <w:r>
        <w:rPr>
          <w:rFonts w:hint="default" w:ascii="Times New Roman" w:hAnsi="Times New Roman" w:eastAsia="宋体" w:cs="宋体"/>
          <w:color w:val="auto"/>
          <w:sz w:val="24"/>
          <w:lang w:val="en-US" w:eastAsia="zh-CN"/>
        </w:rPr>
        <w:t>0.9</w:t>
      </w:r>
      <w:r>
        <w:rPr>
          <w:rFonts w:hint="eastAsia" w:ascii="Times New Roman" w:hAnsi="Times New Roman" w:eastAsia="宋体" w:cs="宋体"/>
          <w:color w:val="auto"/>
          <w:sz w:val="24"/>
          <w:lang w:val="en-US" w:eastAsia="zh-CN"/>
        </w:rPr>
        <w:t>。</w:t>
      </w:r>
    </w:p>
    <w:p w14:paraId="7949855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4</w:t>
      </w:r>
      <w:r>
        <w:rPr>
          <w:rFonts w:hint="eastAsia" w:ascii="Times New Roman" w:hAnsi="Times New Roman" w:eastAsia="宋体" w:cs="宋体"/>
          <w:color w:val="auto"/>
          <w:sz w:val="24"/>
          <w:lang w:val="en-US" w:eastAsia="zh-CN"/>
        </w:rPr>
        <w:t>、采用高效的光源、灯具及镇流器。</w:t>
      </w:r>
    </w:p>
    <w:p w14:paraId="53770F6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5</w:t>
      </w:r>
      <w:r>
        <w:rPr>
          <w:rFonts w:hint="eastAsia" w:ascii="Times New Roman" w:hAnsi="Times New Roman" w:eastAsia="宋体" w:cs="宋体"/>
          <w:color w:val="auto"/>
          <w:sz w:val="24"/>
          <w:lang w:val="en-US" w:eastAsia="zh-CN"/>
        </w:rPr>
        <w:t>、各房间或场所的照明功率密度值不高于《建筑照明设计标准》</w:t>
      </w:r>
      <w:r>
        <w:rPr>
          <w:rFonts w:hint="default" w:ascii="Times New Roman" w:hAnsi="Times New Roman" w:eastAsia="宋体" w:cs="宋体"/>
          <w:color w:val="auto"/>
          <w:sz w:val="24"/>
          <w:lang w:val="en-US" w:eastAsia="zh-CN"/>
        </w:rPr>
        <w:t>GB50034</w:t>
      </w:r>
      <w:r>
        <w:rPr>
          <w:rFonts w:hint="eastAsia" w:ascii="Times New Roman" w:hAnsi="Times New Roman" w:eastAsia="宋体" w:cs="宋体"/>
          <w:color w:val="auto"/>
          <w:sz w:val="24"/>
          <w:lang w:val="en-US" w:eastAsia="zh-CN"/>
        </w:rPr>
        <w:t>规定的现行值，建筑照明数量和质量应符合《建筑照明设计标准》</w:t>
      </w:r>
      <w:r>
        <w:rPr>
          <w:rFonts w:hint="default" w:ascii="Times New Roman" w:hAnsi="Times New Roman" w:eastAsia="宋体" w:cs="宋体"/>
          <w:color w:val="auto"/>
          <w:sz w:val="24"/>
          <w:lang w:val="en-US" w:eastAsia="zh-CN"/>
        </w:rPr>
        <w:t>GB50034</w:t>
      </w:r>
      <w:r>
        <w:rPr>
          <w:rFonts w:hint="eastAsia" w:ascii="Times New Roman" w:hAnsi="Times New Roman" w:eastAsia="宋体" w:cs="宋体"/>
          <w:color w:val="auto"/>
          <w:sz w:val="24"/>
          <w:lang w:val="en-US" w:eastAsia="zh-CN"/>
        </w:rPr>
        <w:t>规定。</w:t>
      </w:r>
    </w:p>
    <w:p w14:paraId="38A4B2A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6</w:t>
      </w:r>
      <w:r>
        <w:rPr>
          <w:rFonts w:hint="eastAsia" w:ascii="Times New Roman" w:hAnsi="Times New Roman" w:eastAsia="宋体" w:cs="宋体"/>
          <w:color w:val="auto"/>
          <w:sz w:val="24"/>
          <w:lang w:val="en-US" w:eastAsia="zh-CN"/>
        </w:rPr>
        <w:t>、电能计量按照用途、物业归属、运行管理及相关专业要求设置计量装置。</w:t>
      </w:r>
    </w:p>
    <w:p w14:paraId="32525EF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7</w:t>
      </w:r>
      <w:r>
        <w:rPr>
          <w:rFonts w:hint="eastAsia" w:ascii="Times New Roman" w:hAnsi="Times New Roman" w:eastAsia="宋体" w:cs="宋体"/>
          <w:color w:val="auto"/>
          <w:sz w:val="24"/>
          <w:lang w:val="en-US" w:eastAsia="zh-CN"/>
        </w:rPr>
        <w:t>、建筑室内主要功能房间或场所的统一眩光值（</w:t>
      </w:r>
      <w:r>
        <w:rPr>
          <w:rFonts w:hint="default" w:ascii="Times New Roman" w:hAnsi="Times New Roman" w:eastAsia="宋体" w:cs="宋体"/>
          <w:color w:val="auto"/>
          <w:sz w:val="24"/>
          <w:lang w:val="en-US" w:eastAsia="zh-CN"/>
        </w:rPr>
        <w:t>UGR</w:t>
      </w:r>
      <w:r>
        <w:rPr>
          <w:rFonts w:hint="eastAsia" w:ascii="Times New Roman" w:hAnsi="Times New Roman" w:eastAsia="宋体" w:cs="宋体"/>
          <w:color w:val="auto"/>
          <w:sz w:val="24"/>
          <w:lang w:val="en-US" w:eastAsia="zh-CN"/>
        </w:rPr>
        <w:t>）及室内照明光源的色温符合《建筑照明设计标准》</w:t>
      </w:r>
      <w:r>
        <w:rPr>
          <w:rFonts w:hint="default" w:ascii="Times New Roman" w:hAnsi="Times New Roman" w:eastAsia="宋体" w:cs="宋体"/>
          <w:color w:val="auto"/>
          <w:sz w:val="24"/>
          <w:lang w:val="en-US" w:eastAsia="zh-CN"/>
        </w:rPr>
        <w:t>GB50034</w:t>
      </w:r>
      <w:r>
        <w:rPr>
          <w:rFonts w:hint="eastAsia" w:ascii="Times New Roman" w:hAnsi="Times New Roman" w:eastAsia="宋体" w:cs="宋体"/>
          <w:color w:val="auto"/>
          <w:sz w:val="24"/>
          <w:lang w:val="en-US" w:eastAsia="zh-CN"/>
        </w:rPr>
        <w:t>的规定。人员长期工作或停留的房间或场所照明光源的显色指数应大于</w:t>
      </w:r>
      <w:r>
        <w:rPr>
          <w:rFonts w:hint="default" w:ascii="Times New Roman" w:hAnsi="Times New Roman" w:eastAsia="宋体" w:cs="宋体"/>
          <w:color w:val="auto"/>
          <w:sz w:val="24"/>
          <w:lang w:val="en-US" w:eastAsia="zh-CN"/>
        </w:rPr>
        <w:t>80</w:t>
      </w:r>
      <w:r>
        <w:rPr>
          <w:rFonts w:hint="eastAsia" w:ascii="Times New Roman" w:hAnsi="Times New Roman" w:eastAsia="宋体" w:cs="宋体"/>
          <w:color w:val="auto"/>
          <w:sz w:val="24"/>
          <w:lang w:val="en-US" w:eastAsia="zh-CN"/>
        </w:rPr>
        <w:t>。</w:t>
      </w:r>
    </w:p>
    <w:p w14:paraId="0B9B4C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8</w:t>
      </w:r>
      <w:r>
        <w:rPr>
          <w:rFonts w:hint="eastAsia" w:ascii="Times New Roman" w:hAnsi="Times New Roman" w:eastAsia="宋体" w:cs="宋体"/>
          <w:color w:val="auto"/>
          <w:sz w:val="24"/>
          <w:lang w:val="en-US" w:eastAsia="zh-CN"/>
        </w:rPr>
        <w:t>、电力系统的电压偏差、三相电压不平衡指标均符合国家现行有关标准的规定：电力谐波治理符合国家现行有关标准规定的限值和允许值；配电系统的功率因数优于国家现行有关标准和规定的限定值。</w:t>
      </w:r>
    </w:p>
    <w:p w14:paraId="068CB736">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color w:val="auto"/>
          <w:lang w:val="en-US" w:eastAsia="zh-CN"/>
        </w:rPr>
      </w:pPr>
      <w:bookmarkStart w:id="80" w:name="_Toc17568"/>
      <w:r>
        <w:rPr>
          <w:rFonts w:hint="eastAsia" w:ascii="Times New Roman" w:hAnsi="Times New Roman" w:eastAsia="宋体" w:cs="宋体"/>
          <w:b/>
          <w:bCs/>
          <w:color w:val="auto"/>
          <w:sz w:val="28"/>
          <w:szCs w:val="28"/>
          <w:lang w:val="en-US" w:eastAsia="zh-CN"/>
        </w:rPr>
        <w:t>6.9、电气设备抗震设计</w:t>
      </w:r>
      <w:bookmarkEnd w:id="80"/>
    </w:p>
    <w:p w14:paraId="264E670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1</w:t>
      </w:r>
      <w:r>
        <w:rPr>
          <w:rFonts w:hint="eastAsia" w:ascii="Times New Roman" w:hAnsi="Times New Roman" w:eastAsia="宋体" w:cs="宋体"/>
          <w:color w:val="auto"/>
          <w:sz w:val="24"/>
          <w:lang w:val="en-US" w:eastAsia="zh-CN"/>
        </w:rPr>
        <w:t>、本工程所在地区抗震设防烈度为</w:t>
      </w:r>
      <w:r>
        <w:rPr>
          <w:rFonts w:hint="default" w:ascii="Times New Roman" w:hAnsi="Times New Roman" w:eastAsia="宋体" w:cs="宋体"/>
          <w:color w:val="auto"/>
          <w:sz w:val="24"/>
          <w:lang w:val="en-US" w:eastAsia="zh-CN"/>
        </w:rPr>
        <w:t>7</w:t>
      </w:r>
      <w:r>
        <w:rPr>
          <w:rFonts w:hint="eastAsia" w:ascii="Times New Roman" w:hAnsi="Times New Roman" w:eastAsia="宋体" w:cs="宋体"/>
          <w:color w:val="auto"/>
          <w:sz w:val="24"/>
          <w:lang w:val="en-US" w:eastAsia="zh-CN"/>
        </w:rPr>
        <w:t>度，电气设备安装应采取相应抗震措施。</w:t>
      </w:r>
    </w:p>
    <w:p w14:paraId="4B02C72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2</w:t>
      </w:r>
      <w:r>
        <w:rPr>
          <w:rFonts w:hint="eastAsia" w:ascii="Times New Roman" w:hAnsi="Times New Roman" w:eastAsia="宋体" w:cs="宋体"/>
          <w:color w:val="auto"/>
          <w:sz w:val="24"/>
          <w:lang w:val="en-US" w:eastAsia="zh-CN"/>
        </w:rPr>
        <w:t>、在电缆桥架内敷设的缆线在引进、引出和转弯处，应在长度上留有余量。</w:t>
      </w:r>
    </w:p>
    <w:p w14:paraId="7E42E2F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3</w:t>
      </w:r>
      <w:r>
        <w:rPr>
          <w:rFonts w:hint="eastAsia" w:ascii="Times New Roman" w:hAnsi="Times New Roman" w:eastAsia="宋体" w:cs="宋体"/>
          <w:color w:val="auto"/>
          <w:sz w:val="24"/>
          <w:lang w:val="en-US" w:eastAsia="zh-CN"/>
        </w:rPr>
        <w:t>、配电箱、通信设备的安装螺栓或焊接强度应满足抗震要求。壁式安装的配电箱与墙壁之间应采用金属膨胀螺栓连接，配电箱、通信设备机柜内的元器件之间采用软连接，接线处应做防震处理。</w:t>
      </w:r>
    </w:p>
    <w:p w14:paraId="7212B96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lang w:val="en-US" w:eastAsia="zh-CN"/>
        </w:rPr>
        <w:t>4</w:t>
      </w:r>
      <w:r>
        <w:rPr>
          <w:rFonts w:hint="eastAsia" w:ascii="Times New Roman" w:hAnsi="Times New Roman" w:eastAsia="宋体" w:cs="宋体"/>
          <w:color w:val="auto"/>
          <w:sz w:val="24"/>
          <w:lang w:val="en-US" w:eastAsia="zh-CN"/>
        </w:rPr>
        <w:t>、采用铜芯电缆或电线敷设，在总进线入户处应采用挠性线管或采取其他抗震措施。进户套管与引入管之间的间隙应采用柔性防腐、防水材料密封。</w:t>
      </w:r>
    </w:p>
    <w:p w14:paraId="2C86169C">
      <w:pPr>
        <w:rPr>
          <w:rFonts w:hint="default" w:ascii="Times New Roman" w:hAnsi="Times New Roman" w:eastAsia="宋体" w:cs="宋体"/>
          <w:color w:val="auto"/>
          <w:lang w:val="en-US" w:eastAsia="zh-CN"/>
        </w:rPr>
      </w:pPr>
    </w:p>
    <w:p w14:paraId="2BB2BEB0">
      <w:pPr>
        <w:rPr>
          <w:rFonts w:hint="default" w:ascii="Times New Roman" w:hAnsi="Times New Roman" w:eastAsia="宋体" w:cs="宋体"/>
          <w:color w:val="auto"/>
          <w:lang w:val="en-US" w:eastAsia="zh-CN"/>
        </w:rPr>
        <w:sectPr>
          <w:headerReference r:id="rId11" w:type="default"/>
          <w:footerReference r:id="rId12"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43AC1EDD">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jc w:val="center"/>
        <w:textAlignment w:val="baseline"/>
        <w:rPr>
          <w:rFonts w:hint="default" w:ascii="Times New Roman" w:hAnsi="Times New Roman" w:eastAsia="宋体" w:cs="宋体"/>
          <w:b/>
          <w:color w:val="auto"/>
          <w:sz w:val="30"/>
          <w:szCs w:val="30"/>
          <w:lang w:val="en-US" w:eastAsia="zh-CN"/>
        </w:rPr>
      </w:pPr>
      <w:bookmarkStart w:id="81" w:name="_Toc11755"/>
      <w:r>
        <w:rPr>
          <w:rFonts w:hint="eastAsia" w:ascii="Times New Roman" w:hAnsi="Times New Roman" w:eastAsia="宋体" w:cs="宋体"/>
          <w:b/>
          <w:color w:val="auto"/>
          <w:sz w:val="30"/>
          <w:szCs w:val="30"/>
          <w:lang w:val="en-US" w:eastAsia="zh-CN"/>
        </w:rPr>
        <w:t>第七章 消防设计方案</w:t>
      </w:r>
      <w:bookmarkEnd w:id="81"/>
    </w:p>
    <w:p w14:paraId="0BCA2A04">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82" w:name="_Toc16822"/>
      <w:r>
        <w:rPr>
          <w:rFonts w:hint="eastAsia" w:ascii="Times New Roman" w:hAnsi="Times New Roman" w:eastAsia="宋体" w:cs="宋体"/>
          <w:b/>
          <w:bCs/>
          <w:color w:val="auto"/>
          <w:sz w:val="28"/>
          <w:szCs w:val="28"/>
          <w:lang w:val="en-US" w:eastAsia="zh-CN"/>
        </w:rPr>
        <w:t>7.1、设计依据</w:t>
      </w:r>
      <w:bookmarkEnd w:id="82"/>
    </w:p>
    <w:p w14:paraId="2928B1B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（1）《建筑设计防火规范》（</w:t>
      </w:r>
      <w:r>
        <w:rPr>
          <w:rFonts w:hint="default" w:ascii="Times New Roman" w:hAnsi="Times New Roman" w:eastAsia="宋体" w:cs="宋体"/>
          <w:color w:val="auto"/>
          <w:sz w:val="24"/>
          <w:lang w:val="en-US" w:eastAsia="zh-CN"/>
        </w:rPr>
        <w:t>GB50016-2014</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2018</w:t>
      </w:r>
      <w:r>
        <w:rPr>
          <w:rFonts w:hint="eastAsia" w:ascii="Times New Roman" w:hAnsi="Times New Roman" w:eastAsia="宋体" w:cs="宋体"/>
          <w:color w:val="auto"/>
          <w:sz w:val="24"/>
          <w:lang w:val="en-US" w:eastAsia="zh-CN"/>
        </w:rPr>
        <w:t>年版）；</w:t>
      </w:r>
    </w:p>
    <w:p w14:paraId="1134E0B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（2）《安全防范工程技术规范》</w:t>
      </w:r>
      <w:r>
        <w:rPr>
          <w:rFonts w:hint="default" w:ascii="Times New Roman" w:hAnsi="Times New Roman" w:eastAsia="宋体" w:cs="宋体"/>
          <w:color w:val="auto"/>
          <w:sz w:val="24"/>
          <w:lang w:val="en-US" w:eastAsia="zh-CN"/>
        </w:rPr>
        <w:t>GB50348-2004</w:t>
      </w:r>
      <w:r>
        <w:rPr>
          <w:rFonts w:hint="eastAsia" w:ascii="Times New Roman" w:hAnsi="Times New Roman" w:eastAsia="宋体" w:cs="宋体"/>
          <w:color w:val="auto"/>
          <w:sz w:val="24"/>
          <w:lang w:val="en-US" w:eastAsia="zh-CN"/>
        </w:rPr>
        <w:t>；</w:t>
      </w:r>
    </w:p>
    <w:p w14:paraId="0519BD2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（3）《火灾自动报警系统设计规范》（</w:t>
      </w:r>
      <w:r>
        <w:rPr>
          <w:rFonts w:hint="default" w:ascii="Times New Roman" w:hAnsi="Times New Roman" w:eastAsia="宋体" w:cs="宋体"/>
          <w:color w:val="auto"/>
          <w:sz w:val="24"/>
          <w:lang w:val="en-US" w:eastAsia="zh-CN"/>
        </w:rPr>
        <w:t>GB50116-2013</w:t>
      </w:r>
      <w:r>
        <w:rPr>
          <w:rFonts w:hint="eastAsia" w:ascii="Times New Roman" w:hAnsi="Times New Roman" w:eastAsia="宋体" w:cs="宋体"/>
          <w:color w:val="auto"/>
          <w:sz w:val="24"/>
          <w:lang w:val="en-US" w:eastAsia="zh-CN"/>
        </w:rPr>
        <w:t>）；</w:t>
      </w:r>
    </w:p>
    <w:p w14:paraId="1DC99C2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（4）《自动喷水灭火系统设计规范》（</w:t>
      </w:r>
      <w:r>
        <w:rPr>
          <w:rFonts w:hint="default" w:ascii="Times New Roman" w:hAnsi="Times New Roman" w:eastAsia="宋体" w:cs="宋体"/>
          <w:color w:val="auto"/>
          <w:sz w:val="24"/>
          <w:lang w:val="en-US" w:eastAsia="zh-CN"/>
        </w:rPr>
        <w:t>GB50084-2017</w:t>
      </w:r>
      <w:r>
        <w:rPr>
          <w:rFonts w:hint="eastAsia" w:ascii="Times New Roman" w:hAnsi="Times New Roman" w:eastAsia="宋体" w:cs="宋体"/>
          <w:color w:val="auto"/>
          <w:sz w:val="24"/>
          <w:lang w:val="en-US" w:eastAsia="zh-CN"/>
        </w:rPr>
        <w:t>）；</w:t>
      </w:r>
    </w:p>
    <w:p w14:paraId="393D7F1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（5）《建设工程消防设计审查验收管理暂行规定》（住房和城乡建设部令第51号）；</w:t>
      </w:r>
    </w:p>
    <w:p w14:paraId="6C4E10C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（6）住房和城乡建设部关于修改《建设工程消防设计审查验收工作细则》并印发建设工程消防验收备案凭证、告知承诺文书式样的通知（建科规〔2024〕3号）</w:t>
      </w:r>
    </w:p>
    <w:p w14:paraId="17BFB63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（7）其他相关国家和地方标准规范。</w:t>
      </w:r>
    </w:p>
    <w:p w14:paraId="597C7140">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83" w:name="_Toc16956"/>
      <w:r>
        <w:rPr>
          <w:rFonts w:hint="eastAsia" w:ascii="Times New Roman" w:hAnsi="Times New Roman" w:eastAsia="宋体" w:cs="宋体"/>
          <w:b/>
          <w:bCs/>
          <w:color w:val="auto"/>
          <w:sz w:val="28"/>
          <w:szCs w:val="28"/>
          <w:lang w:val="en-US" w:eastAsia="zh-CN"/>
        </w:rPr>
        <w:t>7.2、总平面布局</w:t>
      </w:r>
      <w:bookmarkEnd w:id="83"/>
    </w:p>
    <w:p w14:paraId="30B4125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（1）本项目各建筑相互独立，且保持足够的防火间距，以防止火灾蔓延。</w:t>
      </w:r>
    </w:p>
    <w:p w14:paraId="5296353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（2）厂区内设置环形消防车道，宽度不小于4米，保证消防车能够顺利通行。</w:t>
      </w:r>
    </w:p>
    <w:p w14:paraId="4BBE009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（3）在厂区内设置室外消火栓，间距不大于1</w:t>
      </w:r>
      <w:r>
        <w:rPr>
          <w:rFonts w:hint="default" w:ascii="Times New Roman" w:hAnsi="Times New Roman" w:eastAsia="宋体" w:cs="宋体"/>
          <w:color w:val="auto"/>
          <w:sz w:val="24"/>
          <w:lang w:val="en-US" w:eastAsia="zh-CN"/>
        </w:rPr>
        <w:t>20</w:t>
      </w:r>
      <w:r>
        <w:rPr>
          <w:rFonts w:hint="eastAsia" w:ascii="Times New Roman" w:hAnsi="Times New Roman" w:eastAsia="宋体" w:cs="宋体"/>
          <w:color w:val="auto"/>
          <w:sz w:val="24"/>
          <w:lang w:val="en-US" w:eastAsia="zh-CN"/>
        </w:rPr>
        <w:t>米，确保在火灾发生时能够及时提供消防水源。</w:t>
      </w:r>
    </w:p>
    <w:p w14:paraId="5075EE5E">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84" w:name="_Toc19497"/>
      <w:r>
        <w:rPr>
          <w:rFonts w:hint="eastAsia" w:ascii="Times New Roman" w:hAnsi="Times New Roman" w:eastAsia="宋体" w:cs="宋体"/>
          <w:b/>
          <w:bCs/>
          <w:color w:val="auto"/>
          <w:sz w:val="28"/>
          <w:szCs w:val="28"/>
          <w:lang w:val="en-US" w:eastAsia="zh-CN"/>
        </w:rPr>
        <w:t>7.3、建筑防火设计</w:t>
      </w:r>
      <w:bookmarkEnd w:id="84"/>
    </w:p>
    <w:p w14:paraId="580FDE5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snapToGrid w:val="0"/>
          <w:color w:val="auto"/>
          <w:kern w:val="0"/>
          <w:sz w:val="24"/>
          <w:szCs w:val="30"/>
          <w:lang w:val="en-US" w:eastAsia="zh-CN" w:bidi="ar"/>
        </w:rPr>
        <w:t>（1</w:t>
      </w:r>
      <w:r>
        <w:rPr>
          <w:rFonts w:hint="eastAsia" w:ascii="Times New Roman" w:hAnsi="Times New Roman" w:eastAsia="宋体" w:cs="宋体"/>
          <w:color w:val="auto"/>
          <w:sz w:val="24"/>
          <w:lang w:val="en-US" w:eastAsia="zh-CN"/>
        </w:rPr>
        <w:t>）车间的建筑结构采用门式钢架结构，耐火等级为二级。厂内防火分区的面积不超过规定值。</w:t>
      </w:r>
    </w:p>
    <w:p w14:paraId="5E0EE43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（2）办公室的建筑结构采用轻钢结构，耐火等级为二级。办公区内设置疏散楼梯和安全出口，保证人员在火灾发生时能够安全疏散。</w:t>
      </w:r>
    </w:p>
    <w:p w14:paraId="11495807">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85" w:name="_Toc3673"/>
      <w:r>
        <w:rPr>
          <w:rFonts w:hint="eastAsia" w:ascii="Times New Roman" w:hAnsi="Times New Roman" w:eastAsia="宋体" w:cs="宋体"/>
          <w:b/>
          <w:bCs/>
          <w:color w:val="auto"/>
          <w:sz w:val="28"/>
          <w:szCs w:val="28"/>
          <w:lang w:val="en-US" w:eastAsia="zh-CN"/>
        </w:rPr>
        <w:t>7.4、消防设施设计</w:t>
      </w:r>
      <w:bookmarkEnd w:id="85"/>
    </w:p>
    <w:p w14:paraId="226E0B8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（1）消防给水系统</w:t>
      </w:r>
    </w:p>
    <w:p w14:paraId="0112EFD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厂区内设置环状消防给水管网。管网上设置室外消火栓和室内消火栓，室外消火栓间距不大于</w:t>
      </w:r>
      <w:r>
        <w:rPr>
          <w:rFonts w:hint="default" w:ascii="Times New Roman" w:hAnsi="Times New Roman" w:eastAsia="宋体" w:cs="宋体"/>
          <w:color w:val="auto"/>
          <w:sz w:val="24"/>
          <w:lang w:val="en-US" w:eastAsia="zh-CN"/>
        </w:rPr>
        <w:t>120</w:t>
      </w:r>
      <w:r>
        <w:rPr>
          <w:rFonts w:hint="eastAsia" w:ascii="Times New Roman" w:hAnsi="Times New Roman" w:eastAsia="宋体" w:cs="宋体"/>
          <w:color w:val="auto"/>
          <w:sz w:val="24"/>
          <w:lang w:val="en-US" w:eastAsia="zh-CN"/>
        </w:rPr>
        <w:t>米，室内消火栓间距不大于</w:t>
      </w:r>
      <w:r>
        <w:rPr>
          <w:rFonts w:hint="default" w:ascii="Times New Roman" w:hAnsi="Times New Roman" w:eastAsia="宋体" w:cs="宋体"/>
          <w:color w:val="auto"/>
          <w:sz w:val="24"/>
          <w:lang w:val="en-US" w:eastAsia="zh-CN"/>
        </w:rPr>
        <w:t>30</w:t>
      </w:r>
      <w:r>
        <w:rPr>
          <w:rFonts w:hint="eastAsia" w:ascii="Times New Roman" w:hAnsi="Times New Roman" w:eastAsia="宋体" w:cs="宋体"/>
          <w:color w:val="auto"/>
          <w:sz w:val="24"/>
          <w:lang w:val="en-US" w:eastAsia="zh-CN"/>
        </w:rPr>
        <w:t>米。</w:t>
      </w:r>
    </w:p>
    <w:p w14:paraId="51355D0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（2）火灾自动报警系统</w:t>
      </w:r>
    </w:p>
    <w:p w14:paraId="7697BD0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①本项目设置火灾自动报警系统，系统采用集中报警系统。</w:t>
      </w:r>
    </w:p>
    <w:p w14:paraId="2194C427">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②火灾报警控制器设置在值班室内，</w:t>
      </w:r>
      <w:r>
        <w:rPr>
          <w:rFonts w:hint="default" w:ascii="Times New Roman" w:hAnsi="Times New Roman" w:eastAsia="宋体" w:cs="宋体"/>
          <w:color w:val="auto"/>
          <w:sz w:val="24"/>
          <w:lang w:val="en-US" w:eastAsia="zh-CN"/>
        </w:rPr>
        <w:t>24</w:t>
      </w:r>
      <w:r>
        <w:rPr>
          <w:rFonts w:hint="eastAsia" w:ascii="Times New Roman" w:hAnsi="Times New Roman" w:eastAsia="宋体" w:cs="宋体"/>
          <w:color w:val="auto"/>
          <w:sz w:val="24"/>
          <w:lang w:val="en-US" w:eastAsia="zh-CN"/>
        </w:rPr>
        <w:t>小时值班。</w:t>
      </w:r>
    </w:p>
    <w:p w14:paraId="2732E647">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③火灾自动报警系统与消防水泵、排烟风机等消防设备联动，当火灾发生时，能够自动启动相应的消防设备。</w:t>
      </w:r>
    </w:p>
    <w:p w14:paraId="3069C620">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（3）消防电气系统</w:t>
      </w:r>
    </w:p>
    <w:p w14:paraId="0582333C">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本项目的消防用电设备采用双电源供电，主电源为工业园区供电，备用电源为柴油发电机。消防用电设备的配电线路采用耐火电缆，敷设在不燃烧体结构内。</w:t>
      </w:r>
    </w:p>
    <w:p w14:paraId="1C5C54F4">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86" w:name="_Toc24725"/>
      <w:r>
        <w:rPr>
          <w:rFonts w:hint="eastAsia" w:ascii="Times New Roman" w:hAnsi="Times New Roman" w:eastAsia="宋体" w:cs="宋体"/>
          <w:b/>
          <w:bCs/>
          <w:color w:val="auto"/>
          <w:sz w:val="28"/>
          <w:szCs w:val="28"/>
          <w:lang w:val="en-US" w:eastAsia="zh-CN"/>
        </w:rPr>
        <w:t>7.5、消防管理措施</w:t>
      </w:r>
      <w:bookmarkEnd w:id="86"/>
    </w:p>
    <w:p w14:paraId="18BBF51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（1）建立健全消防安全管理制度，明确消防安全责任，加强对员工的消防安全培训和教育。</w:t>
      </w:r>
    </w:p>
    <w:p w14:paraId="7DE22FB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（2）定期对消防设施进行维护和保养，确保消防设施的完好有效。</w:t>
      </w:r>
    </w:p>
    <w:p w14:paraId="5502CD6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（3）加强对重点区域的消防安全管理。</w:t>
      </w:r>
    </w:p>
    <w:p w14:paraId="3AD4148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（4）制定火灾应急预案，定期组织演练，提高员工的火灾应急处置能力。</w:t>
      </w:r>
    </w:p>
    <w:p w14:paraId="58B51EE6">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87" w:name="_Toc13673"/>
      <w:r>
        <w:rPr>
          <w:rFonts w:hint="eastAsia" w:ascii="Times New Roman" w:hAnsi="Times New Roman" w:eastAsia="宋体" w:cs="宋体"/>
          <w:b/>
          <w:bCs/>
          <w:color w:val="auto"/>
          <w:sz w:val="28"/>
          <w:szCs w:val="28"/>
          <w:lang w:val="en-US" w:eastAsia="zh-CN"/>
        </w:rPr>
        <w:t>7.6、结论</w:t>
      </w:r>
      <w:bookmarkEnd w:id="87"/>
    </w:p>
    <w:p w14:paraId="2201547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lang w:val="en-US" w:eastAsia="zh-CN"/>
        </w:rPr>
      </w:pPr>
      <w:r>
        <w:rPr>
          <w:rFonts w:hint="eastAsia" w:ascii="Times New Roman" w:hAnsi="Times New Roman" w:eastAsia="宋体" w:cs="宋体"/>
          <w:color w:val="auto"/>
          <w:sz w:val="24"/>
          <w:lang w:val="en-US" w:eastAsia="zh-CN"/>
        </w:rPr>
        <w:t>本项目的消防设计严格按照国家相关标准规范进行，采取了一系列的防火措施和消防设施，能够有效地预防和控制火灾的发生，保障人员生命财产安全。在项目建设过程中，应严格按照消防设计要求进行施工，确保消防设施的质量和性能。同时，在项目投入使用后，应加强消防安全管理，定期对消防设施进行维护和保养，确保消防设施的完好有效。</w:t>
      </w:r>
    </w:p>
    <w:p w14:paraId="1EDE1CC3">
      <w:pPr>
        <w:rPr>
          <w:rFonts w:hint="default" w:ascii="Times New Roman" w:hAnsi="Times New Roman" w:eastAsia="宋体" w:cs="宋体"/>
          <w:color w:val="auto"/>
          <w:lang w:val="en-US" w:eastAsia="zh-CN"/>
        </w:rPr>
      </w:pPr>
    </w:p>
    <w:p w14:paraId="31A1E9E3">
      <w:pPr>
        <w:rPr>
          <w:rFonts w:hint="default" w:ascii="Times New Roman" w:hAnsi="Times New Roman" w:eastAsia="宋体" w:cs="宋体"/>
          <w:color w:val="auto"/>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6CB32619">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jc w:val="center"/>
        <w:textAlignment w:val="baseline"/>
        <w:rPr>
          <w:rFonts w:hint="default" w:ascii="Times New Roman" w:hAnsi="Times New Roman" w:eastAsia="宋体" w:cs="宋体"/>
          <w:b/>
          <w:color w:val="auto"/>
          <w:sz w:val="30"/>
          <w:szCs w:val="30"/>
          <w:lang w:val="en-US" w:eastAsia="zh-CN"/>
        </w:rPr>
      </w:pPr>
      <w:bookmarkStart w:id="88" w:name="_Toc21122"/>
      <w:r>
        <w:rPr>
          <w:rFonts w:hint="eastAsia" w:ascii="Times New Roman" w:hAnsi="Times New Roman" w:eastAsia="宋体" w:cs="宋体"/>
          <w:b/>
          <w:color w:val="auto"/>
          <w:sz w:val="30"/>
          <w:szCs w:val="30"/>
          <w:lang w:val="en-US" w:eastAsia="zh-CN"/>
        </w:rPr>
        <w:t>第八章 给排水方案</w:t>
      </w:r>
      <w:bookmarkEnd w:id="88"/>
    </w:p>
    <w:p w14:paraId="113C29D4">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89" w:name="_Toc28143"/>
      <w:r>
        <w:rPr>
          <w:rFonts w:hint="eastAsia" w:ascii="Times New Roman" w:hAnsi="Times New Roman" w:eastAsia="宋体" w:cs="宋体"/>
          <w:b/>
          <w:bCs/>
          <w:color w:val="auto"/>
          <w:sz w:val="28"/>
          <w:szCs w:val="28"/>
          <w:lang w:val="en-US" w:eastAsia="zh-CN"/>
        </w:rPr>
        <w:t>8.1、设计依据</w:t>
      </w:r>
      <w:bookmarkEnd w:id="89"/>
    </w:p>
    <w:p w14:paraId="257A6FC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（1）《城镇给水排水技术规范》GB50788-2012；</w:t>
      </w:r>
    </w:p>
    <w:p w14:paraId="74915E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（2）《建筑给水排水设计规范》</w:t>
      </w:r>
      <w:r>
        <w:rPr>
          <w:rFonts w:hint="default" w:ascii="Times New Roman" w:hAnsi="Times New Roman" w:eastAsia="宋体" w:cs="宋体"/>
          <w:color w:val="auto"/>
          <w:sz w:val="24"/>
          <w:lang w:val="en-US" w:eastAsia="zh-CN"/>
        </w:rPr>
        <w:t>GB50015-2003</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2009</w:t>
      </w:r>
      <w:r>
        <w:rPr>
          <w:rFonts w:hint="eastAsia" w:ascii="Times New Roman" w:hAnsi="Times New Roman" w:eastAsia="宋体" w:cs="宋体"/>
          <w:color w:val="auto"/>
          <w:sz w:val="24"/>
          <w:lang w:val="en-US" w:eastAsia="zh-CN"/>
        </w:rPr>
        <w:t>年版）；</w:t>
      </w:r>
    </w:p>
    <w:p w14:paraId="759707C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（3）《建筑设计防火规范》</w:t>
      </w:r>
      <w:r>
        <w:rPr>
          <w:rFonts w:hint="default" w:ascii="Times New Roman" w:hAnsi="Times New Roman" w:eastAsia="宋体" w:cs="宋体"/>
          <w:color w:val="auto"/>
          <w:sz w:val="24"/>
          <w:lang w:val="en-US" w:eastAsia="zh-CN"/>
        </w:rPr>
        <w:t>GB50016-2014</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2018</w:t>
      </w:r>
      <w:r>
        <w:rPr>
          <w:rFonts w:hint="eastAsia" w:ascii="Times New Roman" w:hAnsi="Times New Roman" w:eastAsia="宋体" w:cs="宋体"/>
          <w:color w:val="auto"/>
          <w:sz w:val="24"/>
          <w:lang w:val="en-US" w:eastAsia="zh-CN"/>
        </w:rPr>
        <w:t>年版）；</w:t>
      </w:r>
    </w:p>
    <w:p w14:paraId="54E7996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（4）《消防给水及消火栓系统技术规范》</w:t>
      </w:r>
      <w:r>
        <w:rPr>
          <w:rFonts w:hint="default" w:ascii="Times New Roman" w:hAnsi="Times New Roman" w:eastAsia="宋体" w:cs="宋体"/>
          <w:color w:val="auto"/>
          <w:sz w:val="24"/>
          <w:lang w:val="en-US" w:eastAsia="zh-CN"/>
        </w:rPr>
        <w:t>GB50974-2014</w:t>
      </w:r>
      <w:r>
        <w:rPr>
          <w:rFonts w:hint="eastAsia" w:ascii="Times New Roman" w:hAnsi="Times New Roman" w:eastAsia="宋体" w:cs="宋体"/>
          <w:color w:val="auto"/>
          <w:sz w:val="24"/>
          <w:lang w:val="en-US" w:eastAsia="zh-CN"/>
        </w:rPr>
        <w:t>；</w:t>
      </w:r>
    </w:p>
    <w:p w14:paraId="0C435B9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（5）《自动喷水灭火系统设计规范》</w:t>
      </w:r>
      <w:r>
        <w:rPr>
          <w:rFonts w:hint="default" w:ascii="Times New Roman" w:hAnsi="Times New Roman" w:eastAsia="宋体" w:cs="宋体"/>
          <w:color w:val="auto"/>
          <w:sz w:val="24"/>
          <w:lang w:val="en-US" w:eastAsia="zh-CN"/>
        </w:rPr>
        <w:t>GB50084-2017</w:t>
      </w:r>
      <w:r>
        <w:rPr>
          <w:rFonts w:hint="eastAsia" w:ascii="Times New Roman" w:hAnsi="Times New Roman" w:eastAsia="宋体" w:cs="宋体"/>
          <w:color w:val="auto"/>
          <w:sz w:val="24"/>
          <w:lang w:val="en-US" w:eastAsia="zh-CN"/>
        </w:rPr>
        <w:t>；</w:t>
      </w:r>
    </w:p>
    <w:p w14:paraId="278FD06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（6）《建筑灭火器配置设计规范》</w:t>
      </w:r>
      <w:r>
        <w:rPr>
          <w:rFonts w:hint="default" w:ascii="Times New Roman" w:hAnsi="Times New Roman" w:eastAsia="宋体" w:cs="宋体"/>
          <w:color w:val="auto"/>
          <w:sz w:val="24"/>
          <w:lang w:val="en-US" w:eastAsia="zh-CN"/>
        </w:rPr>
        <w:t>GB50140-2005</w:t>
      </w:r>
      <w:r>
        <w:rPr>
          <w:rFonts w:hint="eastAsia" w:ascii="Times New Roman" w:hAnsi="Times New Roman" w:eastAsia="宋体" w:cs="宋体"/>
          <w:color w:val="auto"/>
          <w:sz w:val="24"/>
          <w:lang w:val="en-US" w:eastAsia="zh-CN"/>
        </w:rPr>
        <w:t>；</w:t>
      </w:r>
    </w:p>
    <w:p w14:paraId="07FA7E0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（7）《建筑与小区雨水控制及利用工程技术规范》</w:t>
      </w:r>
      <w:r>
        <w:rPr>
          <w:rFonts w:hint="default" w:ascii="Times New Roman" w:hAnsi="Times New Roman" w:eastAsia="宋体" w:cs="宋体"/>
          <w:color w:val="auto"/>
          <w:sz w:val="24"/>
          <w:lang w:val="en-US" w:eastAsia="zh-CN"/>
        </w:rPr>
        <w:t>GB50400-2016</w:t>
      </w:r>
      <w:r>
        <w:rPr>
          <w:rFonts w:hint="eastAsia" w:ascii="Times New Roman" w:hAnsi="Times New Roman" w:eastAsia="宋体" w:cs="宋体"/>
          <w:color w:val="auto"/>
          <w:sz w:val="24"/>
          <w:lang w:val="en-US" w:eastAsia="zh-CN"/>
        </w:rPr>
        <w:t>；</w:t>
      </w:r>
    </w:p>
    <w:p w14:paraId="09EE779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有关本专业其他设计规范和行业对本专业设计要求。</w:t>
      </w:r>
    </w:p>
    <w:p w14:paraId="43DC2090">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90" w:name="_Toc13103"/>
      <w:r>
        <w:rPr>
          <w:rFonts w:hint="eastAsia" w:ascii="Times New Roman" w:hAnsi="Times New Roman" w:eastAsia="宋体" w:cs="宋体"/>
          <w:b/>
          <w:bCs/>
          <w:color w:val="auto"/>
          <w:sz w:val="28"/>
          <w:szCs w:val="28"/>
          <w:lang w:val="en-US" w:eastAsia="zh-CN"/>
        </w:rPr>
        <w:t>8.2、室外给水设计</w:t>
      </w:r>
      <w:bookmarkEnd w:id="90"/>
    </w:p>
    <w:p w14:paraId="6BB710D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（1）水源及水压</w:t>
      </w:r>
    </w:p>
    <w:p w14:paraId="28D5448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供水水源为工业园区供水管网，工业园区管网水压水量能保证该项目的生活用水。</w:t>
      </w:r>
    </w:p>
    <w:p w14:paraId="4377D5C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（2）室外给水系统</w:t>
      </w:r>
    </w:p>
    <w:p w14:paraId="75287B0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从该项目区东侧工业园区引入De150给水管，通过带倒流防止器水表井后供本项目生活及消防用水。项目室外设消防水池一座，储存室内、室外消防用水，通过地下水泵房内的消防水泵加压供给。</w:t>
      </w:r>
    </w:p>
    <w:p w14:paraId="33CBBD2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厂区内生活给水系统以枝状布置，供消防水池及建筑内用水。</w:t>
      </w:r>
    </w:p>
    <w:p w14:paraId="5036AC5D">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91" w:name="_Toc3527"/>
      <w:r>
        <w:rPr>
          <w:rFonts w:hint="eastAsia" w:ascii="Times New Roman" w:hAnsi="Times New Roman" w:eastAsia="宋体" w:cs="宋体"/>
          <w:b/>
          <w:bCs/>
          <w:color w:val="auto"/>
          <w:sz w:val="28"/>
          <w:szCs w:val="28"/>
          <w:lang w:val="en-US" w:eastAsia="zh-CN"/>
        </w:rPr>
        <w:t>8.3、室内给水设计</w:t>
      </w:r>
      <w:bookmarkEnd w:id="91"/>
    </w:p>
    <w:p w14:paraId="67705E5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（1）冷水系统</w:t>
      </w:r>
    </w:p>
    <w:p w14:paraId="6C6F0D9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冷水系统竖向不分区，由厂区内生活给水管网供给。</w:t>
      </w:r>
    </w:p>
    <w:p w14:paraId="49C3E6E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（二）消防系统</w:t>
      </w:r>
    </w:p>
    <w:p w14:paraId="4C32F2D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本项目设置室内、室外消火栓系统，在泵房内设有室内消火栓泵、室外消火栓泵。</w:t>
      </w:r>
    </w:p>
    <w:p w14:paraId="5E95E8E9">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灭火器配置：火灾等级为中危险级，配置手提式磷酸铵盐干粉灭火器MF/ABC3（充装量为</w:t>
      </w:r>
      <w:r>
        <w:rPr>
          <w:rFonts w:hint="default" w:ascii="Times New Roman" w:hAnsi="Times New Roman" w:eastAsia="宋体" w:cs="宋体"/>
          <w:color w:val="auto"/>
          <w:sz w:val="24"/>
          <w:lang w:val="en-US" w:eastAsia="zh-CN"/>
        </w:rPr>
        <w:t>3kg</w:t>
      </w:r>
      <w:r>
        <w:rPr>
          <w:rFonts w:hint="eastAsia" w:ascii="Times New Roman" w:hAnsi="Times New Roman" w:eastAsia="宋体" w:cs="宋体"/>
          <w:color w:val="auto"/>
          <w:sz w:val="24"/>
          <w:lang w:val="en-US" w:eastAsia="zh-CN"/>
        </w:rPr>
        <w:t>），单具灭火级别为</w:t>
      </w:r>
      <w:r>
        <w:rPr>
          <w:rFonts w:hint="default" w:ascii="Times New Roman" w:hAnsi="Times New Roman" w:eastAsia="宋体" w:cs="宋体"/>
          <w:color w:val="auto"/>
          <w:sz w:val="24"/>
          <w:lang w:val="en-US" w:eastAsia="zh-CN"/>
        </w:rPr>
        <w:t>2A</w:t>
      </w:r>
      <w:r>
        <w:rPr>
          <w:rFonts w:hint="eastAsia" w:ascii="Times New Roman" w:hAnsi="Times New Roman" w:eastAsia="宋体" w:cs="宋体"/>
          <w:color w:val="auto"/>
          <w:sz w:val="24"/>
          <w:lang w:val="en-US" w:eastAsia="zh-CN"/>
        </w:rPr>
        <w:t>，置于灭火器箱内。</w:t>
      </w:r>
    </w:p>
    <w:p w14:paraId="513B00B1">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92" w:name="_Toc27685"/>
      <w:r>
        <w:rPr>
          <w:rFonts w:hint="eastAsia" w:ascii="Times New Roman" w:hAnsi="Times New Roman" w:eastAsia="宋体" w:cs="宋体"/>
          <w:b/>
          <w:bCs/>
          <w:color w:val="auto"/>
          <w:sz w:val="28"/>
          <w:szCs w:val="28"/>
          <w:lang w:val="en-US" w:eastAsia="zh-CN"/>
        </w:rPr>
        <w:t>8.4、室外排水设计</w:t>
      </w:r>
      <w:bookmarkEnd w:id="92"/>
    </w:p>
    <w:p w14:paraId="4C843DC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（1）污水</w:t>
      </w:r>
    </w:p>
    <w:p w14:paraId="4867540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本工程采用污水与雨水分流排放。将污水收集经化粪池等处理后排至黑膜氧化池发酵后资源利用（还田）。</w:t>
      </w:r>
    </w:p>
    <w:p w14:paraId="53702DB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（2）雨水</w:t>
      </w:r>
    </w:p>
    <w:p w14:paraId="49DE386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地面雨水经雨水口收集后排入雨水收集池。</w:t>
      </w:r>
    </w:p>
    <w:p w14:paraId="5BF0B812">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93" w:name="_Toc32528"/>
      <w:r>
        <w:rPr>
          <w:rFonts w:hint="eastAsia" w:ascii="Times New Roman" w:hAnsi="Times New Roman" w:eastAsia="宋体" w:cs="宋体"/>
          <w:b/>
          <w:bCs/>
          <w:color w:val="auto"/>
          <w:sz w:val="28"/>
          <w:szCs w:val="28"/>
          <w:lang w:val="en-US" w:eastAsia="zh-CN"/>
        </w:rPr>
        <w:t>8.5、室内排水设计</w:t>
      </w:r>
      <w:bookmarkEnd w:id="93"/>
    </w:p>
    <w:p w14:paraId="3C6BD15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（1）生活污水排水系统</w:t>
      </w:r>
    </w:p>
    <w:p w14:paraId="5DBECBE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生活污水排水采用伸顶通气立管，将污水收集后排至室外化粪池。</w:t>
      </w:r>
    </w:p>
    <w:p w14:paraId="6431042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（2）屋面排水</w:t>
      </w:r>
    </w:p>
    <w:p w14:paraId="17BAA30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屋面雨水采用内落式重力流雨水排水系统，由雨水斗收集经雨水管道排至室外建筑散水再进入雨水收集池。</w:t>
      </w:r>
    </w:p>
    <w:p w14:paraId="73B33952">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94" w:name="_Toc4843"/>
      <w:r>
        <w:rPr>
          <w:rFonts w:hint="eastAsia" w:ascii="Times New Roman" w:hAnsi="Times New Roman" w:eastAsia="宋体" w:cs="宋体"/>
          <w:b/>
          <w:bCs/>
          <w:color w:val="auto"/>
          <w:sz w:val="28"/>
          <w:szCs w:val="28"/>
          <w:lang w:val="en-US" w:eastAsia="zh-CN"/>
        </w:rPr>
        <w:t>8.6、管材</w:t>
      </w:r>
      <w:bookmarkEnd w:id="94"/>
    </w:p>
    <w:p w14:paraId="0D129A8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（1）给水管道</w:t>
      </w:r>
    </w:p>
    <w:p w14:paraId="2B3D55E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生活给水管采用PP-R管及配套管件。</w:t>
      </w:r>
    </w:p>
    <w:p w14:paraId="3869381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（2）消防管道</w:t>
      </w:r>
    </w:p>
    <w:p w14:paraId="051E563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室内外消防管道采用热浸镀锌钢管及配套管件。</w:t>
      </w:r>
    </w:p>
    <w:p w14:paraId="77B9410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（3）排水管道</w:t>
      </w:r>
    </w:p>
    <w:p w14:paraId="76E6370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①室内排水立管采用</w:t>
      </w:r>
      <w:r>
        <w:rPr>
          <w:rFonts w:hint="default" w:ascii="Times New Roman" w:hAnsi="Times New Roman" w:eastAsia="宋体" w:cs="宋体"/>
          <w:color w:val="auto"/>
          <w:sz w:val="24"/>
          <w:lang w:val="en-US" w:eastAsia="zh-CN"/>
        </w:rPr>
        <w:t>PVC-U</w:t>
      </w:r>
      <w:r>
        <w:rPr>
          <w:rFonts w:hint="eastAsia" w:ascii="Times New Roman" w:hAnsi="Times New Roman" w:eastAsia="宋体" w:cs="宋体"/>
          <w:color w:val="auto"/>
          <w:sz w:val="24"/>
          <w:lang w:val="en-US" w:eastAsia="zh-CN"/>
        </w:rPr>
        <w:t>双壁中空内螺旋消音塑料管，其余采用</w:t>
      </w:r>
      <w:r>
        <w:rPr>
          <w:rFonts w:hint="default" w:ascii="Times New Roman" w:hAnsi="Times New Roman" w:eastAsia="宋体" w:cs="宋体"/>
          <w:color w:val="auto"/>
          <w:sz w:val="24"/>
          <w:lang w:val="en-US" w:eastAsia="zh-CN"/>
        </w:rPr>
        <w:t>PVC-U</w:t>
      </w:r>
      <w:r>
        <w:rPr>
          <w:rFonts w:hint="eastAsia" w:ascii="Times New Roman" w:hAnsi="Times New Roman" w:eastAsia="宋体" w:cs="宋体"/>
          <w:color w:val="auto"/>
          <w:sz w:val="24"/>
          <w:lang w:val="en-US" w:eastAsia="zh-CN"/>
        </w:rPr>
        <w:t>塑料管。</w:t>
      </w:r>
    </w:p>
    <w:p w14:paraId="5C13B78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②室外雨、污水管道：各建筑出户管采用</w:t>
      </w:r>
      <w:r>
        <w:rPr>
          <w:rFonts w:hint="default" w:ascii="Times New Roman" w:hAnsi="Times New Roman" w:eastAsia="宋体" w:cs="宋体"/>
          <w:color w:val="auto"/>
          <w:sz w:val="24"/>
          <w:lang w:val="en-US" w:eastAsia="zh-CN"/>
        </w:rPr>
        <w:t>UPVC</w:t>
      </w:r>
      <w:r>
        <w:rPr>
          <w:rFonts w:hint="eastAsia" w:ascii="Times New Roman" w:hAnsi="Times New Roman" w:eastAsia="宋体" w:cs="宋体"/>
          <w:color w:val="auto"/>
          <w:sz w:val="24"/>
          <w:lang w:val="en-US" w:eastAsia="zh-CN"/>
        </w:rPr>
        <w:t>埋地排水管，其余采用高密度聚乙烯双壁波纹管。</w:t>
      </w:r>
    </w:p>
    <w:p w14:paraId="3064F963">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95" w:name="_Toc11632"/>
      <w:r>
        <w:rPr>
          <w:rFonts w:hint="eastAsia" w:ascii="Times New Roman" w:hAnsi="Times New Roman" w:eastAsia="宋体" w:cs="宋体"/>
          <w:b/>
          <w:bCs/>
          <w:color w:val="auto"/>
          <w:sz w:val="28"/>
          <w:szCs w:val="28"/>
          <w:lang w:val="en-US" w:eastAsia="zh-CN"/>
        </w:rPr>
        <w:t>8.7、节水节能措施</w:t>
      </w:r>
      <w:bookmarkEnd w:id="95"/>
    </w:p>
    <w:p w14:paraId="08034F7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（1）节能措施</w:t>
      </w:r>
    </w:p>
    <w:p w14:paraId="4A85ED8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采用节水型工艺和设备，提高水资源利用率，降低水源无效消耗。</w:t>
      </w:r>
    </w:p>
    <w:p w14:paraId="4F9BED0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（2）节水措施</w:t>
      </w:r>
    </w:p>
    <w:p w14:paraId="36CBA6E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①选用节水型卫生洁具及配水件。蹲式大便器采用一次冲洗水量不大于</w:t>
      </w:r>
      <w:r>
        <w:rPr>
          <w:rFonts w:hint="default" w:ascii="Times New Roman" w:hAnsi="Times New Roman" w:eastAsia="宋体" w:cs="宋体"/>
          <w:color w:val="auto"/>
          <w:sz w:val="24"/>
          <w:lang w:val="en-US" w:eastAsia="zh-CN"/>
        </w:rPr>
        <w:t>4L</w:t>
      </w:r>
      <w:r>
        <w:rPr>
          <w:rFonts w:hint="eastAsia" w:ascii="Times New Roman" w:hAnsi="Times New Roman" w:eastAsia="宋体" w:cs="宋体"/>
          <w:color w:val="auto"/>
          <w:sz w:val="24"/>
          <w:lang w:val="en-US" w:eastAsia="zh-CN"/>
        </w:rPr>
        <w:t>的产品。</w:t>
      </w:r>
    </w:p>
    <w:p w14:paraId="7A4A9C1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②公共卫生间采用感应式水嘴洗脸盆和感应式小便器冲洗阀。</w:t>
      </w:r>
    </w:p>
    <w:p w14:paraId="166F5D4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③各建筑物均采用水表计量核算。</w:t>
      </w:r>
    </w:p>
    <w:p w14:paraId="3F7E6D2F">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96" w:name="_Toc26579"/>
      <w:r>
        <w:rPr>
          <w:rFonts w:hint="eastAsia" w:ascii="Times New Roman" w:hAnsi="Times New Roman" w:eastAsia="宋体" w:cs="宋体"/>
          <w:b/>
          <w:bCs/>
          <w:color w:val="auto"/>
          <w:sz w:val="28"/>
          <w:szCs w:val="28"/>
          <w:lang w:val="en-US" w:eastAsia="zh-CN"/>
        </w:rPr>
        <w:t>8.8、环境保护措施</w:t>
      </w:r>
      <w:bookmarkEnd w:id="96"/>
    </w:p>
    <w:p w14:paraId="632D43A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①给水支管的水流速度选用不超过</w:t>
      </w:r>
      <w:r>
        <w:rPr>
          <w:rFonts w:hint="default" w:ascii="Times New Roman" w:hAnsi="Times New Roman" w:eastAsia="宋体" w:cs="宋体"/>
          <w:color w:val="auto"/>
          <w:sz w:val="24"/>
          <w:lang w:val="en-US" w:eastAsia="zh-CN"/>
        </w:rPr>
        <w:t>1.0m/s</w:t>
      </w:r>
      <w:r>
        <w:rPr>
          <w:rFonts w:hint="eastAsia" w:ascii="Times New Roman" w:hAnsi="Times New Roman" w:eastAsia="宋体" w:cs="宋体"/>
          <w:color w:val="auto"/>
          <w:sz w:val="24"/>
          <w:lang w:val="en-US" w:eastAsia="zh-CN"/>
        </w:rPr>
        <w:t>，防止水流噪声的产生。</w:t>
      </w:r>
    </w:p>
    <w:p w14:paraId="7F75BEB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②水泵吸水管、出水管设置可曲挠橡胶接头和弹性吊、支架，减少噪声及振动传递。水泵出水管止回阀，减少噪音和防止水锤。</w:t>
      </w:r>
    </w:p>
    <w:p w14:paraId="14D5ED9D">
      <w:pPr>
        <w:rPr>
          <w:rFonts w:hint="default" w:ascii="Times New Roman" w:hAnsi="Times New Roman" w:eastAsia="宋体" w:cs="宋体"/>
          <w:color w:val="auto"/>
          <w:lang w:val="en-US" w:eastAsia="zh-CN"/>
        </w:rPr>
      </w:pPr>
    </w:p>
    <w:p w14:paraId="13886EFC">
      <w:pPr>
        <w:rPr>
          <w:rFonts w:hint="default" w:ascii="Times New Roman" w:hAnsi="Times New Roman" w:eastAsia="宋体" w:cs="宋体"/>
          <w:color w:val="auto"/>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58449E51">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jc w:val="center"/>
        <w:textAlignment w:val="baseline"/>
        <w:rPr>
          <w:rFonts w:hint="default" w:ascii="Times New Roman" w:hAnsi="Times New Roman" w:eastAsia="宋体" w:cs="宋体"/>
          <w:b/>
          <w:color w:val="auto"/>
          <w:sz w:val="30"/>
          <w:szCs w:val="30"/>
          <w:lang w:val="en-US" w:eastAsia="zh-CN"/>
        </w:rPr>
      </w:pPr>
      <w:bookmarkStart w:id="97" w:name="_Toc13896"/>
      <w:r>
        <w:rPr>
          <w:rFonts w:hint="eastAsia" w:ascii="Times New Roman" w:hAnsi="Times New Roman" w:eastAsia="宋体" w:cs="宋体"/>
          <w:b/>
          <w:color w:val="auto"/>
          <w:sz w:val="30"/>
          <w:szCs w:val="30"/>
          <w:lang w:val="en-US" w:eastAsia="zh-CN"/>
        </w:rPr>
        <w:t>第九章 暖通设计方案</w:t>
      </w:r>
      <w:bookmarkEnd w:id="97"/>
    </w:p>
    <w:p w14:paraId="5A5B9079">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98" w:name="_Toc16315"/>
      <w:r>
        <w:rPr>
          <w:rFonts w:hint="eastAsia" w:ascii="Times New Roman" w:hAnsi="Times New Roman" w:eastAsia="宋体" w:cs="宋体"/>
          <w:b/>
          <w:bCs/>
          <w:color w:val="auto"/>
          <w:sz w:val="28"/>
          <w:szCs w:val="28"/>
          <w:lang w:val="en-US" w:eastAsia="zh-CN"/>
        </w:rPr>
        <w:t>9.1、设计依据</w:t>
      </w:r>
      <w:bookmarkEnd w:id="98"/>
    </w:p>
    <w:p w14:paraId="10FEEB3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（1）《严寒和寒冷地区居住建筑节能设计标准》</w:t>
      </w:r>
      <w:r>
        <w:rPr>
          <w:rFonts w:hint="default" w:ascii="Times New Roman" w:hAnsi="Times New Roman" w:eastAsia="宋体" w:cs="宋体"/>
          <w:color w:val="auto"/>
          <w:sz w:val="24"/>
          <w:lang w:val="en-US" w:eastAsia="zh-CN"/>
        </w:rPr>
        <w:t>JGJ26-2018</w:t>
      </w:r>
      <w:r>
        <w:rPr>
          <w:rFonts w:hint="eastAsia" w:ascii="Times New Roman" w:hAnsi="Times New Roman" w:eastAsia="宋体" w:cs="宋体"/>
          <w:color w:val="auto"/>
          <w:sz w:val="24"/>
          <w:lang w:val="en-US" w:eastAsia="zh-CN"/>
        </w:rPr>
        <w:t>；</w:t>
      </w:r>
    </w:p>
    <w:p w14:paraId="6FAD406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（2）《建筑设计规范》</w:t>
      </w:r>
      <w:r>
        <w:rPr>
          <w:rFonts w:hint="default" w:ascii="Times New Roman" w:hAnsi="Times New Roman" w:eastAsia="宋体" w:cs="宋体"/>
          <w:color w:val="auto"/>
          <w:sz w:val="24"/>
          <w:lang w:val="en-US" w:eastAsia="zh-CN"/>
        </w:rPr>
        <w:t>JGJ36-2016</w:t>
      </w:r>
      <w:r>
        <w:rPr>
          <w:rFonts w:hint="eastAsia" w:ascii="Times New Roman" w:hAnsi="Times New Roman" w:eastAsia="宋体" w:cs="宋体"/>
          <w:color w:val="auto"/>
          <w:sz w:val="24"/>
          <w:lang w:val="en-US" w:eastAsia="zh-CN"/>
        </w:rPr>
        <w:t>；</w:t>
      </w:r>
    </w:p>
    <w:p w14:paraId="0C14A2B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（3）《建筑设计防火规范》（</w:t>
      </w:r>
      <w:r>
        <w:rPr>
          <w:rFonts w:hint="default" w:ascii="Times New Roman" w:hAnsi="Times New Roman" w:eastAsia="宋体" w:cs="宋体"/>
          <w:color w:val="auto"/>
          <w:sz w:val="24"/>
          <w:lang w:val="en-US" w:eastAsia="zh-CN"/>
        </w:rPr>
        <w:t>GB50016-2014</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2018</w:t>
      </w:r>
      <w:r>
        <w:rPr>
          <w:rFonts w:hint="eastAsia" w:ascii="Times New Roman" w:hAnsi="Times New Roman" w:eastAsia="宋体" w:cs="宋体"/>
          <w:color w:val="auto"/>
          <w:sz w:val="24"/>
          <w:lang w:val="en-US" w:eastAsia="zh-CN"/>
        </w:rPr>
        <w:t>年版；</w:t>
      </w:r>
    </w:p>
    <w:p w14:paraId="44B3822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（4）《民用建筑供暖通风与空气调节设计规范》（</w:t>
      </w:r>
      <w:r>
        <w:rPr>
          <w:rFonts w:hint="default" w:ascii="Times New Roman" w:hAnsi="Times New Roman" w:eastAsia="宋体" w:cs="宋体"/>
          <w:color w:val="auto"/>
          <w:sz w:val="24"/>
          <w:lang w:val="en-US" w:eastAsia="zh-CN"/>
        </w:rPr>
        <w:t>GB50736--2012</w:t>
      </w:r>
      <w:r>
        <w:rPr>
          <w:rFonts w:hint="eastAsia" w:ascii="Times New Roman" w:hAnsi="Times New Roman" w:eastAsia="宋体" w:cs="宋体"/>
          <w:color w:val="auto"/>
          <w:sz w:val="24"/>
          <w:lang w:val="en-US" w:eastAsia="zh-CN"/>
        </w:rPr>
        <w:t>）；</w:t>
      </w:r>
    </w:p>
    <w:p w14:paraId="01942A9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（5）《辐射供暖供冷技术规程》</w:t>
      </w:r>
      <w:r>
        <w:rPr>
          <w:rFonts w:hint="default" w:ascii="Times New Roman" w:hAnsi="Times New Roman" w:eastAsia="宋体" w:cs="宋体"/>
          <w:color w:val="auto"/>
          <w:sz w:val="24"/>
          <w:lang w:val="en-US" w:eastAsia="zh-CN"/>
        </w:rPr>
        <w:t>JGJ142-2012</w:t>
      </w:r>
      <w:r>
        <w:rPr>
          <w:rFonts w:hint="eastAsia" w:ascii="Times New Roman" w:hAnsi="Times New Roman" w:eastAsia="宋体" w:cs="宋体"/>
          <w:color w:val="auto"/>
          <w:sz w:val="24"/>
          <w:lang w:val="en-US" w:eastAsia="zh-CN"/>
        </w:rPr>
        <w:t>；</w:t>
      </w:r>
    </w:p>
    <w:p w14:paraId="4C5905C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（6）《民用建筑集中采暖供热计量技术规程》</w:t>
      </w:r>
      <w:r>
        <w:rPr>
          <w:rFonts w:hint="default" w:ascii="Times New Roman" w:hAnsi="Times New Roman" w:eastAsia="宋体" w:cs="宋体"/>
          <w:color w:val="auto"/>
          <w:sz w:val="24"/>
          <w:lang w:val="en-US" w:eastAsia="zh-CN"/>
        </w:rPr>
        <w:t>DB62/T25-3044-2009</w:t>
      </w:r>
      <w:r>
        <w:rPr>
          <w:rFonts w:hint="eastAsia" w:ascii="Times New Roman" w:hAnsi="Times New Roman" w:eastAsia="宋体" w:cs="宋体"/>
          <w:color w:val="auto"/>
          <w:sz w:val="24"/>
          <w:lang w:val="en-US" w:eastAsia="zh-CN"/>
        </w:rPr>
        <w:t>；</w:t>
      </w:r>
    </w:p>
    <w:p w14:paraId="2209A00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（7）《供热计量技术规程》</w:t>
      </w:r>
      <w:r>
        <w:rPr>
          <w:rFonts w:hint="default" w:ascii="Times New Roman" w:hAnsi="Times New Roman" w:eastAsia="宋体" w:cs="宋体"/>
          <w:color w:val="auto"/>
          <w:sz w:val="24"/>
          <w:lang w:val="en-US" w:eastAsia="zh-CN"/>
        </w:rPr>
        <w:t>JGJ173-2009</w:t>
      </w:r>
      <w:r>
        <w:rPr>
          <w:rFonts w:hint="eastAsia" w:ascii="Times New Roman" w:hAnsi="Times New Roman" w:eastAsia="宋体" w:cs="宋体"/>
          <w:color w:val="auto"/>
          <w:sz w:val="24"/>
          <w:lang w:val="en-US" w:eastAsia="zh-CN"/>
        </w:rPr>
        <w:t>；</w:t>
      </w:r>
    </w:p>
    <w:p w14:paraId="4665DCD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（8）《建筑机电工程抗震设计规范》（</w:t>
      </w:r>
      <w:r>
        <w:rPr>
          <w:rFonts w:hint="default" w:ascii="Times New Roman" w:hAnsi="Times New Roman" w:eastAsia="宋体" w:cs="宋体"/>
          <w:color w:val="auto"/>
          <w:sz w:val="24"/>
          <w:lang w:val="en-US" w:eastAsia="zh-CN"/>
        </w:rPr>
        <w:t>GB50981-2014</w:t>
      </w:r>
      <w:r>
        <w:rPr>
          <w:rFonts w:hint="eastAsia" w:ascii="Times New Roman" w:hAnsi="Times New Roman" w:eastAsia="宋体" w:cs="宋体"/>
          <w:color w:val="auto"/>
          <w:sz w:val="24"/>
          <w:lang w:val="en-US" w:eastAsia="zh-CN"/>
        </w:rPr>
        <w:t>）；</w:t>
      </w:r>
    </w:p>
    <w:p w14:paraId="3A905AA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（9）《绿色建筑评价标准》（</w:t>
      </w:r>
      <w:r>
        <w:rPr>
          <w:rFonts w:hint="default" w:ascii="Times New Roman" w:hAnsi="Times New Roman" w:eastAsia="宋体" w:cs="宋体"/>
          <w:color w:val="auto"/>
          <w:sz w:val="24"/>
          <w:lang w:val="en-US" w:eastAsia="zh-CN"/>
        </w:rPr>
        <w:t>GB/T50378-2014</w:t>
      </w:r>
      <w:r>
        <w:rPr>
          <w:rFonts w:hint="eastAsia" w:ascii="Times New Roman" w:hAnsi="Times New Roman" w:eastAsia="宋体" w:cs="宋体"/>
          <w:color w:val="auto"/>
          <w:sz w:val="24"/>
          <w:lang w:val="en-US" w:eastAsia="zh-CN"/>
        </w:rPr>
        <w:t>）；</w:t>
      </w:r>
    </w:p>
    <w:p w14:paraId="53598F4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（10）《民用建筑绿色设计规范》（</w:t>
      </w:r>
      <w:r>
        <w:rPr>
          <w:rFonts w:hint="default" w:ascii="Times New Roman" w:hAnsi="Times New Roman" w:eastAsia="宋体" w:cs="宋体"/>
          <w:color w:val="auto"/>
          <w:sz w:val="24"/>
          <w:lang w:val="en-US" w:eastAsia="zh-CN"/>
        </w:rPr>
        <w:t>JGJ/T229-2010</w:t>
      </w:r>
      <w:r>
        <w:rPr>
          <w:rFonts w:hint="eastAsia" w:ascii="Times New Roman" w:hAnsi="Times New Roman" w:eastAsia="宋体" w:cs="宋体"/>
          <w:color w:val="auto"/>
          <w:sz w:val="24"/>
          <w:lang w:val="en-US" w:eastAsia="zh-CN"/>
        </w:rPr>
        <w:t>）；</w:t>
      </w:r>
    </w:p>
    <w:p w14:paraId="1F6638D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（11）《建筑防烟排烟系统技术标准》</w:t>
      </w:r>
      <w:r>
        <w:rPr>
          <w:rFonts w:hint="default" w:ascii="Times New Roman" w:hAnsi="Times New Roman" w:eastAsia="宋体" w:cs="宋体"/>
          <w:color w:val="auto"/>
          <w:sz w:val="24"/>
          <w:lang w:val="en-US" w:eastAsia="zh-CN"/>
        </w:rPr>
        <w:t>GB51251-2017</w:t>
      </w:r>
      <w:r>
        <w:rPr>
          <w:rFonts w:hint="eastAsia" w:ascii="Times New Roman" w:hAnsi="Times New Roman" w:eastAsia="宋体" w:cs="宋体"/>
          <w:color w:val="auto"/>
          <w:sz w:val="24"/>
          <w:lang w:val="en-US" w:eastAsia="zh-CN"/>
        </w:rPr>
        <w:t>；</w:t>
      </w:r>
    </w:p>
    <w:p w14:paraId="3FD85A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（12）《建筑工程设计文件编制深度规定》</w:t>
      </w:r>
      <w:r>
        <w:rPr>
          <w:rFonts w:hint="default" w:ascii="Times New Roman" w:hAnsi="Times New Roman" w:eastAsia="宋体" w:cs="宋体"/>
          <w:color w:val="auto"/>
          <w:sz w:val="24"/>
          <w:lang w:val="en-US" w:eastAsia="zh-CN"/>
        </w:rPr>
        <w:t>2016</w:t>
      </w:r>
      <w:r>
        <w:rPr>
          <w:rFonts w:hint="eastAsia" w:ascii="Times New Roman" w:hAnsi="Times New Roman" w:eastAsia="宋体" w:cs="宋体"/>
          <w:color w:val="auto"/>
          <w:sz w:val="24"/>
          <w:lang w:val="en-US" w:eastAsia="zh-CN"/>
        </w:rPr>
        <w:t>年版；</w:t>
      </w:r>
    </w:p>
    <w:p w14:paraId="42E285B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（13）《办公建筑设计标准》</w:t>
      </w:r>
      <w:r>
        <w:rPr>
          <w:rFonts w:hint="default" w:ascii="Times New Roman" w:hAnsi="Times New Roman" w:eastAsia="宋体" w:cs="宋体"/>
          <w:color w:val="auto"/>
          <w:sz w:val="24"/>
          <w:lang w:val="en-US" w:eastAsia="zh-CN"/>
        </w:rPr>
        <w:t>JGJ/T67-2019</w:t>
      </w:r>
      <w:r>
        <w:rPr>
          <w:rFonts w:hint="eastAsia" w:ascii="Times New Roman" w:hAnsi="Times New Roman" w:eastAsia="宋体" w:cs="宋体"/>
          <w:color w:val="auto"/>
          <w:sz w:val="24"/>
          <w:lang w:val="en-US" w:eastAsia="zh-CN"/>
        </w:rPr>
        <w:t>；</w:t>
      </w:r>
    </w:p>
    <w:p w14:paraId="02EA973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（14）《饮食建筑设计标准》</w:t>
      </w:r>
      <w:r>
        <w:rPr>
          <w:rFonts w:hint="default" w:ascii="Times New Roman" w:hAnsi="Times New Roman" w:eastAsia="宋体" w:cs="宋体"/>
          <w:color w:val="auto"/>
          <w:sz w:val="24"/>
          <w:lang w:val="en-US" w:eastAsia="zh-CN"/>
        </w:rPr>
        <w:t>JGJ64-2017</w:t>
      </w:r>
      <w:r>
        <w:rPr>
          <w:rFonts w:hint="eastAsia" w:ascii="Times New Roman" w:hAnsi="Times New Roman" w:eastAsia="宋体" w:cs="宋体"/>
          <w:color w:val="auto"/>
          <w:sz w:val="24"/>
          <w:lang w:val="en-US" w:eastAsia="zh-CN"/>
        </w:rPr>
        <w:t>；</w:t>
      </w:r>
    </w:p>
    <w:p w14:paraId="7984D3D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（15）《公寓建筑设计标准》</w:t>
      </w:r>
      <w:r>
        <w:rPr>
          <w:rFonts w:hint="default" w:ascii="Times New Roman" w:hAnsi="Times New Roman" w:eastAsia="宋体" w:cs="宋体"/>
          <w:color w:val="auto"/>
          <w:sz w:val="24"/>
          <w:lang w:val="en-US" w:eastAsia="zh-CN"/>
        </w:rPr>
        <w:t>T/CECS768-2020</w:t>
      </w:r>
      <w:r>
        <w:rPr>
          <w:rFonts w:hint="eastAsia" w:ascii="Times New Roman" w:hAnsi="Times New Roman" w:eastAsia="宋体" w:cs="宋体"/>
          <w:color w:val="auto"/>
          <w:sz w:val="24"/>
          <w:lang w:val="en-US" w:eastAsia="zh-CN"/>
        </w:rPr>
        <w:t>；</w:t>
      </w:r>
    </w:p>
    <w:p w14:paraId="58A51C1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（16）《消防设施通用规范》</w:t>
      </w:r>
      <w:r>
        <w:rPr>
          <w:rFonts w:hint="default" w:ascii="Times New Roman" w:hAnsi="Times New Roman" w:eastAsia="宋体" w:cs="宋体"/>
          <w:color w:val="auto"/>
          <w:sz w:val="24"/>
          <w:lang w:val="en-US" w:eastAsia="zh-CN"/>
        </w:rPr>
        <w:t>GB55036-2022</w:t>
      </w:r>
      <w:r>
        <w:rPr>
          <w:rFonts w:hint="eastAsia" w:ascii="Times New Roman" w:hAnsi="Times New Roman" w:eastAsia="宋体" w:cs="宋体"/>
          <w:color w:val="auto"/>
          <w:sz w:val="24"/>
          <w:lang w:val="en-US" w:eastAsia="zh-CN"/>
        </w:rPr>
        <w:t>；</w:t>
      </w:r>
    </w:p>
    <w:p w14:paraId="4095CD3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（17）《建筑碳排放计算标准》</w:t>
      </w:r>
      <w:r>
        <w:rPr>
          <w:rFonts w:hint="default" w:ascii="Times New Roman" w:hAnsi="Times New Roman" w:eastAsia="宋体" w:cs="宋体"/>
          <w:color w:val="auto"/>
          <w:sz w:val="24"/>
          <w:lang w:val="en-US" w:eastAsia="zh-CN"/>
        </w:rPr>
        <w:t>GB/T51366-2019</w:t>
      </w:r>
      <w:r>
        <w:rPr>
          <w:rFonts w:hint="eastAsia" w:ascii="Times New Roman" w:hAnsi="Times New Roman" w:eastAsia="宋体" w:cs="宋体"/>
          <w:color w:val="auto"/>
          <w:sz w:val="24"/>
          <w:lang w:val="en-US" w:eastAsia="zh-CN"/>
        </w:rPr>
        <w:t>；</w:t>
      </w:r>
    </w:p>
    <w:p w14:paraId="4EE147B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（18）《通风机能效限定值及能效等级》</w:t>
      </w:r>
      <w:r>
        <w:rPr>
          <w:rFonts w:hint="default" w:ascii="Times New Roman" w:hAnsi="Times New Roman" w:eastAsia="宋体" w:cs="宋体"/>
          <w:color w:val="auto"/>
          <w:sz w:val="24"/>
          <w:lang w:val="en-US" w:eastAsia="zh-CN"/>
        </w:rPr>
        <w:t>\GB19761-2020</w:t>
      </w:r>
      <w:r>
        <w:rPr>
          <w:rFonts w:hint="eastAsia" w:ascii="Times New Roman" w:hAnsi="Times New Roman" w:eastAsia="宋体" w:cs="宋体"/>
          <w:color w:val="auto"/>
          <w:sz w:val="24"/>
          <w:lang w:val="en-US" w:eastAsia="zh-CN"/>
        </w:rPr>
        <w:t>；</w:t>
      </w:r>
    </w:p>
    <w:p w14:paraId="257A507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（19）《民用建筑热工设计规范》</w:t>
      </w:r>
      <w:r>
        <w:rPr>
          <w:rFonts w:hint="default" w:ascii="Times New Roman" w:hAnsi="Times New Roman" w:eastAsia="宋体" w:cs="宋体"/>
          <w:color w:val="auto"/>
          <w:sz w:val="24"/>
          <w:lang w:val="en-US" w:eastAsia="zh-CN"/>
        </w:rPr>
        <w:t>GB50176-2016</w:t>
      </w:r>
      <w:r>
        <w:rPr>
          <w:rFonts w:hint="eastAsia" w:ascii="Times New Roman" w:hAnsi="Times New Roman" w:eastAsia="宋体" w:cs="宋体"/>
          <w:color w:val="auto"/>
          <w:sz w:val="24"/>
          <w:lang w:val="en-US" w:eastAsia="zh-CN"/>
        </w:rPr>
        <w:t>。</w:t>
      </w:r>
    </w:p>
    <w:p w14:paraId="7B9E7FFE">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99" w:name="_Toc15327"/>
      <w:r>
        <w:rPr>
          <w:rFonts w:hint="eastAsia" w:ascii="Times New Roman" w:hAnsi="Times New Roman" w:eastAsia="宋体" w:cs="宋体"/>
          <w:b/>
          <w:bCs/>
          <w:color w:val="auto"/>
          <w:sz w:val="28"/>
          <w:szCs w:val="28"/>
          <w:lang w:val="en-US" w:eastAsia="zh-CN"/>
        </w:rPr>
        <w:t>9.2、设计范围</w:t>
      </w:r>
      <w:bookmarkEnd w:id="99"/>
    </w:p>
    <w:p w14:paraId="0A4AE53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设计范围为办公室采暖系统设计。</w:t>
      </w:r>
    </w:p>
    <w:p w14:paraId="229E86DA">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100" w:name="_Toc22828"/>
      <w:r>
        <w:rPr>
          <w:rFonts w:hint="eastAsia" w:ascii="Times New Roman" w:hAnsi="Times New Roman" w:eastAsia="宋体" w:cs="宋体"/>
          <w:b/>
          <w:bCs/>
          <w:color w:val="auto"/>
          <w:sz w:val="28"/>
          <w:szCs w:val="28"/>
          <w:lang w:val="en-US" w:eastAsia="zh-CN"/>
        </w:rPr>
        <w:t>9.3、设计参数</w:t>
      </w:r>
      <w:bookmarkEnd w:id="100"/>
    </w:p>
    <w:p w14:paraId="6088C68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（1）室外设计参数：</w:t>
      </w:r>
    </w:p>
    <w:p w14:paraId="23E36F0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冬季供暖室外计算温度：</w:t>
      </w:r>
      <w:r>
        <w:rPr>
          <w:rFonts w:hint="default" w:ascii="Times New Roman" w:hAnsi="Times New Roman" w:eastAsia="宋体" w:cs="宋体"/>
          <w:color w:val="auto"/>
          <w:sz w:val="24"/>
          <w:lang w:val="en-US" w:eastAsia="zh-CN"/>
        </w:rPr>
        <w:t>-13.7</w:t>
      </w:r>
      <w:r>
        <w:rPr>
          <w:rFonts w:hint="eastAsia" w:ascii="Times New Roman" w:hAnsi="Times New Roman" w:eastAsia="宋体" w:cs="宋体"/>
          <w:color w:val="auto"/>
          <w:sz w:val="24"/>
          <w:lang w:val="en-US" w:eastAsia="zh-CN"/>
        </w:rPr>
        <w:t>℃，冬季通风室外计算温度：</w:t>
      </w:r>
      <w:r>
        <w:rPr>
          <w:rFonts w:hint="default" w:ascii="Times New Roman" w:hAnsi="Times New Roman" w:eastAsia="宋体" w:cs="宋体"/>
          <w:color w:val="auto"/>
          <w:sz w:val="24"/>
          <w:lang w:val="en-US" w:eastAsia="zh-CN"/>
        </w:rPr>
        <w:t>-9.3</w:t>
      </w:r>
      <w:r>
        <w:rPr>
          <w:rFonts w:hint="eastAsia" w:ascii="Times New Roman" w:hAnsi="Times New Roman" w:eastAsia="宋体" w:cs="宋体"/>
          <w:color w:val="auto"/>
          <w:sz w:val="24"/>
          <w:lang w:val="en-US" w:eastAsia="zh-CN"/>
        </w:rPr>
        <w:t>℃；夏季通风室外计算温度</w:t>
      </w:r>
      <w:r>
        <w:rPr>
          <w:rFonts w:hint="default" w:ascii="Times New Roman" w:hAnsi="Times New Roman" w:eastAsia="宋体" w:cs="宋体"/>
          <w:color w:val="auto"/>
          <w:sz w:val="24"/>
          <w:lang w:val="en-US" w:eastAsia="zh-CN"/>
        </w:rPr>
        <w:t>26.9</w:t>
      </w:r>
      <w:r>
        <w:rPr>
          <w:rFonts w:hint="eastAsia" w:ascii="Times New Roman" w:hAnsi="Times New Roman" w:eastAsia="宋体" w:cs="宋体"/>
          <w:color w:val="auto"/>
          <w:sz w:val="24"/>
          <w:lang w:val="en-US" w:eastAsia="zh-CN"/>
        </w:rPr>
        <w:t>℃，夏季室外平均风速：</w:t>
      </w:r>
      <w:r>
        <w:rPr>
          <w:rFonts w:hint="default" w:ascii="Times New Roman" w:hAnsi="Times New Roman" w:eastAsia="宋体" w:cs="宋体"/>
          <w:color w:val="auto"/>
          <w:sz w:val="24"/>
          <w:lang w:val="en-US" w:eastAsia="zh-CN"/>
        </w:rPr>
        <w:t>2m/s</w:t>
      </w:r>
      <w:r>
        <w:rPr>
          <w:rFonts w:hint="eastAsia" w:ascii="Times New Roman" w:hAnsi="Times New Roman" w:eastAsia="宋体" w:cs="宋体"/>
          <w:color w:val="auto"/>
          <w:sz w:val="24"/>
          <w:lang w:val="en-US" w:eastAsia="zh-CN"/>
        </w:rPr>
        <w:t>，冬季室外平均风速：</w:t>
      </w:r>
      <w:r>
        <w:rPr>
          <w:rFonts w:hint="default" w:ascii="Times New Roman" w:hAnsi="Times New Roman" w:eastAsia="宋体" w:cs="宋体"/>
          <w:color w:val="auto"/>
          <w:sz w:val="24"/>
          <w:lang w:val="en-US" w:eastAsia="zh-CN"/>
        </w:rPr>
        <w:t>1.8m/s</w:t>
      </w:r>
      <w:r>
        <w:rPr>
          <w:rFonts w:hint="eastAsia" w:ascii="Times New Roman" w:hAnsi="Times New Roman" w:eastAsia="宋体" w:cs="宋体"/>
          <w:color w:val="auto"/>
          <w:sz w:val="24"/>
          <w:lang w:val="en-US" w:eastAsia="zh-CN"/>
        </w:rPr>
        <w:t>。</w:t>
      </w:r>
    </w:p>
    <w:p w14:paraId="4D2E5D8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（2）室内设计参数</w:t>
      </w:r>
    </w:p>
    <w:p w14:paraId="437C41E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办公室：</w:t>
      </w:r>
      <w:r>
        <w:rPr>
          <w:rFonts w:hint="default" w:ascii="Times New Roman" w:hAnsi="Times New Roman" w:eastAsia="宋体" w:cs="宋体"/>
          <w:color w:val="auto"/>
          <w:sz w:val="24"/>
          <w:lang w:val="en-US" w:eastAsia="zh-CN"/>
        </w:rPr>
        <w:t>18</w:t>
      </w:r>
      <w:r>
        <w:rPr>
          <w:rFonts w:hint="eastAsia" w:ascii="Times New Roman" w:hAnsi="Times New Roman" w:eastAsia="宋体" w:cs="宋体"/>
          <w:color w:val="auto"/>
          <w:sz w:val="24"/>
          <w:lang w:val="en-US" w:eastAsia="zh-CN"/>
        </w:rPr>
        <w:t>℃，生产冷库：</w:t>
      </w:r>
      <w:r>
        <w:rPr>
          <w:rFonts w:hint="default" w:ascii="Times New Roman" w:hAnsi="Times New Roman" w:eastAsia="宋体" w:cs="宋体"/>
          <w:color w:val="auto"/>
          <w:sz w:val="24"/>
          <w:lang w:val="en-US" w:eastAsia="zh-CN"/>
        </w:rPr>
        <w:t>20</w:t>
      </w:r>
      <w:r>
        <w:rPr>
          <w:rFonts w:hint="eastAsia" w:ascii="Times New Roman" w:hAnsi="Times New Roman" w:eastAsia="宋体" w:cs="宋体"/>
          <w:color w:val="auto"/>
          <w:sz w:val="24"/>
          <w:lang w:val="en-US" w:eastAsia="zh-CN"/>
        </w:rPr>
        <w:t>℃。</w:t>
      </w:r>
    </w:p>
    <w:p w14:paraId="10190A59">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101" w:name="_Toc31371"/>
      <w:r>
        <w:rPr>
          <w:rFonts w:hint="eastAsia" w:ascii="Times New Roman" w:hAnsi="Times New Roman" w:eastAsia="宋体" w:cs="宋体"/>
          <w:b/>
          <w:bCs/>
          <w:color w:val="auto"/>
          <w:sz w:val="28"/>
          <w:szCs w:val="28"/>
          <w:lang w:val="en-US" w:eastAsia="zh-CN"/>
        </w:rPr>
        <w:t>9.4、供暖设计</w:t>
      </w:r>
      <w:bookmarkEnd w:id="101"/>
    </w:p>
    <w:p w14:paraId="2764FC3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（1）供暖方式：本工程周边无热源，故采用电挂片采暖。</w:t>
      </w:r>
    </w:p>
    <w:p w14:paraId="2365035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（2）供暖系统：</w:t>
      </w:r>
    </w:p>
    <w:p w14:paraId="1CAAE54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①本建筑冬季采用对流式电暖器，技术性能指标：</w:t>
      </w:r>
    </w:p>
    <w:p w14:paraId="4020382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型号：碳晶片电压：</w:t>
      </w:r>
      <w:r>
        <w:rPr>
          <w:rFonts w:hint="default" w:ascii="Times New Roman" w:hAnsi="Times New Roman" w:eastAsia="宋体" w:cs="宋体"/>
          <w:color w:val="auto"/>
          <w:sz w:val="24"/>
          <w:lang w:val="en-US" w:eastAsia="zh-CN"/>
        </w:rPr>
        <w:t>220</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V</w:t>
      </w:r>
      <w:r>
        <w:rPr>
          <w:rFonts w:hint="eastAsia" w:ascii="Times New Roman" w:hAnsi="Times New Roman" w:eastAsia="宋体" w:cs="宋体"/>
          <w:color w:val="auto"/>
          <w:sz w:val="24"/>
          <w:lang w:val="en-US" w:eastAsia="zh-CN"/>
        </w:rPr>
        <w:t>）；</w:t>
      </w:r>
    </w:p>
    <w:p w14:paraId="32D9E8A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电源频率：</w:t>
      </w:r>
      <w:r>
        <w:rPr>
          <w:rFonts w:hint="default" w:ascii="Times New Roman" w:hAnsi="Times New Roman" w:eastAsia="宋体" w:cs="宋体"/>
          <w:color w:val="auto"/>
          <w:sz w:val="24"/>
          <w:lang w:val="en-US" w:eastAsia="zh-CN"/>
        </w:rPr>
        <w:t>50</w:t>
      </w:r>
      <w:r>
        <w:rPr>
          <w:rFonts w:hint="eastAsia" w:ascii="Times New Roman" w:hAnsi="Times New Roman" w:eastAsia="宋体" w:cs="宋体"/>
          <w:color w:val="auto"/>
          <w:sz w:val="24"/>
          <w:lang w:val="en-US" w:eastAsia="zh-CN"/>
        </w:rPr>
        <w:t>（Hz）功率：</w:t>
      </w:r>
      <w:r>
        <w:rPr>
          <w:rFonts w:hint="default" w:ascii="Times New Roman" w:hAnsi="Times New Roman" w:eastAsia="宋体" w:cs="宋体"/>
          <w:color w:val="auto"/>
          <w:sz w:val="24"/>
          <w:lang w:val="en-US" w:eastAsia="zh-CN"/>
        </w:rPr>
        <w:t>2000W</w:t>
      </w:r>
      <w:r>
        <w:rPr>
          <w:rFonts w:hint="eastAsia" w:ascii="Times New Roman" w:hAnsi="Times New Roman" w:eastAsia="宋体" w:cs="宋体"/>
          <w:color w:val="auto"/>
          <w:sz w:val="24"/>
          <w:lang w:val="en-US" w:eastAsia="zh-CN"/>
        </w:rPr>
        <w:t>；</w:t>
      </w:r>
    </w:p>
    <w:p w14:paraId="61DBF20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产品温度：</w:t>
      </w:r>
      <w:r>
        <w:rPr>
          <w:rFonts w:hint="default" w:ascii="Times New Roman" w:hAnsi="Times New Roman" w:eastAsia="宋体" w:cs="宋体"/>
          <w:color w:val="auto"/>
          <w:sz w:val="24"/>
          <w:lang w:val="en-US" w:eastAsia="zh-CN"/>
        </w:rPr>
        <w:t>80-100</w:t>
      </w:r>
      <w:r>
        <w:rPr>
          <w:rFonts w:hint="eastAsia" w:ascii="Times New Roman" w:hAnsi="Times New Roman" w:eastAsia="宋体" w:cs="宋体"/>
          <w:color w:val="auto"/>
          <w:sz w:val="24"/>
          <w:lang w:val="en-US" w:eastAsia="zh-CN"/>
        </w:rPr>
        <w:t>（℃）适用面积：</w:t>
      </w:r>
      <w:r>
        <w:rPr>
          <w:rFonts w:hint="default" w:ascii="Times New Roman" w:hAnsi="Times New Roman" w:eastAsia="宋体" w:cs="宋体"/>
          <w:color w:val="auto"/>
          <w:sz w:val="24"/>
          <w:lang w:val="en-US" w:eastAsia="zh-CN"/>
        </w:rPr>
        <w:t>22</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26</w:t>
      </w:r>
      <w:r>
        <w:rPr>
          <w:rFonts w:hint="eastAsia" w:ascii="Times New Roman" w:hAnsi="Times New Roman" w:eastAsia="宋体" w:cs="宋体"/>
          <w:color w:val="auto"/>
          <w:sz w:val="24"/>
          <w:lang w:val="en-US" w:eastAsia="zh-CN"/>
        </w:rPr>
        <w:t>；</w:t>
      </w:r>
    </w:p>
    <w:p w14:paraId="03249F8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室内温度范围：</w:t>
      </w:r>
      <w:r>
        <w:rPr>
          <w:rFonts w:hint="default" w:ascii="Times New Roman" w:hAnsi="Times New Roman" w:eastAsia="宋体" w:cs="宋体"/>
          <w:color w:val="auto"/>
          <w:sz w:val="24"/>
          <w:lang w:val="en-US" w:eastAsia="zh-CN"/>
        </w:rPr>
        <w:t>5-30</w:t>
      </w:r>
      <w:r>
        <w:rPr>
          <w:rFonts w:hint="eastAsia" w:ascii="Times New Roman" w:hAnsi="Times New Roman" w:eastAsia="宋体" w:cs="宋体"/>
          <w:color w:val="auto"/>
          <w:sz w:val="24"/>
          <w:lang w:val="en-US" w:eastAsia="zh-CN"/>
        </w:rPr>
        <w:t>（℃）散热方式：自然对流；</w:t>
      </w:r>
    </w:p>
    <w:p w14:paraId="4B87D4A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升温时间：</w:t>
      </w:r>
      <w:r>
        <w:rPr>
          <w:rFonts w:hint="default" w:ascii="Times New Roman" w:hAnsi="Times New Roman" w:eastAsia="宋体" w:cs="宋体"/>
          <w:color w:val="auto"/>
          <w:sz w:val="24"/>
          <w:lang w:val="en-US" w:eastAsia="zh-CN"/>
        </w:rPr>
        <w:t>1-3</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min</w:t>
      </w:r>
      <w:r>
        <w:rPr>
          <w:rFonts w:hint="eastAsia" w:ascii="Times New Roman" w:hAnsi="Times New Roman" w:eastAsia="宋体" w:cs="宋体"/>
          <w:color w:val="auto"/>
          <w:sz w:val="24"/>
          <w:lang w:val="en-US" w:eastAsia="zh-CN"/>
        </w:rPr>
        <w:t>）控制方式：机械温控；</w:t>
      </w:r>
    </w:p>
    <w:p w14:paraId="03D2CD0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加热方式：直接加热温控器类型：突跳式温控器；</w:t>
      </w:r>
    </w:p>
    <w:p w14:paraId="603C494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计量单位：台种类：壁挂式、支架；</w:t>
      </w:r>
    </w:p>
    <w:p w14:paraId="7929556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泄漏电流：在规定的试验额定电压下，测量电采暖散热器外露的金属部分与电源线之间的泄漏电流应不大于</w:t>
      </w:r>
      <w:r>
        <w:rPr>
          <w:rFonts w:hint="default" w:ascii="Times New Roman" w:hAnsi="Times New Roman" w:eastAsia="宋体" w:cs="宋体"/>
          <w:color w:val="auto"/>
          <w:sz w:val="24"/>
          <w:lang w:val="en-US" w:eastAsia="zh-CN"/>
        </w:rPr>
        <w:t>0.75mA</w:t>
      </w:r>
      <w:r>
        <w:rPr>
          <w:rFonts w:hint="eastAsia" w:ascii="Times New Roman" w:hAnsi="Times New Roman" w:eastAsia="宋体" w:cs="宋体"/>
          <w:color w:val="auto"/>
          <w:sz w:val="24"/>
          <w:lang w:val="en-US" w:eastAsia="zh-CN"/>
        </w:rPr>
        <w:t>或</w:t>
      </w:r>
      <w:r>
        <w:rPr>
          <w:rFonts w:hint="default" w:ascii="Times New Roman" w:hAnsi="Times New Roman" w:eastAsia="宋体" w:cs="宋体"/>
          <w:color w:val="auto"/>
          <w:sz w:val="24"/>
          <w:lang w:val="en-US" w:eastAsia="zh-CN"/>
        </w:rPr>
        <w:t>0.75mA/kW</w:t>
      </w:r>
      <w:r>
        <w:rPr>
          <w:rFonts w:hint="eastAsia" w:ascii="Times New Roman" w:hAnsi="Times New Roman" w:eastAsia="宋体" w:cs="宋体"/>
          <w:color w:val="auto"/>
          <w:sz w:val="24"/>
          <w:lang w:val="en-US" w:eastAsia="zh-CN"/>
        </w:rPr>
        <w:t>；</w:t>
      </w:r>
    </w:p>
    <w:p w14:paraId="6CF67CC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电气强度：在带电部分和非带电金属部分之间施加额定频率和规定的试验电压，持续时间</w:t>
      </w:r>
      <w:r>
        <w:rPr>
          <w:rFonts w:hint="default" w:ascii="Times New Roman" w:hAnsi="Times New Roman" w:eastAsia="宋体" w:cs="宋体"/>
          <w:color w:val="auto"/>
          <w:sz w:val="24"/>
          <w:lang w:val="en-US" w:eastAsia="zh-CN"/>
        </w:rPr>
        <w:t>lmin</w:t>
      </w:r>
      <w:r>
        <w:rPr>
          <w:rFonts w:hint="eastAsia" w:ascii="Times New Roman" w:hAnsi="Times New Roman" w:eastAsia="宋体" w:cs="宋体"/>
          <w:color w:val="auto"/>
          <w:sz w:val="24"/>
          <w:lang w:val="en-US" w:eastAsia="zh-CN"/>
        </w:rPr>
        <w:t>，应无击穿或闪络；</w:t>
      </w:r>
    </w:p>
    <w:p w14:paraId="54EDFFE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②接地电阻：电采暖散热器外露金属部分与接地端之间的绝缘电阻不大于</w:t>
      </w:r>
      <w:r>
        <w:rPr>
          <w:rFonts w:hint="default" w:ascii="Times New Roman" w:hAnsi="Times New Roman" w:eastAsia="宋体" w:cs="宋体"/>
          <w:color w:val="auto"/>
          <w:sz w:val="24"/>
          <w:lang w:val="en-US" w:eastAsia="zh-CN"/>
        </w:rPr>
        <w:t>0.10</w:t>
      </w:r>
      <w:r>
        <w:rPr>
          <w:rFonts w:hint="eastAsia" w:ascii="Times New Roman" w:hAnsi="Times New Roman" w:eastAsia="宋体" w:cs="宋体"/>
          <w:color w:val="auto"/>
          <w:sz w:val="24"/>
          <w:lang w:val="en-US" w:eastAsia="zh-CN"/>
        </w:rPr>
        <w:t>；</w:t>
      </w:r>
    </w:p>
    <w:p w14:paraId="625396F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③防潮等级、防触电保护：不同的使用场所要求有不同的等级要求，最高在卫浴使用时要求达到</w:t>
      </w:r>
      <w:r>
        <w:rPr>
          <w:rFonts w:hint="default" w:ascii="Times New Roman" w:hAnsi="Times New Roman" w:eastAsia="宋体" w:cs="宋体"/>
          <w:color w:val="auto"/>
          <w:sz w:val="24"/>
          <w:lang w:val="en-US" w:eastAsia="zh-CN"/>
        </w:rPr>
        <w:t>IP24</w:t>
      </w:r>
      <w:r>
        <w:rPr>
          <w:rFonts w:hint="eastAsia" w:ascii="Times New Roman" w:hAnsi="Times New Roman" w:eastAsia="宋体" w:cs="宋体"/>
          <w:color w:val="auto"/>
          <w:sz w:val="24"/>
          <w:lang w:val="en-US" w:eastAsia="zh-CN"/>
        </w:rPr>
        <w:t>防护等级；</w:t>
      </w:r>
    </w:p>
    <w:p w14:paraId="434BCCF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④安装于距地面高度</w:t>
      </w:r>
      <w:r>
        <w:rPr>
          <w:rFonts w:hint="default" w:ascii="Times New Roman" w:hAnsi="Times New Roman" w:eastAsia="宋体" w:cs="宋体"/>
          <w:color w:val="auto"/>
          <w:sz w:val="24"/>
          <w:lang w:val="en-US" w:eastAsia="zh-CN"/>
        </w:rPr>
        <w:t>180cm</w:t>
      </w:r>
      <w:r>
        <w:rPr>
          <w:rFonts w:hint="eastAsia" w:ascii="Times New Roman" w:hAnsi="Times New Roman" w:eastAsia="宋体" w:cs="宋体"/>
          <w:color w:val="auto"/>
          <w:sz w:val="24"/>
          <w:lang w:val="en-US" w:eastAsia="zh-CN"/>
        </w:rPr>
        <w:t>以下的电供暖元器件，必须采取接地及剩余电流保护措施。</w:t>
      </w:r>
    </w:p>
    <w:p w14:paraId="2104DCE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p>
    <w:p w14:paraId="4679394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lang w:val="en-US" w:eastAsia="zh-CN"/>
        </w:rPr>
      </w:pPr>
    </w:p>
    <w:p w14:paraId="3C56F34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6366C1B9">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jc w:val="center"/>
        <w:textAlignment w:val="baseline"/>
        <w:rPr>
          <w:rFonts w:hint="default" w:ascii="Times New Roman" w:hAnsi="Times New Roman" w:eastAsia="宋体" w:cs="宋体"/>
          <w:b/>
          <w:color w:val="auto"/>
          <w:sz w:val="30"/>
          <w:szCs w:val="30"/>
          <w:lang w:val="en-US" w:eastAsia="zh-CN"/>
        </w:rPr>
      </w:pPr>
      <w:bookmarkStart w:id="102" w:name="_Toc24398"/>
      <w:r>
        <w:rPr>
          <w:rFonts w:hint="eastAsia" w:ascii="Times New Roman" w:hAnsi="Times New Roman" w:eastAsia="宋体" w:cs="宋体"/>
          <w:b/>
          <w:color w:val="auto"/>
          <w:sz w:val="30"/>
          <w:szCs w:val="30"/>
          <w:lang w:val="en-US" w:eastAsia="zh-CN"/>
        </w:rPr>
        <w:t>第十章 交通及节能设计方案</w:t>
      </w:r>
      <w:bookmarkEnd w:id="102"/>
    </w:p>
    <w:p w14:paraId="6F28F002">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103" w:name="_Toc30805"/>
      <w:r>
        <w:rPr>
          <w:rFonts w:hint="eastAsia" w:ascii="Times New Roman" w:hAnsi="Times New Roman" w:eastAsia="宋体" w:cs="宋体"/>
          <w:b/>
          <w:bCs/>
          <w:color w:val="auto"/>
          <w:sz w:val="28"/>
          <w:szCs w:val="28"/>
          <w:lang w:val="en-US" w:eastAsia="zh-CN"/>
        </w:rPr>
        <w:t>10.1、设计依据</w:t>
      </w:r>
      <w:bookmarkEnd w:id="103"/>
    </w:p>
    <w:p w14:paraId="165C7BA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（1）</w:t>
      </w:r>
      <w:r>
        <w:rPr>
          <w:rFonts w:hint="default" w:ascii="Times New Roman" w:hAnsi="Times New Roman" w:eastAsia="宋体" w:cs="宋体"/>
          <w:snapToGrid w:val="0"/>
          <w:color w:val="auto"/>
          <w:kern w:val="0"/>
          <w:sz w:val="24"/>
          <w:szCs w:val="24"/>
          <w:lang w:val="en-US" w:eastAsia="zh-CN" w:bidi="ar-SA"/>
        </w:rPr>
        <w:t>《建筑设计防火规范》GBJ50016-2014(2018年版)；</w:t>
      </w:r>
    </w:p>
    <w:p w14:paraId="0DC9492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（2）</w:t>
      </w:r>
      <w:r>
        <w:rPr>
          <w:rFonts w:hint="default" w:ascii="Times New Roman" w:hAnsi="Times New Roman" w:eastAsia="宋体" w:cs="宋体"/>
          <w:snapToGrid w:val="0"/>
          <w:color w:val="auto"/>
          <w:kern w:val="0"/>
          <w:sz w:val="24"/>
          <w:szCs w:val="24"/>
          <w:lang w:val="en-US" w:eastAsia="zh-CN" w:bidi="ar-SA"/>
        </w:rPr>
        <w:t>《民用建筑设计统一标准》GB50352-2019</w:t>
      </w:r>
      <w:r>
        <w:rPr>
          <w:rFonts w:hint="eastAsia" w:ascii="Times New Roman" w:hAnsi="Times New Roman" w:eastAsia="宋体" w:cs="宋体"/>
          <w:snapToGrid w:val="0"/>
          <w:color w:val="auto"/>
          <w:kern w:val="0"/>
          <w:sz w:val="24"/>
          <w:szCs w:val="24"/>
          <w:lang w:val="en-US" w:eastAsia="zh-CN" w:bidi="ar-SA"/>
        </w:rPr>
        <w:t>；</w:t>
      </w:r>
    </w:p>
    <w:p w14:paraId="0246B42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（3）《国务院关于印发“十四五”节能减排综合性工作方案的通知》；</w:t>
      </w:r>
    </w:p>
    <w:p w14:paraId="51B908A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（4）甘肃省发展和改革委员会《关于印发&lt;甘肃省固定资产投资项目节能审查实施办法》（甘政办发〔2023〕62号）；</w:t>
      </w:r>
    </w:p>
    <w:p w14:paraId="3206A18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（5）《甘肃省“十四五”节能减排综合性工作方案》；</w:t>
      </w:r>
    </w:p>
    <w:p w14:paraId="14021F8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（6）《建筑照明设计标准》（GB50034-2013）；</w:t>
      </w:r>
    </w:p>
    <w:p w14:paraId="6D796A4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（7）《建筑采光设计标准》（GB50033-2013）；</w:t>
      </w:r>
    </w:p>
    <w:p w14:paraId="0FBC317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（8）《工业建筑节能设计统一标准》（GB51245-2017）；</w:t>
      </w:r>
    </w:p>
    <w:p w14:paraId="435211B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（9）《工业建筑供暖通风与空气调节设计规范》（GB50019-2015）；</w:t>
      </w:r>
    </w:p>
    <w:p w14:paraId="4925133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（10）《公共建筑节能设计标准》（GB50189-2015）；</w:t>
      </w:r>
    </w:p>
    <w:p w14:paraId="780213D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（11）《甘肃省公共建筑节能设计标准》（DBJ51/143-2020）。</w:t>
      </w:r>
    </w:p>
    <w:p w14:paraId="1F2E3315">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snapToGrid w:val="0"/>
          <w:color w:val="auto"/>
          <w:kern w:val="0"/>
          <w:sz w:val="24"/>
          <w:szCs w:val="24"/>
          <w:lang w:val="en-US" w:eastAsia="zh-CN" w:bidi="ar-SA"/>
        </w:rPr>
      </w:pPr>
      <w:bookmarkStart w:id="104" w:name="_Toc12669"/>
      <w:r>
        <w:rPr>
          <w:rFonts w:hint="eastAsia" w:ascii="Times New Roman" w:hAnsi="Times New Roman" w:eastAsia="宋体" w:cs="宋体"/>
          <w:b/>
          <w:bCs/>
          <w:color w:val="auto"/>
          <w:sz w:val="28"/>
          <w:szCs w:val="28"/>
          <w:lang w:val="en-US" w:eastAsia="zh-CN"/>
        </w:rPr>
        <w:t>10.2、厂区交通方案</w:t>
      </w:r>
      <w:bookmarkEnd w:id="104"/>
    </w:p>
    <w:p w14:paraId="783EA8D9">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整个厂区共设置一个出入口，出入口位于场地东侧，宽度为14米；场地交通便利，可满足消防车通行及扑救措施。基地内各单体建筑物退界均满足要求。消防车道能承受消防车荷载要求。</w:t>
      </w:r>
    </w:p>
    <w:p w14:paraId="308BFC00">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本工程与周边建筑之间间距均能满足防火间距的规范要求，贯穿整个场地，形成环形道路，若出现火灾等因素时可满足消防车出行需求，建筑物之间间距满足建筑设计防火规范消防扑救场设计要求。整个道路系统流畅合理，是厂区的交通灵魂所在。消防、紧急救援系统机动车可以便捷地到达各建筑物的入口，同时也为消防车辆及紧急救援车辆提供了必要的通道场地内道路宽度6米，满足人流与车流需求，道路和组团绿地按《无障碍设计规范》相关要求进行设计防滑地面和盲道等设施。</w:t>
      </w:r>
    </w:p>
    <w:p w14:paraId="0092366C">
      <w:pPr>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厂内设有小型停车位23个，车位尺寸为6×3米。</w:t>
      </w:r>
    </w:p>
    <w:p w14:paraId="4FC7E6CB">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105" w:name="_Toc10941"/>
      <w:r>
        <w:rPr>
          <w:rFonts w:hint="eastAsia" w:ascii="Times New Roman" w:hAnsi="Times New Roman" w:eastAsia="宋体" w:cs="宋体"/>
          <w:b/>
          <w:bCs/>
          <w:color w:val="auto"/>
          <w:sz w:val="28"/>
          <w:szCs w:val="28"/>
          <w:lang w:val="en-US" w:eastAsia="zh-CN"/>
        </w:rPr>
        <w:t>10.3、节能方案</w:t>
      </w:r>
      <w:bookmarkEnd w:id="105"/>
    </w:p>
    <w:p w14:paraId="2E35E34E">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color w:val="auto"/>
          <w:sz w:val="24"/>
          <w:lang w:val="en-US"/>
        </w:rPr>
      </w:pPr>
      <w:r>
        <w:rPr>
          <w:rFonts w:hint="eastAsia" w:ascii="Times New Roman" w:hAnsi="Times New Roman" w:eastAsia="宋体" w:cs="宋体"/>
          <w:b/>
          <w:color w:val="auto"/>
          <w:sz w:val="24"/>
          <w:lang w:val="en-US" w:eastAsia="zh-CN"/>
        </w:rPr>
        <w:t>10.3.1、能耗指标</w:t>
      </w:r>
    </w:p>
    <w:p w14:paraId="0376C00C">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本项目能耗指标计算依据参考《综合能耗计算通则》（GB/T2589-2020）</w:t>
      </w:r>
    </w:p>
    <w:p w14:paraId="4C764208">
      <w:pPr>
        <w:keepNext w:val="0"/>
        <w:keepLines w:val="0"/>
        <w:pageBreakBefore w:val="0"/>
        <w:kinsoku w:val="0"/>
        <w:wordWrap/>
        <w:overflowPunct/>
        <w:topLinePunct w:val="0"/>
        <w:autoSpaceDE w:val="0"/>
        <w:autoSpaceDN w:val="0"/>
        <w:bidi w:val="0"/>
        <w:adjustRightInd w:val="0"/>
        <w:snapToGrid w:val="0"/>
        <w:spacing w:line="360" w:lineRule="auto"/>
        <w:jc w:val="center"/>
        <w:textAlignment w:val="baseline"/>
        <w:rPr>
          <w:rFonts w:hint="default"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en-US" w:eastAsia="zh-CN"/>
        </w:rPr>
        <w:t>表10-1   项目综合能耗表</w:t>
      </w:r>
    </w:p>
    <w:tbl>
      <w:tblPr>
        <w:tblStyle w:val="26"/>
        <w:tblW w:w="851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1098"/>
        <w:gridCol w:w="966"/>
        <w:gridCol w:w="1178"/>
        <w:gridCol w:w="1860"/>
        <w:gridCol w:w="1541"/>
        <w:gridCol w:w="1252"/>
      </w:tblGrid>
      <w:tr w14:paraId="31EB1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623" w:type="dxa"/>
            <w:tcBorders>
              <w:top w:val="single" w:color="000000" w:sz="6" w:space="0"/>
              <w:left w:val="single" w:color="000000" w:sz="6" w:space="0"/>
            </w:tcBorders>
            <w:noWrap w:val="0"/>
            <w:vAlign w:val="center"/>
          </w:tcPr>
          <w:p w14:paraId="1D95CFA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b/>
                <w:bCs/>
                <w:color w:val="auto"/>
                <w:sz w:val="21"/>
                <w:szCs w:val="24"/>
              </w:rPr>
            </w:pPr>
            <w:r>
              <w:rPr>
                <w:rFonts w:ascii="Times New Roman" w:hAnsi="Times New Roman" w:eastAsia="宋体" w:cs="宋体"/>
                <w:b/>
                <w:bCs/>
                <w:color w:val="auto"/>
                <w:spacing w:val="-1"/>
                <w:sz w:val="21"/>
                <w:szCs w:val="24"/>
              </w:rPr>
              <w:t>序号</w:t>
            </w:r>
          </w:p>
        </w:tc>
        <w:tc>
          <w:tcPr>
            <w:tcW w:w="1098" w:type="dxa"/>
            <w:tcBorders>
              <w:top w:val="single" w:color="000000" w:sz="6" w:space="0"/>
            </w:tcBorders>
            <w:noWrap w:val="0"/>
            <w:vAlign w:val="center"/>
          </w:tcPr>
          <w:p w14:paraId="29AE36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b/>
                <w:bCs/>
                <w:color w:val="auto"/>
                <w:sz w:val="21"/>
                <w:szCs w:val="24"/>
              </w:rPr>
            </w:pPr>
            <w:r>
              <w:rPr>
                <w:rFonts w:ascii="Times New Roman" w:hAnsi="Times New Roman" w:eastAsia="宋体" w:cs="宋体"/>
                <w:b/>
                <w:bCs/>
                <w:color w:val="auto"/>
                <w:spacing w:val="-7"/>
                <w:sz w:val="21"/>
                <w:szCs w:val="24"/>
              </w:rPr>
              <w:t>能耗名</w:t>
            </w:r>
            <w:r>
              <w:rPr>
                <w:rFonts w:ascii="Times New Roman" w:hAnsi="Times New Roman" w:eastAsia="宋体" w:cs="宋体"/>
                <w:b/>
                <w:bCs/>
                <w:color w:val="auto"/>
                <w:sz w:val="21"/>
                <w:szCs w:val="24"/>
              </w:rPr>
              <w:t>称</w:t>
            </w:r>
          </w:p>
        </w:tc>
        <w:tc>
          <w:tcPr>
            <w:tcW w:w="966" w:type="dxa"/>
            <w:tcBorders>
              <w:top w:val="single" w:color="000000" w:sz="6" w:space="0"/>
            </w:tcBorders>
            <w:noWrap w:val="0"/>
            <w:vAlign w:val="center"/>
          </w:tcPr>
          <w:p w14:paraId="7BFE32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b/>
                <w:bCs/>
                <w:color w:val="auto"/>
                <w:sz w:val="21"/>
                <w:szCs w:val="24"/>
              </w:rPr>
            </w:pPr>
            <w:r>
              <w:rPr>
                <w:rFonts w:ascii="Times New Roman" w:hAnsi="Times New Roman" w:eastAsia="宋体" w:cs="宋体"/>
                <w:b/>
                <w:bCs/>
                <w:color w:val="auto"/>
                <w:spacing w:val="-6"/>
                <w:sz w:val="21"/>
                <w:szCs w:val="24"/>
              </w:rPr>
              <w:t>单位</w:t>
            </w:r>
          </w:p>
        </w:tc>
        <w:tc>
          <w:tcPr>
            <w:tcW w:w="1178" w:type="dxa"/>
            <w:tcBorders>
              <w:top w:val="single" w:color="000000" w:sz="6" w:space="0"/>
            </w:tcBorders>
            <w:noWrap w:val="0"/>
            <w:vAlign w:val="center"/>
          </w:tcPr>
          <w:p w14:paraId="721BF3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b/>
                <w:bCs/>
                <w:color w:val="auto"/>
                <w:sz w:val="21"/>
                <w:szCs w:val="24"/>
              </w:rPr>
            </w:pPr>
            <w:r>
              <w:rPr>
                <w:rFonts w:ascii="Times New Roman" w:hAnsi="Times New Roman" w:eastAsia="宋体" w:cs="宋体"/>
                <w:b/>
                <w:bCs/>
                <w:color w:val="auto"/>
                <w:spacing w:val="-4"/>
                <w:sz w:val="21"/>
                <w:szCs w:val="24"/>
              </w:rPr>
              <w:t>年耗量</w:t>
            </w:r>
          </w:p>
        </w:tc>
        <w:tc>
          <w:tcPr>
            <w:tcW w:w="1860" w:type="dxa"/>
            <w:tcBorders>
              <w:top w:val="single" w:color="000000" w:sz="6" w:space="0"/>
            </w:tcBorders>
            <w:noWrap w:val="0"/>
            <w:vAlign w:val="center"/>
          </w:tcPr>
          <w:p w14:paraId="4072E0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b/>
                <w:bCs/>
                <w:color w:val="auto"/>
                <w:sz w:val="21"/>
                <w:szCs w:val="24"/>
              </w:rPr>
            </w:pPr>
            <w:r>
              <w:rPr>
                <w:rFonts w:ascii="Times New Roman" w:hAnsi="Times New Roman" w:eastAsia="宋体" w:cs="宋体"/>
                <w:b/>
                <w:bCs/>
                <w:color w:val="auto"/>
                <w:spacing w:val="-3"/>
                <w:sz w:val="21"/>
                <w:szCs w:val="24"/>
              </w:rPr>
              <w:t>折标系数</w:t>
            </w:r>
          </w:p>
        </w:tc>
        <w:tc>
          <w:tcPr>
            <w:tcW w:w="1541" w:type="dxa"/>
            <w:tcBorders>
              <w:top w:val="single" w:color="000000" w:sz="6" w:space="0"/>
            </w:tcBorders>
            <w:noWrap w:val="0"/>
            <w:vAlign w:val="center"/>
          </w:tcPr>
          <w:p w14:paraId="3AF7AC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b/>
                <w:bCs/>
                <w:color w:val="auto"/>
                <w:spacing w:val="-3"/>
                <w:sz w:val="21"/>
                <w:szCs w:val="24"/>
              </w:rPr>
            </w:pPr>
            <w:r>
              <w:rPr>
                <w:rFonts w:ascii="Times New Roman" w:hAnsi="Times New Roman" w:eastAsia="宋体" w:cs="宋体"/>
                <w:b/>
                <w:bCs/>
                <w:color w:val="auto"/>
                <w:spacing w:val="-3"/>
                <w:sz w:val="21"/>
                <w:szCs w:val="24"/>
              </w:rPr>
              <w:t>年折算能耗</w:t>
            </w:r>
          </w:p>
          <w:p w14:paraId="08908AA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b/>
                <w:bCs/>
                <w:color w:val="auto"/>
                <w:sz w:val="21"/>
                <w:szCs w:val="24"/>
              </w:rPr>
            </w:pPr>
            <w:r>
              <w:rPr>
                <w:rFonts w:ascii="Times New Roman" w:hAnsi="Times New Roman" w:eastAsia="宋体" w:cs="宋体"/>
                <w:b/>
                <w:bCs/>
                <w:color w:val="auto"/>
                <w:spacing w:val="-5"/>
                <w:sz w:val="21"/>
                <w:szCs w:val="24"/>
              </w:rPr>
              <w:t>（吨标煤）</w:t>
            </w:r>
          </w:p>
        </w:tc>
        <w:tc>
          <w:tcPr>
            <w:tcW w:w="1252" w:type="dxa"/>
            <w:tcBorders>
              <w:top w:val="single" w:color="000000" w:sz="6" w:space="0"/>
              <w:right w:val="single" w:color="000000" w:sz="6" w:space="0"/>
            </w:tcBorders>
            <w:noWrap w:val="0"/>
            <w:vAlign w:val="center"/>
          </w:tcPr>
          <w:p w14:paraId="151D37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b/>
                <w:bCs/>
                <w:color w:val="auto"/>
                <w:sz w:val="21"/>
                <w:szCs w:val="24"/>
              </w:rPr>
            </w:pPr>
            <w:r>
              <w:rPr>
                <w:rFonts w:ascii="Times New Roman" w:hAnsi="Times New Roman" w:eastAsia="宋体" w:cs="宋体"/>
                <w:b/>
                <w:bCs/>
                <w:color w:val="auto"/>
                <w:spacing w:val="-13"/>
                <w:sz w:val="21"/>
                <w:szCs w:val="24"/>
              </w:rPr>
              <w:t>占总能耗</w:t>
            </w:r>
            <w:r>
              <w:rPr>
                <w:rFonts w:ascii="Times New Roman" w:hAnsi="Times New Roman" w:eastAsia="宋体" w:cs="宋体"/>
                <w:b/>
                <w:bCs/>
                <w:color w:val="auto"/>
                <w:spacing w:val="-12"/>
                <w:sz w:val="21"/>
                <w:szCs w:val="24"/>
              </w:rPr>
              <w:t>比例（%）</w:t>
            </w:r>
          </w:p>
        </w:tc>
      </w:tr>
      <w:tr w14:paraId="0DBBD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623" w:type="dxa"/>
            <w:tcBorders>
              <w:left w:val="single" w:color="000000" w:sz="6" w:space="0"/>
            </w:tcBorders>
            <w:noWrap w:val="0"/>
            <w:vAlign w:val="center"/>
          </w:tcPr>
          <w:p w14:paraId="1DBC96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24"/>
              </w:rPr>
            </w:pPr>
            <w:r>
              <w:rPr>
                <w:rFonts w:ascii="Times New Roman" w:hAnsi="Times New Roman" w:eastAsia="宋体" w:cs="宋体"/>
                <w:color w:val="auto"/>
                <w:sz w:val="21"/>
                <w:szCs w:val="24"/>
              </w:rPr>
              <w:t>1</w:t>
            </w:r>
          </w:p>
        </w:tc>
        <w:tc>
          <w:tcPr>
            <w:tcW w:w="1098" w:type="dxa"/>
            <w:noWrap w:val="0"/>
            <w:vAlign w:val="center"/>
          </w:tcPr>
          <w:p w14:paraId="2F3EC53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24"/>
              </w:rPr>
            </w:pPr>
            <w:r>
              <w:rPr>
                <w:rFonts w:ascii="Times New Roman" w:hAnsi="Times New Roman" w:eastAsia="宋体" w:cs="宋体"/>
                <w:color w:val="auto"/>
                <w:sz w:val="21"/>
                <w:szCs w:val="24"/>
              </w:rPr>
              <w:t>电</w:t>
            </w:r>
          </w:p>
        </w:tc>
        <w:tc>
          <w:tcPr>
            <w:tcW w:w="966" w:type="dxa"/>
            <w:noWrap w:val="0"/>
            <w:vAlign w:val="center"/>
          </w:tcPr>
          <w:p w14:paraId="37AC788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24"/>
              </w:rPr>
            </w:pPr>
            <w:r>
              <w:rPr>
                <w:rFonts w:ascii="Times New Roman" w:hAnsi="Times New Roman" w:eastAsia="宋体" w:cs="宋体"/>
                <w:color w:val="auto"/>
                <w:spacing w:val="31"/>
                <w:sz w:val="21"/>
                <w:szCs w:val="24"/>
              </w:rPr>
              <w:t>万</w:t>
            </w:r>
            <w:r>
              <w:rPr>
                <w:rFonts w:ascii="Times New Roman" w:hAnsi="Times New Roman" w:eastAsia="宋体" w:cs="宋体"/>
                <w:color w:val="auto"/>
                <w:sz w:val="21"/>
                <w:szCs w:val="24"/>
              </w:rPr>
              <w:t>kWh</w:t>
            </w:r>
          </w:p>
        </w:tc>
        <w:tc>
          <w:tcPr>
            <w:tcW w:w="1178" w:type="dxa"/>
            <w:noWrap w:val="0"/>
            <w:vAlign w:val="center"/>
          </w:tcPr>
          <w:p w14:paraId="565ADE0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宋体"/>
                <w:color w:val="auto"/>
                <w:sz w:val="21"/>
                <w:szCs w:val="24"/>
                <w:lang w:val="en-US" w:eastAsia="zh-CN"/>
              </w:rPr>
            </w:pPr>
            <w:r>
              <w:rPr>
                <w:rFonts w:hint="eastAsia" w:ascii="Times New Roman" w:hAnsi="Times New Roman" w:eastAsia="宋体" w:cs="宋体"/>
                <w:color w:val="auto"/>
                <w:sz w:val="21"/>
                <w:szCs w:val="24"/>
                <w:lang w:val="en-US" w:eastAsia="zh-CN"/>
              </w:rPr>
              <w:t>251.83</w:t>
            </w:r>
          </w:p>
        </w:tc>
        <w:tc>
          <w:tcPr>
            <w:tcW w:w="1860" w:type="dxa"/>
            <w:noWrap w:val="0"/>
            <w:vAlign w:val="center"/>
          </w:tcPr>
          <w:p w14:paraId="0D0624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24"/>
              </w:rPr>
            </w:pPr>
            <w:r>
              <w:rPr>
                <w:rFonts w:ascii="Times New Roman" w:hAnsi="Times New Roman" w:eastAsia="宋体" w:cs="宋体"/>
                <w:color w:val="auto"/>
                <w:spacing w:val="-3"/>
                <w:sz w:val="21"/>
                <w:szCs w:val="24"/>
              </w:rPr>
              <w:t>0.</w:t>
            </w:r>
            <w:r>
              <w:rPr>
                <w:rFonts w:hint="eastAsia" w:ascii="Times New Roman" w:hAnsi="Times New Roman" w:eastAsia="宋体" w:cs="宋体"/>
                <w:color w:val="auto"/>
                <w:spacing w:val="-3"/>
                <w:sz w:val="21"/>
                <w:szCs w:val="24"/>
                <w:lang w:val="en-US" w:eastAsia="zh-CN"/>
              </w:rPr>
              <w:t>1</w:t>
            </w:r>
            <w:r>
              <w:rPr>
                <w:rFonts w:ascii="Times New Roman" w:hAnsi="Times New Roman" w:eastAsia="宋体" w:cs="宋体"/>
                <w:color w:val="auto"/>
                <w:spacing w:val="-3"/>
                <w:sz w:val="21"/>
                <w:szCs w:val="24"/>
              </w:rPr>
              <w:t>229kgce/kWh</w:t>
            </w:r>
          </w:p>
        </w:tc>
        <w:tc>
          <w:tcPr>
            <w:tcW w:w="1541" w:type="dxa"/>
            <w:noWrap w:val="0"/>
            <w:vAlign w:val="center"/>
          </w:tcPr>
          <w:p w14:paraId="5D0457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宋体"/>
                <w:color w:val="auto"/>
                <w:sz w:val="21"/>
                <w:szCs w:val="24"/>
                <w:lang w:val="en-US" w:eastAsia="zh-CN"/>
              </w:rPr>
            </w:pPr>
            <w:r>
              <w:rPr>
                <w:rFonts w:hint="eastAsia" w:ascii="Times New Roman" w:hAnsi="Times New Roman" w:eastAsia="宋体" w:cs="宋体"/>
                <w:color w:val="auto"/>
                <w:sz w:val="21"/>
                <w:szCs w:val="24"/>
                <w:lang w:val="en-US" w:eastAsia="zh-CN"/>
              </w:rPr>
              <w:t>309.5</w:t>
            </w:r>
          </w:p>
        </w:tc>
        <w:tc>
          <w:tcPr>
            <w:tcW w:w="1252" w:type="dxa"/>
            <w:tcBorders>
              <w:right w:val="single" w:color="000000" w:sz="6" w:space="0"/>
            </w:tcBorders>
            <w:noWrap w:val="0"/>
            <w:vAlign w:val="center"/>
          </w:tcPr>
          <w:p w14:paraId="2AD004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24"/>
              </w:rPr>
            </w:pPr>
            <w:r>
              <w:rPr>
                <w:rFonts w:hint="eastAsia" w:ascii="Times New Roman" w:hAnsi="Times New Roman" w:eastAsia="宋体" w:cs="宋体"/>
                <w:color w:val="auto"/>
                <w:spacing w:val="-3"/>
                <w:sz w:val="21"/>
                <w:szCs w:val="24"/>
                <w:lang w:val="en-US" w:eastAsia="zh-CN"/>
              </w:rPr>
              <w:t>0.0086</w:t>
            </w:r>
            <w:r>
              <w:rPr>
                <w:rFonts w:ascii="Times New Roman" w:hAnsi="Times New Roman" w:eastAsia="宋体" w:cs="宋体"/>
                <w:color w:val="auto"/>
                <w:spacing w:val="-3"/>
                <w:sz w:val="21"/>
                <w:szCs w:val="24"/>
              </w:rPr>
              <w:t>%</w:t>
            </w:r>
          </w:p>
        </w:tc>
      </w:tr>
      <w:tr w14:paraId="12F46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623" w:type="dxa"/>
            <w:tcBorders>
              <w:left w:val="single" w:color="000000" w:sz="6" w:space="0"/>
            </w:tcBorders>
            <w:noWrap w:val="0"/>
            <w:vAlign w:val="center"/>
          </w:tcPr>
          <w:p w14:paraId="0E16DC9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24"/>
              </w:rPr>
            </w:pPr>
            <w:r>
              <w:rPr>
                <w:rFonts w:ascii="Times New Roman" w:hAnsi="Times New Roman" w:eastAsia="宋体" w:cs="宋体"/>
                <w:color w:val="auto"/>
                <w:sz w:val="21"/>
                <w:szCs w:val="24"/>
              </w:rPr>
              <w:t>2</w:t>
            </w:r>
          </w:p>
        </w:tc>
        <w:tc>
          <w:tcPr>
            <w:tcW w:w="1098" w:type="dxa"/>
            <w:noWrap w:val="0"/>
            <w:vAlign w:val="center"/>
          </w:tcPr>
          <w:p w14:paraId="51C8F41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24"/>
              </w:rPr>
            </w:pPr>
            <w:r>
              <w:rPr>
                <w:rFonts w:ascii="Times New Roman" w:hAnsi="Times New Roman" w:eastAsia="宋体" w:cs="宋体"/>
                <w:color w:val="auto"/>
                <w:sz w:val="21"/>
                <w:szCs w:val="24"/>
              </w:rPr>
              <w:t>水</w:t>
            </w:r>
          </w:p>
        </w:tc>
        <w:tc>
          <w:tcPr>
            <w:tcW w:w="966" w:type="dxa"/>
            <w:noWrap w:val="0"/>
            <w:vAlign w:val="center"/>
          </w:tcPr>
          <w:p w14:paraId="2F2B96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24"/>
              </w:rPr>
            </w:pPr>
            <w:r>
              <w:rPr>
                <w:rFonts w:ascii="Times New Roman" w:hAnsi="Times New Roman" w:eastAsia="宋体" w:cs="宋体"/>
                <w:color w:val="auto"/>
                <w:spacing w:val="-2"/>
                <w:sz w:val="21"/>
                <w:szCs w:val="24"/>
              </w:rPr>
              <w:t>m³</w:t>
            </w:r>
          </w:p>
        </w:tc>
        <w:tc>
          <w:tcPr>
            <w:tcW w:w="1178" w:type="dxa"/>
            <w:noWrap w:val="0"/>
            <w:vAlign w:val="center"/>
          </w:tcPr>
          <w:p w14:paraId="3E25B0E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宋体"/>
                <w:color w:val="auto"/>
                <w:sz w:val="21"/>
                <w:szCs w:val="24"/>
                <w:lang w:val="en-US" w:eastAsia="zh-CN"/>
              </w:rPr>
            </w:pPr>
            <w:r>
              <w:rPr>
                <w:rFonts w:hint="eastAsia" w:ascii="Times New Roman" w:hAnsi="Times New Roman" w:eastAsia="宋体" w:cs="宋体"/>
                <w:color w:val="auto"/>
                <w:sz w:val="21"/>
                <w:szCs w:val="24"/>
                <w:lang w:val="en-US" w:eastAsia="zh-CN"/>
              </w:rPr>
              <w:t>85734</w:t>
            </w:r>
          </w:p>
        </w:tc>
        <w:tc>
          <w:tcPr>
            <w:tcW w:w="1860" w:type="dxa"/>
            <w:noWrap w:val="0"/>
            <w:vAlign w:val="center"/>
          </w:tcPr>
          <w:p w14:paraId="694043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24"/>
              </w:rPr>
            </w:pPr>
            <w:r>
              <w:rPr>
                <w:rFonts w:ascii="Times New Roman" w:hAnsi="Times New Roman" w:eastAsia="宋体" w:cs="宋体"/>
                <w:color w:val="auto"/>
                <w:spacing w:val="-1"/>
                <w:sz w:val="21"/>
                <w:szCs w:val="24"/>
              </w:rPr>
              <w:t>0.2571kgce/t</w:t>
            </w:r>
          </w:p>
        </w:tc>
        <w:tc>
          <w:tcPr>
            <w:tcW w:w="1541" w:type="dxa"/>
            <w:noWrap w:val="0"/>
            <w:vAlign w:val="center"/>
          </w:tcPr>
          <w:p w14:paraId="288F5DF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宋体"/>
                <w:color w:val="auto"/>
                <w:sz w:val="21"/>
                <w:szCs w:val="24"/>
                <w:lang w:val="en-US" w:eastAsia="zh-CN"/>
              </w:rPr>
            </w:pPr>
            <w:r>
              <w:rPr>
                <w:rFonts w:hint="eastAsia" w:ascii="Times New Roman" w:hAnsi="Times New Roman" w:eastAsia="宋体" w:cs="宋体"/>
                <w:color w:val="auto"/>
                <w:sz w:val="21"/>
                <w:szCs w:val="24"/>
                <w:lang w:val="en-US" w:eastAsia="zh-CN"/>
              </w:rPr>
              <w:t>22.04</w:t>
            </w:r>
          </w:p>
        </w:tc>
        <w:tc>
          <w:tcPr>
            <w:tcW w:w="1252" w:type="dxa"/>
            <w:tcBorders>
              <w:right w:val="single" w:color="000000" w:sz="6" w:space="0"/>
            </w:tcBorders>
            <w:noWrap w:val="0"/>
            <w:vAlign w:val="center"/>
          </w:tcPr>
          <w:p w14:paraId="6230450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24"/>
              </w:rPr>
            </w:pPr>
            <w:r>
              <w:rPr>
                <w:rFonts w:hint="eastAsia" w:ascii="Times New Roman" w:hAnsi="Times New Roman" w:eastAsia="宋体" w:cs="宋体"/>
                <w:color w:val="auto"/>
                <w:spacing w:val="-2"/>
                <w:sz w:val="21"/>
                <w:szCs w:val="24"/>
                <w:lang w:val="en-US" w:eastAsia="zh-CN"/>
              </w:rPr>
              <w:t>0.0006</w:t>
            </w:r>
            <w:r>
              <w:rPr>
                <w:rFonts w:ascii="Times New Roman" w:hAnsi="Times New Roman" w:eastAsia="宋体" w:cs="宋体"/>
                <w:color w:val="auto"/>
                <w:spacing w:val="-2"/>
                <w:sz w:val="21"/>
                <w:szCs w:val="24"/>
              </w:rPr>
              <w:t>%</w:t>
            </w:r>
          </w:p>
        </w:tc>
      </w:tr>
      <w:tr w14:paraId="756C5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623" w:type="dxa"/>
            <w:tcBorders>
              <w:left w:val="single" w:color="000000" w:sz="6" w:space="0"/>
            </w:tcBorders>
            <w:noWrap w:val="0"/>
            <w:vAlign w:val="center"/>
          </w:tcPr>
          <w:p w14:paraId="3F559A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24"/>
              </w:rPr>
            </w:pPr>
            <w:r>
              <w:rPr>
                <w:rFonts w:ascii="Times New Roman" w:hAnsi="Times New Roman" w:eastAsia="宋体" w:cs="宋体"/>
                <w:color w:val="auto"/>
                <w:sz w:val="21"/>
                <w:szCs w:val="24"/>
              </w:rPr>
              <w:t>3</w:t>
            </w:r>
          </w:p>
        </w:tc>
        <w:tc>
          <w:tcPr>
            <w:tcW w:w="1098" w:type="dxa"/>
            <w:noWrap w:val="0"/>
            <w:vAlign w:val="center"/>
          </w:tcPr>
          <w:p w14:paraId="08D324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宋体"/>
                <w:color w:val="auto"/>
                <w:sz w:val="21"/>
                <w:szCs w:val="24"/>
                <w:lang w:val="en-US" w:eastAsia="zh-CN"/>
              </w:rPr>
            </w:pPr>
            <w:r>
              <w:rPr>
                <w:rFonts w:hint="eastAsia" w:ascii="Times New Roman" w:hAnsi="Times New Roman" w:eastAsia="宋体" w:cs="宋体"/>
                <w:color w:val="auto"/>
                <w:sz w:val="21"/>
                <w:szCs w:val="24"/>
                <w:lang w:val="en-US" w:eastAsia="zh-CN"/>
              </w:rPr>
              <w:t>天然气</w:t>
            </w:r>
          </w:p>
        </w:tc>
        <w:tc>
          <w:tcPr>
            <w:tcW w:w="966" w:type="dxa"/>
            <w:noWrap w:val="0"/>
            <w:vAlign w:val="center"/>
          </w:tcPr>
          <w:p w14:paraId="565B79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24"/>
              </w:rPr>
            </w:pPr>
            <w:r>
              <w:rPr>
                <w:rFonts w:ascii="Times New Roman" w:hAnsi="Times New Roman" w:eastAsia="宋体" w:cs="宋体"/>
                <w:color w:val="auto"/>
                <w:spacing w:val="-2"/>
                <w:sz w:val="21"/>
                <w:szCs w:val="24"/>
              </w:rPr>
              <w:t>m³</w:t>
            </w:r>
          </w:p>
        </w:tc>
        <w:tc>
          <w:tcPr>
            <w:tcW w:w="1178" w:type="dxa"/>
            <w:noWrap w:val="0"/>
            <w:vAlign w:val="center"/>
          </w:tcPr>
          <w:p w14:paraId="17F9B9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宋体"/>
                <w:color w:val="auto"/>
                <w:sz w:val="21"/>
                <w:szCs w:val="24"/>
                <w:lang w:val="en-US" w:eastAsia="zh-CN"/>
              </w:rPr>
            </w:pPr>
            <w:r>
              <w:rPr>
                <w:rFonts w:hint="eastAsia" w:ascii="Times New Roman" w:hAnsi="Times New Roman" w:eastAsia="宋体" w:cs="宋体"/>
                <w:color w:val="auto"/>
                <w:sz w:val="21"/>
                <w:szCs w:val="24"/>
                <w:lang w:val="en-US" w:eastAsia="zh-CN"/>
              </w:rPr>
              <w:t>2700000</w:t>
            </w:r>
          </w:p>
        </w:tc>
        <w:tc>
          <w:tcPr>
            <w:tcW w:w="1860" w:type="dxa"/>
            <w:noWrap w:val="0"/>
            <w:vAlign w:val="center"/>
          </w:tcPr>
          <w:p w14:paraId="1BA7C7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24"/>
              </w:rPr>
            </w:pPr>
            <w:r>
              <w:rPr>
                <w:rFonts w:hint="eastAsia" w:ascii="Times New Roman" w:hAnsi="Times New Roman" w:eastAsia="宋体" w:cs="宋体"/>
                <w:color w:val="auto"/>
                <w:spacing w:val="-1"/>
                <w:sz w:val="21"/>
                <w:szCs w:val="24"/>
                <w:lang w:val="en-US" w:eastAsia="zh-CN"/>
              </w:rPr>
              <w:t>1.33</w:t>
            </w:r>
            <w:r>
              <w:rPr>
                <w:rFonts w:ascii="Times New Roman" w:hAnsi="Times New Roman" w:eastAsia="宋体" w:cs="宋体"/>
                <w:color w:val="auto"/>
                <w:spacing w:val="-1"/>
                <w:sz w:val="21"/>
                <w:szCs w:val="24"/>
              </w:rPr>
              <w:t>kgce/</w:t>
            </w:r>
            <w:r>
              <w:rPr>
                <w:rFonts w:ascii="Times New Roman" w:hAnsi="Times New Roman" w:eastAsia="宋体" w:cs="宋体"/>
                <w:color w:val="auto"/>
                <w:spacing w:val="-2"/>
                <w:sz w:val="21"/>
                <w:szCs w:val="24"/>
              </w:rPr>
              <w:t>m³</w:t>
            </w:r>
          </w:p>
        </w:tc>
        <w:tc>
          <w:tcPr>
            <w:tcW w:w="1541" w:type="dxa"/>
            <w:noWrap w:val="0"/>
            <w:vAlign w:val="center"/>
          </w:tcPr>
          <w:p w14:paraId="1A58E88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宋体"/>
                <w:color w:val="auto"/>
                <w:sz w:val="21"/>
                <w:szCs w:val="24"/>
                <w:lang w:val="en-US" w:eastAsia="zh-CN"/>
              </w:rPr>
            </w:pPr>
            <w:r>
              <w:rPr>
                <w:rFonts w:hint="eastAsia" w:ascii="Times New Roman" w:hAnsi="Times New Roman" w:eastAsia="宋体" w:cs="宋体"/>
                <w:color w:val="auto"/>
                <w:sz w:val="21"/>
                <w:szCs w:val="24"/>
                <w:lang w:val="en-US" w:eastAsia="zh-CN"/>
              </w:rPr>
              <w:t>3591000</w:t>
            </w:r>
          </w:p>
        </w:tc>
        <w:tc>
          <w:tcPr>
            <w:tcW w:w="1252" w:type="dxa"/>
            <w:tcBorders>
              <w:right w:val="single" w:color="000000" w:sz="6" w:space="0"/>
            </w:tcBorders>
            <w:noWrap w:val="0"/>
            <w:vAlign w:val="center"/>
          </w:tcPr>
          <w:p w14:paraId="3CA425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24"/>
              </w:rPr>
            </w:pPr>
            <w:r>
              <w:rPr>
                <w:rFonts w:ascii="Times New Roman" w:hAnsi="Times New Roman" w:eastAsia="宋体" w:cs="宋体"/>
                <w:color w:val="auto"/>
                <w:spacing w:val="-2"/>
                <w:sz w:val="21"/>
                <w:szCs w:val="24"/>
              </w:rPr>
              <w:t>9</w:t>
            </w:r>
            <w:r>
              <w:rPr>
                <w:rFonts w:hint="eastAsia" w:ascii="Times New Roman" w:hAnsi="Times New Roman" w:eastAsia="宋体" w:cs="宋体"/>
                <w:color w:val="auto"/>
                <w:spacing w:val="-2"/>
                <w:sz w:val="21"/>
                <w:szCs w:val="24"/>
                <w:lang w:val="en-US" w:eastAsia="zh-CN"/>
              </w:rPr>
              <w:t>9.9908</w:t>
            </w:r>
            <w:r>
              <w:rPr>
                <w:rFonts w:ascii="Times New Roman" w:hAnsi="Times New Roman" w:eastAsia="宋体" w:cs="宋体"/>
                <w:color w:val="auto"/>
                <w:spacing w:val="-2"/>
                <w:sz w:val="21"/>
                <w:szCs w:val="24"/>
              </w:rPr>
              <w:t>%</w:t>
            </w:r>
          </w:p>
        </w:tc>
      </w:tr>
      <w:tr w14:paraId="6C4B2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721" w:type="dxa"/>
            <w:gridSpan w:val="2"/>
            <w:tcBorders>
              <w:left w:val="single" w:color="000000" w:sz="6" w:space="0"/>
              <w:bottom w:val="single" w:color="000000" w:sz="6" w:space="0"/>
            </w:tcBorders>
            <w:noWrap w:val="0"/>
            <w:vAlign w:val="center"/>
          </w:tcPr>
          <w:p w14:paraId="0D8AF9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24"/>
              </w:rPr>
            </w:pPr>
            <w:r>
              <w:rPr>
                <w:rFonts w:ascii="Times New Roman" w:hAnsi="Times New Roman" w:eastAsia="宋体" w:cs="宋体"/>
                <w:color w:val="auto"/>
                <w:spacing w:val="-6"/>
                <w:sz w:val="21"/>
                <w:szCs w:val="24"/>
              </w:rPr>
              <w:t>合计</w:t>
            </w:r>
          </w:p>
        </w:tc>
        <w:tc>
          <w:tcPr>
            <w:tcW w:w="966" w:type="dxa"/>
            <w:tcBorders>
              <w:bottom w:val="single" w:color="000000" w:sz="6" w:space="0"/>
            </w:tcBorders>
            <w:noWrap w:val="0"/>
            <w:vAlign w:val="center"/>
          </w:tcPr>
          <w:p w14:paraId="70F49A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rPr>
            </w:pPr>
          </w:p>
        </w:tc>
        <w:tc>
          <w:tcPr>
            <w:tcW w:w="1178" w:type="dxa"/>
            <w:tcBorders>
              <w:bottom w:val="single" w:color="000000" w:sz="6" w:space="0"/>
            </w:tcBorders>
            <w:noWrap w:val="0"/>
            <w:vAlign w:val="center"/>
          </w:tcPr>
          <w:p w14:paraId="28438E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rPr>
            </w:pPr>
          </w:p>
        </w:tc>
        <w:tc>
          <w:tcPr>
            <w:tcW w:w="1860" w:type="dxa"/>
            <w:tcBorders>
              <w:bottom w:val="single" w:color="000000" w:sz="6" w:space="0"/>
            </w:tcBorders>
            <w:noWrap w:val="0"/>
            <w:vAlign w:val="center"/>
          </w:tcPr>
          <w:p w14:paraId="2DBB527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rPr>
            </w:pPr>
          </w:p>
        </w:tc>
        <w:tc>
          <w:tcPr>
            <w:tcW w:w="1541" w:type="dxa"/>
            <w:tcBorders>
              <w:bottom w:val="single" w:color="000000" w:sz="6" w:space="0"/>
            </w:tcBorders>
            <w:shd w:val="clear" w:color="auto" w:fill="auto"/>
            <w:noWrap w:val="0"/>
            <w:vAlign w:val="center"/>
          </w:tcPr>
          <w:p w14:paraId="4975BFA5">
            <w:pPr>
              <w:keepNext w:val="0"/>
              <w:keepLines w:val="0"/>
              <w:widowControl/>
              <w:suppressLineNumbers w:val="0"/>
              <w:jc w:val="center"/>
              <w:textAlignment w:val="center"/>
              <w:rPr>
                <w:rFonts w:hint="default" w:ascii="Times New Roman" w:hAnsi="Times New Roman" w:eastAsia="宋体" w:cs="宋体"/>
                <w:i w:val="0"/>
                <w:iCs w:val="0"/>
                <w:snapToGrid w:val="0"/>
                <w:color w:val="auto"/>
                <w:kern w:val="0"/>
                <w:sz w:val="21"/>
                <w:szCs w:val="21"/>
                <w:u w:val="none"/>
                <w:lang w:val="en-US" w:eastAsia="en-US" w:bidi="ar-SA"/>
              </w:rPr>
            </w:pPr>
            <w:r>
              <w:rPr>
                <w:rFonts w:hint="default" w:ascii="Times New Roman" w:hAnsi="Times New Roman" w:eastAsia="宋体" w:cs="宋体"/>
                <w:i w:val="0"/>
                <w:iCs w:val="0"/>
                <w:snapToGrid w:val="0"/>
                <w:color w:val="auto"/>
                <w:kern w:val="0"/>
                <w:sz w:val="21"/>
                <w:szCs w:val="21"/>
                <w:u w:val="none"/>
                <w:lang w:val="en-US" w:eastAsia="zh-CN" w:bidi="ar"/>
              </w:rPr>
              <w:t>3591331.54</w:t>
            </w:r>
          </w:p>
        </w:tc>
        <w:tc>
          <w:tcPr>
            <w:tcW w:w="1252" w:type="dxa"/>
            <w:tcBorders>
              <w:bottom w:val="single" w:color="000000" w:sz="6" w:space="0"/>
              <w:right w:val="single" w:color="000000" w:sz="6" w:space="0"/>
            </w:tcBorders>
            <w:noWrap w:val="0"/>
            <w:vAlign w:val="center"/>
          </w:tcPr>
          <w:p w14:paraId="465894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24"/>
              </w:rPr>
            </w:pPr>
            <w:r>
              <w:rPr>
                <w:rFonts w:ascii="Times New Roman" w:hAnsi="Times New Roman" w:eastAsia="宋体" w:cs="宋体"/>
                <w:color w:val="auto"/>
                <w:spacing w:val="-5"/>
                <w:sz w:val="21"/>
                <w:szCs w:val="24"/>
              </w:rPr>
              <w:t>100.00%</w:t>
            </w:r>
          </w:p>
        </w:tc>
      </w:tr>
    </w:tbl>
    <w:p w14:paraId="1820694A">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color w:val="auto"/>
          <w:sz w:val="24"/>
          <w:lang w:val="en-US"/>
        </w:rPr>
      </w:pPr>
      <w:r>
        <w:rPr>
          <w:rFonts w:hint="eastAsia" w:ascii="Times New Roman" w:hAnsi="Times New Roman" w:eastAsia="宋体" w:cs="宋体"/>
          <w:b/>
          <w:color w:val="auto"/>
          <w:sz w:val="24"/>
          <w:lang w:val="en-US" w:eastAsia="zh-CN"/>
        </w:rPr>
        <w:t>10.3.2、节能措施</w:t>
      </w:r>
    </w:p>
    <w:p w14:paraId="6735AA47">
      <w:pPr>
        <w:pStyle w:val="7"/>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szCs w:val="24"/>
          <w:lang w:val="en-US" w:eastAsia="zh-CN"/>
        </w:rPr>
      </w:pPr>
      <w:r>
        <w:rPr>
          <w:rFonts w:hint="eastAsia" w:ascii="Times New Roman" w:hAnsi="Times New Roman" w:eastAsia="宋体" w:cs="宋体"/>
          <w:b/>
          <w:color w:val="auto"/>
          <w:sz w:val="24"/>
          <w:szCs w:val="24"/>
          <w:lang w:val="en-US" w:eastAsia="zh-CN"/>
        </w:rPr>
        <w:t>10.3.2.1、管理办法</w:t>
      </w:r>
    </w:p>
    <w:p w14:paraId="1B8A02E1">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企业能源消耗指标是判断能耗状况是否符合国家节能政策的重要依据，也是检验工艺是否先进的重要标志；为此公司制定了相应的节能管理办法：</w:t>
      </w:r>
    </w:p>
    <w:p w14:paraId="426F261F">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（1）制订能源消耗定额。应按照国家标准《综合能耗计算通则》</w:t>
      </w:r>
      <w:r>
        <w:rPr>
          <w:rFonts w:hint="default" w:ascii="Times New Roman" w:hAnsi="Times New Roman" w:eastAsia="宋体" w:cs="宋体"/>
          <w:color w:val="auto"/>
          <w:sz w:val="24"/>
          <w:szCs w:val="24"/>
          <w:lang w:val="en-US" w:eastAsia="zh-CN"/>
        </w:rPr>
        <w:t>GB2589-2020</w:t>
      </w:r>
      <w:r>
        <w:rPr>
          <w:rFonts w:hint="eastAsia" w:ascii="Times New Roman" w:hAnsi="Times New Roman" w:eastAsia="宋体" w:cs="宋体"/>
          <w:color w:val="auto"/>
          <w:sz w:val="24"/>
          <w:szCs w:val="24"/>
          <w:lang w:val="en-US" w:eastAsia="zh-CN"/>
        </w:rPr>
        <w:t>和行业的有关规定，分别制订主要耗能设备和工序的能源消耗定额；</w:t>
      </w:r>
    </w:p>
    <w:p w14:paraId="6C3D1BD1">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（2）逐级下达明确责任。能源消耗定额按规定的程序逐级下达，并明确规定完成各项定额的责任部门和责任人；</w:t>
      </w:r>
    </w:p>
    <w:p w14:paraId="31F45A08">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（3）核算实际用量的计量。按规定的方法对主要耗能设备和工序的实际用能量进行计量、统计和核算，定期</w:t>
      </w:r>
      <w:r>
        <w:rPr>
          <w:rFonts w:hint="eastAsia" w:ascii="Times New Roman" w:hAnsi="Times New Roman" w:cs="宋体"/>
          <w:color w:val="auto"/>
          <w:sz w:val="24"/>
          <w:szCs w:val="24"/>
          <w:lang w:val="en-US" w:eastAsia="zh-CN"/>
        </w:rPr>
        <w:t>做出</w:t>
      </w:r>
      <w:r>
        <w:rPr>
          <w:rFonts w:hint="eastAsia" w:ascii="Times New Roman" w:hAnsi="Times New Roman" w:eastAsia="宋体" w:cs="宋体"/>
          <w:color w:val="auto"/>
          <w:sz w:val="24"/>
          <w:szCs w:val="24"/>
          <w:lang w:val="en-US" w:eastAsia="zh-CN"/>
        </w:rPr>
        <w:t>报告；</w:t>
      </w:r>
    </w:p>
    <w:p w14:paraId="5881E56A">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（4）节能经济效益分析。为达到降本增效的目的，通过对历年产品单耗的定额考核，核算分析产品用能成本超降情况；</w:t>
      </w:r>
    </w:p>
    <w:p w14:paraId="6612834D">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（5）预测能源消费。根据当年能源消费的实际情况和挖掘节能的潜力，合理制订下年度的能源消费计划</w:t>
      </w:r>
    </w:p>
    <w:p w14:paraId="50409233">
      <w:pPr>
        <w:pStyle w:val="7"/>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szCs w:val="24"/>
          <w:lang w:val="en-US" w:eastAsia="zh-CN"/>
        </w:rPr>
      </w:pPr>
      <w:r>
        <w:rPr>
          <w:rFonts w:hint="eastAsia" w:ascii="Times New Roman" w:hAnsi="Times New Roman" w:eastAsia="宋体" w:cs="宋体"/>
          <w:b/>
          <w:color w:val="auto"/>
          <w:sz w:val="24"/>
          <w:szCs w:val="24"/>
          <w:lang w:val="en-US" w:eastAsia="zh-CN"/>
        </w:rPr>
        <w:t>10.3.2.2、生产工艺节能措施</w:t>
      </w:r>
    </w:p>
    <w:p w14:paraId="527696AF">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（1）本项目实施后，由于采用了自动化程度较高的设备，生产效率提高，与普通工艺相比，单位产品的能耗有所下降。</w:t>
      </w:r>
    </w:p>
    <w:p w14:paraId="2896ABA7">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（2）机组生产用的能源介质设有必要的流量检测仪表，在保证工艺生产需要的情况下，最经济地使用各种能源介质。</w:t>
      </w:r>
    </w:p>
    <w:p w14:paraId="60E81CB8">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（3）各生产机组采用先进的自动控制系统，可实现生产最佳化，从而间接节约了能源。</w:t>
      </w:r>
    </w:p>
    <w:p w14:paraId="52E17B23">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（4）在满足工艺要求的前提下，简化工艺路线。</w:t>
      </w:r>
    </w:p>
    <w:p w14:paraId="6039E379">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（5）在满足产量的前提下，选用性能稳定、可靠、操作和维修保养简便，耗能低的先进设备，设备的装机容量配备合理，动力消耗低</w:t>
      </w:r>
    </w:p>
    <w:p w14:paraId="684AE3BD">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（6）在操作、维修管理中，要求操作人员在各个生产环节上，严格执行操作规程，减少设备故障，及时排除故障，防止设备空载。</w:t>
      </w:r>
    </w:p>
    <w:p w14:paraId="4EAB95F3">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（7）设备的装机容量要和生产率相匹配，避免大马拉小车的现象。</w:t>
      </w:r>
    </w:p>
    <w:p w14:paraId="23354E44">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（8）所有电动机采用</w:t>
      </w:r>
      <w:r>
        <w:rPr>
          <w:rFonts w:hint="default" w:ascii="Times New Roman" w:hAnsi="Times New Roman" w:eastAsia="宋体" w:cs="宋体"/>
          <w:color w:val="auto"/>
          <w:sz w:val="24"/>
          <w:szCs w:val="24"/>
          <w:lang w:val="en-US" w:eastAsia="zh-CN"/>
        </w:rPr>
        <w:t>YX</w:t>
      </w:r>
      <w:r>
        <w:rPr>
          <w:rFonts w:hint="eastAsia" w:ascii="Times New Roman" w:hAnsi="Times New Roman" w:eastAsia="宋体" w:cs="宋体"/>
          <w:color w:val="auto"/>
          <w:sz w:val="24"/>
          <w:szCs w:val="24"/>
          <w:lang w:val="en-US" w:eastAsia="zh-CN"/>
        </w:rPr>
        <w:t>系列等节能电机。</w:t>
      </w:r>
    </w:p>
    <w:p w14:paraId="41277C78">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宋体"/>
          <w:color w:val="auto"/>
        </w:rPr>
      </w:pPr>
      <w:r>
        <w:rPr>
          <w:rFonts w:hint="eastAsia" w:ascii="Times New Roman" w:hAnsi="Times New Roman" w:eastAsia="宋体" w:cs="宋体"/>
          <w:color w:val="auto"/>
          <w:sz w:val="24"/>
          <w:szCs w:val="24"/>
          <w:lang w:val="en-US" w:eastAsia="zh-CN"/>
        </w:rPr>
        <w:t>（9）采用电力电容器补偿无功容量，减少线路损耗和变压器损耗。</w:t>
      </w:r>
    </w:p>
    <w:p w14:paraId="2CA3E814">
      <w:pPr>
        <w:pStyle w:val="7"/>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szCs w:val="24"/>
          <w:lang w:val="en-US" w:eastAsia="zh-CN"/>
        </w:rPr>
      </w:pPr>
      <w:r>
        <w:rPr>
          <w:rFonts w:hint="eastAsia" w:ascii="Times New Roman" w:hAnsi="Times New Roman" w:eastAsia="宋体" w:cs="宋体"/>
          <w:b/>
          <w:color w:val="auto"/>
          <w:sz w:val="24"/>
          <w:szCs w:val="24"/>
          <w:lang w:val="en-US" w:eastAsia="zh-CN"/>
        </w:rPr>
        <w:t>10.3.2.3、节水措施</w:t>
      </w:r>
    </w:p>
    <w:p w14:paraId="0BF53460">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（1）企业内各用水部门，本企业安装计量分水表，车间用水计量率应达到</w:t>
      </w:r>
      <w:r>
        <w:rPr>
          <w:rFonts w:hint="default" w:ascii="Times New Roman" w:hAnsi="Times New Roman" w:eastAsia="宋体" w:cs="宋体"/>
          <w:color w:val="auto"/>
          <w:sz w:val="24"/>
          <w:szCs w:val="24"/>
          <w:lang w:val="en-US" w:eastAsia="zh-CN"/>
        </w:rPr>
        <w:t>100</w:t>
      </w:r>
      <w:r>
        <w:rPr>
          <w:rFonts w:hint="eastAsia" w:ascii="Times New Roman" w:hAnsi="Times New Roman" w:eastAsia="宋体" w:cs="宋体"/>
          <w:color w:val="auto"/>
          <w:sz w:val="24"/>
          <w:szCs w:val="24"/>
          <w:lang w:val="en-US" w:eastAsia="zh-CN"/>
        </w:rPr>
        <w:t>％，设备用水计量率不低于</w:t>
      </w:r>
      <w:r>
        <w:rPr>
          <w:rFonts w:hint="default" w:ascii="Times New Roman" w:hAnsi="Times New Roman" w:eastAsia="宋体" w:cs="宋体"/>
          <w:color w:val="auto"/>
          <w:sz w:val="24"/>
          <w:szCs w:val="24"/>
          <w:lang w:val="en-US" w:eastAsia="zh-CN"/>
        </w:rPr>
        <w:t>90</w:t>
      </w:r>
      <w:r>
        <w:rPr>
          <w:rFonts w:hint="eastAsia" w:ascii="Times New Roman" w:hAnsi="Times New Roman" w:eastAsia="宋体" w:cs="宋体"/>
          <w:color w:val="auto"/>
          <w:sz w:val="24"/>
          <w:szCs w:val="24"/>
          <w:lang w:val="en-US" w:eastAsia="zh-CN"/>
        </w:rPr>
        <w:t>％。并保证计量水表的完好率、检定率；</w:t>
      </w:r>
    </w:p>
    <w:p w14:paraId="4AFBCB9C">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（2）在给水系统中应采用良好的阀门，减少水资源的跑冒滴漏；</w:t>
      </w:r>
    </w:p>
    <w:p w14:paraId="4AA7277A">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（3）根据我国供水情况，应用内壁光滑的供水管材，减少管道沿程水头损失；降低供水能耗；</w:t>
      </w:r>
    </w:p>
    <w:p w14:paraId="0ABEE194">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（4）供、用水系统管路及设备，如阀门、水泵、冷却设备、储水设备、水处理设施及计量仪表等，均应选择节能型产品或按国家有关规范和产品标准的要求设计、制造、安装；</w:t>
      </w:r>
    </w:p>
    <w:p w14:paraId="79F77A7D">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（5）采用节水型卫生器具以减少供水量，同时也就减少了供水能耗。</w:t>
      </w:r>
    </w:p>
    <w:p w14:paraId="69988D7D">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（6）选用节水型卫生洁具及配水件。</w:t>
      </w:r>
    </w:p>
    <w:p w14:paraId="6B3412B7">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（7）绿化用水采用微喷滴灌方式浇洒，并设置单独用水计量装置。</w:t>
      </w:r>
    </w:p>
    <w:p w14:paraId="5C06DA05">
      <w:pPr>
        <w:pStyle w:val="7"/>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b/>
          <w:color w:val="auto"/>
          <w:sz w:val="24"/>
          <w:szCs w:val="24"/>
          <w:lang w:val="en-US" w:eastAsia="zh-CN"/>
        </w:rPr>
      </w:pPr>
      <w:r>
        <w:rPr>
          <w:rFonts w:hint="eastAsia" w:ascii="Times New Roman" w:hAnsi="Times New Roman" w:eastAsia="宋体" w:cs="宋体"/>
          <w:b/>
          <w:color w:val="auto"/>
          <w:sz w:val="24"/>
          <w:szCs w:val="24"/>
          <w:lang w:val="en-US" w:eastAsia="zh-CN"/>
        </w:rPr>
        <w:t>10.3.2.4、电力节能措施</w:t>
      </w:r>
    </w:p>
    <w:p w14:paraId="6DE1E522">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lang w:val="en-US" w:eastAsia="zh-CN"/>
        </w:rPr>
      </w:pPr>
      <w:r>
        <w:rPr>
          <w:rFonts w:hint="eastAsia" w:ascii="Times New Roman" w:hAnsi="Times New Roman" w:eastAsia="宋体" w:cs="宋体"/>
          <w:color w:val="auto"/>
          <w:sz w:val="24"/>
          <w:szCs w:val="24"/>
          <w:lang w:val="en-US" w:eastAsia="zh-CN"/>
        </w:rPr>
        <w:t>变电所尽量装于负荷中心，减少管线投资及电能损耗。对于无功功率采用低压侧集中自动补偿与单灯补偿相结合，使功率因数达到0.9以上，以减少无功损耗。供配电尽量做到三相负荷均衡。选用节能型干式变压器（</w:t>
      </w:r>
      <w:r>
        <w:rPr>
          <w:rFonts w:hint="default" w:ascii="Times New Roman" w:hAnsi="Times New Roman" w:eastAsia="宋体" w:cs="宋体"/>
          <w:color w:val="auto"/>
          <w:sz w:val="24"/>
          <w:szCs w:val="24"/>
          <w:lang w:val="en-US" w:eastAsia="zh-CN"/>
        </w:rPr>
        <w:t>SCB10</w:t>
      </w:r>
      <w:r>
        <w:rPr>
          <w:rFonts w:hint="eastAsia" w:ascii="Times New Roman" w:hAnsi="Times New Roman" w:eastAsia="宋体" w:cs="宋体"/>
          <w:color w:val="auto"/>
          <w:sz w:val="24"/>
          <w:szCs w:val="24"/>
          <w:lang w:val="en-US" w:eastAsia="zh-CN"/>
        </w:rPr>
        <w:t>）采用高效节能光源，荧光灯采用谐波含量较低的电子镇流器或采用节能快速启动的电感镇流器。楼梯间、走道采用就地开关控制。</w:t>
      </w:r>
    </w:p>
    <w:p w14:paraId="59E90911">
      <w:pPr>
        <w:rPr>
          <w:rFonts w:hint="eastAsia" w:ascii="Times New Roman" w:hAnsi="Times New Roman" w:eastAsia="宋体" w:cs="宋体"/>
          <w:color w:val="auto"/>
          <w:lang w:val="en-US" w:eastAsia="zh-CN"/>
        </w:rPr>
      </w:pPr>
    </w:p>
    <w:p w14:paraId="435ED02A">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hint="eastAsia" w:ascii="Times New Roman" w:hAnsi="Times New Roman" w:eastAsia="宋体" w:cs="宋体"/>
          <w:color w:val="auto"/>
          <w:lang w:val="en-US" w:eastAsia="zh-CN"/>
        </w:rPr>
      </w:pPr>
    </w:p>
    <w:p w14:paraId="69D6BA29">
      <w:pPr>
        <w:pStyle w:val="2"/>
        <w:rPr>
          <w:rFonts w:hint="eastAsia" w:ascii="Times New Roman" w:hAnsi="Times New Roman" w:eastAsia="宋体" w:cs="宋体"/>
          <w:color w:val="auto"/>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bookmarkEnd w:id="53"/>
    <w:p w14:paraId="44DFFE97">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jc w:val="center"/>
        <w:textAlignment w:val="baseline"/>
        <w:rPr>
          <w:rFonts w:hint="eastAsia" w:ascii="Times New Roman" w:hAnsi="Times New Roman" w:eastAsia="宋体" w:cs="宋体"/>
          <w:b/>
          <w:color w:val="auto"/>
          <w:sz w:val="30"/>
          <w:szCs w:val="30"/>
          <w:lang w:val="en-US" w:eastAsia="zh-CN"/>
        </w:rPr>
      </w:pPr>
      <w:bookmarkStart w:id="106" w:name="bookmark39"/>
      <w:bookmarkEnd w:id="106"/>
      <w:bookmarkStart w:id="107" w:name="_Toc31878"/>
      <w:r>
        <w:rPr>
          <w:rFonts w:hint="eastAsia" w:ascii="Times New Roman" w:hAnsi="Times New Roman" w:eastAsia="宋体" w:cs="宋体"/>
          <w:b/>
          <w:color w:val="auto"/>
          <w:sz w:val="30"/>
          <w:szCs w:val="30"/>
          <w:lang w:val="en-US" w:eastAsia="zh-CN"/>
        </w:rPr>
        <w:t>第十一章 绿色建筑节能专篇</w:t>
      </w:r>
      <w:bookmarkEnd w:id="107"/>
    </w:p>
    <w:p w14:paraId="1AF04382">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ascii="Times New Roman" w:hAnsi="Times New Roman" w:eastAsia="宋体" w:cs="宋体"/>
          <w:color w:val="auto"/>
        </w:rPr>
      </w:pPr>
      <w:bookmarkStart w:id="108" w:name="_Toc2940"/>
      <w:r>
        <w:rPr>
          <w:rFonts w:hint="eastAsia" w:ascii="Times New Roman" w:hAnsi="Times New Roman" w:eastAsia="宋体" w:cs="宋体"/>
          <w:b/>
          <w:bCs/>
          <w:color w:val="auto"/>
          <w:sz w:val="28"/>
          <w:szCs w:val="28"/>
          <w:lang w:val="en-US" w:eastAsia="zh-CN"/>
        </w:rPr>
        <w:t>11.1、设计依据</w:t>
      </w:r>
      <w:bookmarkEnd w:id="108"/>
    </w:p>
    <w:p w14:paraId="7FE86359">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（1）国家、省、市现行的其他建筑节能相关的法律、法规；</w:t>
      </w:r>
    </w:p>
    <w:p w14:paraId="19F94D78">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（2）《绿色建筑评价标准》（GB/T50378-2019）；</w:t>
      </w:r>
    </w:p>
    <w:p w14:paraId="6F3AEDDF">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（3）《智能建筑设计标准》（GB50314-2015）；</w:t>
      </w:r>
    </w:p>
    <w:p w14:paraId="7A390D16">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（4）《建筑采光设计标准》（GB50033-2013）；</w:t>
      </w:r>
    </w:p>
    <w:p w14:paraId="1C87F4D2">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（5）《建筑照明设计标准》（GB50034-2013）；</w:t>
      </w:r>
    </w:p>
    <w:p w14:paraId="01D04714">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（6）《民用建筑节水设计标准》（GB50555-2010）；</w:t>
      </w:r>
    </w:p>
    <w:p w14:paraId="0176BD27">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（7）《民用建筑绿色设计规范》（JGJ/T229-2010）；</w:t>
      </w:r>
    </w:p>
    <w:p w14:paraId="43E878C3">
      <w:pPr>
        <w:pStyle w:val="2"/>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（8）本建筑单体建筑节能设计符合《公共建筑节能设计标准》（GB50189-2015）中强制性条文的规定，具体物理指标详见节能计算。</w:t>
      </w:r>
    </w:p>
    <w:p w14:paraId="345BE9DD">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b w:val="0"/>
          <w:bCs w:val="0"/>
          <w:snapToGrid w:val="0"/>
          <w:color w:val="auto"/>
          <w:kern w:val="0"/>
          <w:sz w:val="24"/>
          <w:szCs w:val="24"/>
          <w:lang w:val="en-US" w:eastAsia="zh-CN" w:bidi="ar-SA"/>
        </w:rPr>
      </w:pPr>
      <w:r>
        <w:rPr>
          <w:rFonts w:hint="eastAsia" w:ascii="Times New Roman" w:hAnsi="Times New Roman" w:eastAsia="宋体" w:cs="宋体"/>
          <w:color w:val="auto"/>
          <w:sz w:val="24"/>
          <w:szCs w:val="24"/>
          <w:lang w:val="en-US" w:eastAsia="zh-CN"/>
        </w:rPr>
        <w:t>绿色建筑评价应以单栋建筑或建筑群为评价对象。评价对象应落实并深化上位法定规划及相关专项规划提出的绿色发展要求；涉及系统性、整体性的指标，应基于建筑所属工程项目的总体进行评价。</w:t>
      </w:r>
      <w:r>
        <w:rPr>
          <w:rFonts w:hint="eastAsia" w:ascii="Times New Roman" w:hAnsi="Times New Roman" w:eastAsia="宋体" w:cs="宋体"/>
          <w:b w:val="0"/>
          <w:bCs w:val="0"/>
          <w:snapToGrid w:val="0"/>
          <w:color w:val="auto"/>
          <w:kern w:val="0"/>
          <w:sz w:val="24"/>
          <w:szCs w:val="24"/>
          <w:lang w:val="en-US" w:eastAsia="zh-CN" w:bidi="ar-SA"/>
        </w:rPr>
        <w:t>绿色建筑评价指标体系应由安全耐久、健康舒适、生活便利、资源节约、环境宜居5类指标组成，且每类指标均包括控制项和评分项；评价指标体系还统一设置加分项。</w:t>
      </w:r>
      <w:bookmarkStart w:id="109" w:name="bookmark96"/>
      <w:bookmarkEnd w:id="109"/>
      <w:bookmarkStart w:id="110" w:name="bookmark95"/>
      <w:bookmarkEnd w:id="110"/>
    </w:p>
    <w:p w14:paraId="304B18D1">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ascii="Times New Roman" w:hAnsi="Times New Roman" w:eastAsia="宋体" w:cs="宋体"/>
          <w:color w:val="auto"/>
        </w:rPr>
      </w:pPr>
      <w:bookmarkStart w:id="111" w:name="_Toc23257"/>
      <w:r>
        <w:rPr>
          <w:rFonts w:hint="eastAsia" w:ascii="Times New Roman" w:hAnsi="Times New Roman" w:eastAsia="宋体" w:cs="宋体"/>
          <w:b/>
          <w:bCs/>
          <w:color w:val="auto"/>
          <w:sz w:val="28"/>
          <w:szCs w:val="28"/>
          <w:lang w:val="en-US" w:eastAsia="zh-CN"/>
        </w:rPr>
        <w:t>11.2、安全耐久</w:t>
      </w:r>
      <w:bookmarkEnd w:id="111"/>
    </w:p>
    <w:p w14:paraId="2EB452AC">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（1）控制项</w:t>
      </w:r>
    </w:p>
    <w:p w14:paraId="6064580B">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1）场地应避开滑坡、泥石流等地质危险地段，易发生洪涝地区应有可靠的防洪涝基础设施；场地应无危险化学品、易燃易爆危险源的威胁，应无电磁辐射、含氡土壤的危害。</w:t>
      </w:r>
    </w:p>
    <w:p w14:paraId="77BA679E">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2）建筑结构应满足承载力和建筑使用功能要求。建筑外墙、屋面、门窗、幕墙及外保温等围护结构应满足安全、耐久和防护的要求。</w:t>
      </w:r>
    </w:p>
    <w:p w14:paraId="323DAC83">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3）外遮阳、太阳能设施、空调室外机位、外墙花池等外部设施应与建筑主体结构统一设计、施工，并应具备安装、检修与维护条件。</w:t>
      </w:r>
    </w:p>
    <w:p w14:paraId="075A1347">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4）建筑内部的非结构构件、设备及附属设施等应连接牢固并能适应主体结构变形。</w:t>
      </w:r>
    </w:p>
    <w:p w14:paraId="6DE3E468">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5）建筑外门窗必须安装牢固，其抗风压性能和水密性能应符合国家现行有关标准的规定。</w:t>
      </w:r>
    </w:p>
    <w:p w14:paraId="4287AAA0">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6）应具有安全防护的警示和引导标识系统。本项目该控制项评定结果：达标。</w:t>
      </w:r>
    </w:p>
    <w:p w14:paraId="3F7C679E">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（2）评分项</w:t>
      </w:r>
    </w:p>
    <w:p w14:paraId="17281017">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1）采用基于性能的抗震设计并合理提高建筑的抗震性能。</w:t>
      </w:r>
    </w:p>
    <w:p w14:paraId="2A718E31">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2）采取保障人员安全的防护措施，采取措施提高阳台、外窗、窗台、防护栏杆等安全防护水平。建筑物出入口均设外墙饰面、门窗玻璃意外脱落的防护措施，并与人员通行区域的遮阳、遮风或挡雨措施结合。利用场地或景观形成可降低坠物风险的缓冲区、隔离带。</w:t>
      </w:r>
    </w:p>
    <w:p w14:paraId="5EAE2A2F">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3）采用具有安全防护功能的产品或配件，采用具有安全防护功能的玻璃，采用具备防夹功能的门窗。</w:t>
      </w:r>
    </w:p>
    <w:p w14:paraId="08304D19">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4）采取人车分流措施，且步行和自行车交通系统有充足照明。</w:t>
      </w:r>
    </w:p>
    <w:p w14:paraId="1467A42A">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5）采取提升建筑适变性的措施。采取通用开放、灵活可变的使用空间设计，或采取建筑使用功能可变措施。建筑结构与建筑设备管线分离。采用与建筑功能和空间变化相适应的设备设施布置方式或控制方式。</w:t>
      </w:r>
    </w:p>
    <w:p w14:paraId="7C068374">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6）采取提升建筑部品部件耐久性的措施。使用耐腐蚀、抗老化、耐久性能好的管材、管线、管件。活动配件选用长寿命产品，并考虑部品组合的寿命性；不同使用寿命的部品组合时，采用便于分别拆换、更新和升级的构造。</w:t>
      </w:r>
    </w:p>
    <w:p w14:paraId="1913B7E4">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宋体"/>
          <w:color w:val="auto"/>
        </w:rPr>
      </w:pPr>
      <w:r>
        <w:rPr>
          <w:rFonts w:hint="eastAsia" w:ascii="Times New Roman" w:hAnsi="Times New Roman" w:eastAsia="宋体" w:cs="宋体"/>
          <w:color w:val="auto"/>
          <w:sz w:val="24"/>
          <w:szCs w:val="24"/>
          <w:lang w:val="en-US" w:eastAsia="zh-CN"/>
        </w:rPr>
        <w:t>7）合理采用耐久性好、易维护的装饰装修建筑材料。采用耐久性好的外饰面材料。采用耐久性好的防水和密封材料。采用耐久性好、易维护的室内装饰装修材料。</w:t>
      </w:r>
    </w:p>
    <w:p w14:paraId="6CB5E496">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ascii="Times New Roman" w:hAnsi="Times New Roman" w:eastAsia="宋体" w:cs="宋体"/>
          <w:color w:val="auto"/>
        </w:rPr>
      </w:pPr>
      <w:bookmarkStart w:id="112" w:name="bookmark97"/>
      <w:bookmarkEnd w:id="112"/>
      <w:bookmarkStart w:id="113" w:name="bookmark98"/>
      <w:bookmarkEnd w:id="113"/>
      <w:bookmarkStart w:id="114" w:name="_Toc7288"/>
      <w:r>
        <w:rPr>
          <w:rFonts w:hint="eastAsia" w:ascii="Times New Roman" w:hAnsi="Times New Roman" w:eastAsia="宋体" w:cs="宋体"/>
          <w:b/>
          <w:bCs/>
          <w:color w:val="auto"/>
          <w:sz w:val="28"/>
          <w:szCs w:val="28"/>
          <w:lang w:val="en-US" w:eastAsia="zh-CN"/>
        </w:rPr>
        <w:t>11.3、健康舒适</w:t>
      </w:r>
      <w:bookmarkEnd w:id="114"/>
    </w:p>
    <w:p w14:paraId="7C4881B9">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（1）控制项</w:t>
      </w:r>
    </w:p>
    <w:p w14:paraId="512C549C">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1）室内空气中的氨、甲醛、苯、总挥发性有机物等污染物浓度应符合现行国家标准《室内空气质量标准》（GB/T18883）的有关规定。建筑室内和建筑主出入口处应禁止吸烟，并应在醒目位置设置禁烟标志。</w:t>
      </w:r>
    </w:p>
    <w:p w14:paraId="4A41B548">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2）生活饮用水水质应满足现行国家标准《生活饮用水卫生标准》（GB5749）的要求；应制定水池、水箱等储水设施定期清洗消毒计划并实施，且生活饮用水储水设施每半年清洗消毒不应少于1次；应使用构造内自带水封的便器，且其水封深度不应小于50mm；非传统水源管道和设备应设置明确、清晰的永久性标识。</w:t>
      </w:r>
    </w:p>
    <w:p w14:paraId="1EE9018B">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3）室内噪声级应满足现行国家标准《民用建筑隔声设计规范》（GB50118）中的低限要求；外墙、隔墙、楼板和门窗的隔声性能应满足现行国家标准《民用建筑隔声设计规范》（GB50118）中的低限要求。</w:t>
      </w:r>
    </w:p>
    <w:p w14:paraId="1F359360">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4）照明数量和质量应符合现行国家标准《建筑照明设计标准》（GB50034）的规定；人员长期停留的场所应采用符合现行国家标准《灯和灯系统的光生物安全性》（GB/T20145）规定的无危险类照明产品；选用LED照明产品的光输出波形的波动深度应满足现行国家标准《LED室内照明应用技术要求》（GB/T31831）的规定。</w:t>
      </w:r>
    </w:p>
    <w:p w14:paraId="30EF1745">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5）应采取措施保障室内热环境。采用集中供暖空调系统的建筑，房间内的温度、湿度、新风量等设计参数应符合现行国家标准《民用建筑供暖通风与空气调节设计规范》（GB50736）的有关规定；采用非集中供暖空调系统的建筑，应具有保障室内热环境的措施或预留条件。</w:t>
      </w:r>
    </w:p>
    <w:p w14:paraId="34397020">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6）在室内设计温度、湿度条件下，建筑非透光围护结构内表面不得结露；供暖建筑的屋面、外墙内部不应产生冷凝；屋顶和外墙隔热性能应满足现行国家标准《民用建筑热工设计规范》（GB50176）的要求。</w:t>
      </w:r>
    </w:p>
    <w:p w14:paraId="3C9F1F8B">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7）主要功能房间应具有现场独立控制的热环境调节装置。本项目该控制项评定结果：达标。</w:t>
      </w:r>
    </w:p>
    <w:p w14:paraId="2F3628D9">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（2）评分项</w:t>
      </w:r>
    </w:p>
    <w:p w14:paraId="1796C2F0">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1）氨、甲醛、苯、总挥发性有机物等污染物浓度低于现行国家标准《室内空气质量标准》（GB/T18883）规定限值的10％。</w:t>
      </w:r>
    </w:p>
    <w:p w14:paraId="73854BA1">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2）生活饮用水水池、水箱等储水设施采取措施满足卫生要求，使用符合国家现行有关标准要求的成品水箱。</w:t>
      </w:r>
    </w:p>
    <w:p w14:paraId="00E758B5">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3）所有给水排水管道、设备、设施设置明确、清晰的永久性标识。</w:t>
      </w:r>
    </w:p>
    <w:p w14:paraId="6C7B16F9">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4）采用自然通风或复合通风的建筑，建筑主要功能房间室内热环境参数在适应性热舒适区域的时间比例。</w:t>
      </w:r>
    </w:p>
    <w:p w14:paraId="60A4E0BE">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5）通风开口面积与房间地板面积的比例在夏热冬冷地区达到8％。</w:t>
      </w:r>
    </w:p>
    <w:p w14:paraId="52F40C0A">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eastAsia" w:ascii="Times New Roman" w:hAnsi="Times New Roman" w:eastAsia="宋体" w:cs="宋体"/>
          <w:color w:val="auto"/>
          <w:sz w:val="24"/>
          <w:szCs w:val="24"/>
          <w:lang w:val="en-US" w:eastAsia="zh-CN"/>
        </w:rPr>
      </w:pPr>
      <w:bookmarkStart w:id="115" w:name="bookmark100"/>
      <w:bookmarkEnd w:id="115"/>
      <w:bookmarkStart w:id="116" w:name="bookmark99"/>
      <w:bookmarkEnd w:id="116"/>
      <w:bookmarkStart w:id="117" w:name="_Toc6956"/>
      <w:r>
        <w:rPr>
          <w:rFonts w:hint="eastAsia" w:ascii="Times New Roman" w:hAnsi="Times New Roman" w:eastAsia="宋体" w:cs="宋体"/>
          <w:b/>
          <w:bCs/>
          <w:color w:val="auto"/>
          <w:sz w:val="28"/>
          <w:szCs w:val="28"/>
          <w:lang w:val="en-US" w:eastAsia="zh-CN"/>
        </w:rPr>
        <w:t>11.4、资源节约</w:t>
      </w:r>
      <w:bookmarkEnd w:id="117"/>
    </w:p>
    <w:p w14:paraId="3DD3ABA7">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（1）控制项</w:t>
      </w:r>
    </w:p>
    <w:p w14:paraId="0B63D864">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1）应结合场地自然条件和建筑功能需求，对建筑的体形、平面布局、空间尺度、围护结构等进行节能设计，且应符合国家有关节能设计的要求。</w:t>
      </w:r>
    </w:p>
    <w:p w14:paraId="121A2C0D">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2）应根据建筑空间功能设置分区温度，合理降低室内过渡区空间的温度设定标准。</w:t>
      </w:r>
    </w:p>
    <w:p w14:paraId="1940F049">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3）冷热源、输配系统和照明等各部分能耗应进行独立分项计量。</w:t>
      </w:r>
    </w:p>
    <w:p w14:paraId="13D4C628">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4）应按使用用途、付费或管理单元，分别设置用水计量装置；用水点处水压大于0.2MPa的配水支管应设置减压设施，并应满足给水配件最低工作压力的要求；用水器具和设备应满足节水产品的要求。</w:t>
      </w:r>
    </w:p>
    <w:p w14:paraId="201182E5">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5）不应采用建筑形体和布置严重不规则的建筑结构。</w:t>
      </w:r>
    </w:p>
    <w:p w14:paraId="2B284089">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6）500km以内生产的建筑材料重量占建筑材料总重量的比例应大于60％；现浇混凝土应采用预拌混凝土，建筑砂浆应采用预拌砂浆。</w:t>
      </w:r>
    </w:p>
    <w:p w14:paraId="48AD9AEA">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本项目该控制项评定结果：达标。</w:t>
      </w:r>
    </w:p>
    <w:p w14:paraId="32DB1E1A">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（2）评分项</w:t>
      </w:r>
    </w:p>
    <w:p w14:paraId="191D8ED9">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1）节约集约利用土地。</w:t>
      </w:r>
    </w:p>
    <w:p w14:paraId="646CEDCB">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2）绿化灌溉采用节水设备或技术，在采用节水灌溉系统的基础上，设置土壤湿度感应器、雨天自动关闭装置等节水控制措施，或种植无须永久灌溉植物。</w:t>
      </w:r>
    </w:p>
    <w:p w14:paraId="1C6065B9">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3）结合雨水综合利用设施营造室外景观水体，室外景观水体利用雨水的补水量大于水体蒸发量的60％，且采用保障水体水质的生态水处理技术，对进入室外景观水体的雨水，利用生态设施削减径流污染。</w:t>
      </w:r>
    </w:p>
    <w:p w14:paraId="4C22435E">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4）选用绿色建材，绿色建材应用比例不低于30％。综上所述，该项目绿色建筑划分为基本级。</w:t>
      </w:r>
    </w:p>
    <w:p w14:paraId="176043AE">
      <w:pPr>
        <w:rPr>
          <w:rFonts w:hint="eastAsia" w:ascii="Times New Roman" w:hAnsi="Times New Roman" w:eastAsia="宋体" w:cs="宋体"/>
          <w:b/>
          <w:color w:val="auto"/>
          <w:sz w:val="30"/>
          <w:szCs w:val="30"/>
          <w:lang w:val="en-US" w:eastAsia="zh-CN"/>
        </w:rPr>
      </w:pPr>
    </w:p>
    <w:p w14:paraId="1C067112">
      <w:pPr>
        <w:rPr>
          <w:rFonts w:hint="eastAsia" w:ascii="Times New Roman" w:hAnsi="Times New Roman" w:eastAsia="宋体" w:cs="宋体"/>
          <w:b/>
          <w:color w:val="auto"/>
          <w:sz w:val="30"/>
          <w:szCs w:val="30"/>
          <w:lang w:val="en-US" w:eastAsia="zh-CN"/>
        </w:rPr>
        <w:sectPr>
          <w:headerReference r:id="rId13" w:type="default"/>
          <w:footerReference r:id="rId14"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6C0875B2">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jc w:val="center"/>
        <w:textAlignment w:val="baseline"/>
        <w:rPr>
          <w:rFonts w:hint="eastAsia" w:ascii="Times New Roman" w:hAnsi="Times New Roman" w:eastAsia="宋体" w:cs="宋体"/>
          <w:b/>
          <w:color w:val="auto"/>
          <w:sz w:val="30"/>
          <w:szCs w:val="30"/>
          <w:lang w:val="en-US" w:eastAsia="zh-CN"/>
        </w:rPr>
      </w:pPr>
      <w:bookmarkStart w:id="118" w:name="_Toc7242"/>
      <w:r>
        <w:rPr>
          <w:rFonts w:hint="eastAsia" w:ascii="Times New Roman" w:hAnsi="Times New Roman" w:eastAsia="宋体" w:cs="宋体"/>
          <w:b/>
          <w:color w:val="auto"/>
          <w:sz w:val="30"/>
          <w:szCs w:val="30"/>
          <w:lang w:val="en-US" w:eastAsia="zh-CN"/>
        </w:rPr>
        <w:t>第十二章 安全生产与劳动保护</w:t>
      </w:r>
      <w:bookmarkEnd w:id="118"/>
    </w:p>
    <w:p w14:paraId="516CC398">
      <w:pPr>
        <w:pStyle w:val="5"/>
        <w:keepNext w:val="0"/>
        <w:keepLines w:val="0"/>
        <w:pageBreakBefore w:val="0"/>
        <w:widowControl/>
        <w:kinsoku w:val="0"/>
        <w:wordWrap/>
        <w:overflowPunct/>
        <w:topLinePunct w:val="0"/>
        <w:autoSpaceDE w:val="0"/>
        <w:autoSpaceDN w:val="0"/>
        <w:bidi w:val="0"/>
        <w:adjustRightInd w:val="0"/>
        <w:snapToGrid/>
        <w:spacing w:before="0" w:beforeAutospacing="0" w:after="0" w:afterAutospacing="0" w:line="360" w:lineRule="auto"/>
        <w:ind w:right="0"/>
        <w:textAlignment w:val="baseline"/>
        <w:rPr>
          <w:rFonts w:hint="eastAsia" w:ascii="Times New Roman" w:hAnsi="Times New Roman" w:eastAsia="宋体" w:cs="宋体"/>
          <w:b/>
          <w:bCs/>
          <w:color w:val="auto"/>
          <w:sz w:val="28"/>
          <w:szCs w:val="28"/>
          <w:lang w:val="en-US" w:eastAsia="zh-CN"/>
        </w:rPr>
      </w:pPr>
      <w:bookmarkStart w:id="119" w:name="_Toc2411"/>
      <w:bookmarkStart w:id="120" w:name="_Toc8916"/>
      <w:bookmarkStart w:id="121" w:name="_Toc741"/>
      <w:bookmarkStart w:id="122" w:name="_Toc28521"/>
      <w:r>
        <w:rPr>
          <w:rFonts w:hint="eastAsia" w:ascii="Times New Roman" w:hAnsi="Times New Roman" w:eastAsia="宋体" w:cs="宋体"/>
          <w:b/>
          <w:bCs/>
          <w:color w:val="auto"/>
          <w:sz w:val="28"/>
          <w:szCs w:val="28"/>
          <w:lang w:val="en-US" w:eastAsia="zh-CN"/>
        </w:rPr>
        <w:t>12.1、工程概述</w:t>
      </w:r>
      <w:bookmarkEnd w:id="119"/>
      <w:bookmarkEnd w:id="120"/>
      <w:bookmarkEnd w:id="121"/>
      <w:bookmarkEnd w:id="122"/>
    </w:p>
    <w:p w14:paraId="09760BCC">
      <w:pPr>
        <w:keepNext w:val="0"/>
        <w:keepLines w:val="0"/>
        <w:pageBreakBefore w:val="0"/>
        <w:widowControl/>
        <w:tabs>
          <w:tab w:val="left" w:pos="1050"/>
        </w:tabs>
        <w:kinsoku w:val="0"/>
        <w:wordWrap/>
        <w:overflowPunct/>
        <w:autoSpaceDE w:val="0"/>
        <w:autoSpaceDN w:val="0"/>
        <w:bidi w:val="0"/>
        <w:adjustRightInd w:val="0"/>
        <w:snapToGrid/>
        <w:spacing w:line="360" w:lineRule="auto"/>
        <w:ind w:firstLine="480" w:firstLineChars="200"/>
        <w:textAlignment w:val="baseline"/>
        <w:rPr>
          <w:rFonts w:hint="eastAsia" w:ascii="Times New Roman" w:hAnsi="Times New Roman" w:eastAsia="宋体" w:cs="宋体"/>
          <w:color w:val="auto"/>
          <w:sz w:val="24"/>
          <w:szCs w:val="28"/>
        </w:rPr>
      </w:pPr>
      <w:r>
        <w:rPr>
          <w:rFonts w:hint="eastAsia" w:ascii="Times New Roman" w:hAnsi="Times New Roman" w:eastAsia="宋体" w:cs="宋体"/>
          <w:color w:val="auto"/>
          <w:sz w:val="24"/>
          <w:szCs w:val="28"/>
        </w:rPr>
        <w:t>本项目遵照国家规定的安全卫生设施与主体工程同时设计、同时施工、同时验收投产的“三同时”规定，按照国家规定的</w:t>
      </w:r>
      <w:r>
        <w:rPr>
          <w:rFonts w:hint="eastAsia" w:ascii="Times New Roman" w:hAnsi="Times New Roman" w:eastAsia="宋体" w:cs="宋体"/>
          <w:color w:val="auto"/>
          <w:sz w:val="24"/>
          <w:szCs w:val="28"/>
          <w:lang w:eastAsia="zh-CN"/>
        </w:rPr>
        <w:t>职业卫生标准</w:t>
      </w:r>
      <w:r>
        <w:rPr>
          <w:rFonts w:hint="eastAsia" w:ascii="Times New Roman" w:hAnsi="Times New Roman" w:eastAsia="宋体" w:cs="宋体"/>
          <w:color w:val="auto"/>
          <w:sz w:val="24"/>
          <w:szCs w:val="28"/>
        </w:rPr>
        <w:t>及有关规范，对可能危及生产和生产的不安全因素和影响生产操作人员身体健康的危害因素采取措施，以达到国家有关规定，保证安全生产，并保障操作人员的安全和身体健康。</w:t>
      </w:r>
    </w:p>
    <w:p w14:paraId="38F76835">
      <w:pPr>
        <w:pStyle w:val="5"/>
        <w:keepNext w:val="0"/>
        <w:keepLines w:val="0"/>
        <w:pageBreakBefore w:val="0"/>
        <w:widowControl/>
        <w:kinsoku w:val="0"/>
        <w:wordWrap/>
        <w:overflowPunct/>
        <w:topLinePunct w:val="0"/>
        <w:autoSpaceDE w:val="0"/>
        <w:autoSpaceDN w:val="0"/>
        <w:bidi w:val="0"/>
        <w:adjustRightInd w:val="0"/>
        <w:snapToGrid/>
        <w:spacing w:before="0" w:beforeAutospacing="0" w:after="0" w:afterAutospacing="0" w:line="360" w:lineRule="auto"/>
        <w:ind w:right="0"/>
        <w:textAlignment w:val="baseline"/>
        <w:rPr>
          <w:rFonts w:hint="eastAsia" w:ascii="Times New Roman" w:hAnsi="Times New Roman" w:eastAsia="宋体" w:cs="宋体"/>
          <w:b/>
          <w:bCs/>
          <w:color w:val="auto"/>
          <w:sz w:val="28"/>
          <w:szCs w:val="28"/>
          <w:lang w:val="en-US" w:eastAsia="zh-CN"/>
        </w:rPr>
      </w:pPr>
      <w:bookmarkStart w:id="123" w:name="_Toc16429"/>
      <w:bookmarkStart w:id="124" w:name="_Toc1071"/>
      <w:bookmarkStart w:id="125" w:name="_Toc30729"/>
      <w:bookmarkStart w:id="126" w:name="_Toc29588"/>
      <w:r>
        <w:rPr>
          <w:rFonts w:hint="eastAsia" w:ascii="Times New Roman" w:hAnsi="Times New Roman" w:eastAsia="宋体" w:cs="宋体"/>
          <w:b/>
          <w:bCs/>
          <w:color w:val="auto"/>
          <w:sz w:val="28"/>
          <w:szCs w:val="28"/>
          <w:lang w:val="en-US" w:eastAsia="zh-CN"/>
        </w:rPr>
        <w:t>12.2、建筑及场地布置</w:t>
      </w:r>
      <w:bookmarkEnd w:id="123"/>
      <w:bookmarkEnd w:id="124"/>
      <w:bookmarkEnd w:id="125"/>
      <w:bookmarkEnd w:id="126"/>
    </w:p>
    <w:p w14:paraId="57544B92">
      <w:pPr>
        <w:keepNext w:val="0"/>
        <w:keepLines w:val="0"/>
        <w:pageBreakBefore w:val="0"/>
        <w:widowControl/>
        <w:numPr>
          <w:ilvl w:val="0"/>
          <w:numId w:val="0"/>
        </w:numPr>
        <w:suppressLineNumbers/>
        <w:suppressAutoHyphens/>
        <w:kinsoku w:val="0"/>
        <w:wordWrap/>
        <w:overflowPunct/>
        <w:topLinePunct/>
        <w:autoSpaceDE w:val="0"/>
        <w:autoSpaceDN w:val="0"/>
        <w:bidi w:val="0"/>
        <w:adjustRightInd w:val="0"/>
        <w:snapToGrid/>
        <w:spacing w:line="360" w:lineRule="auto"/>
        <w:ind w:firstLine="480" w:firstLineChars="200"/>
        <w:jc w:val="left"/>
        <w:textAlignment w:val="baseline"/>
        <w:rPr>
          <w:rFonts w:hint="eastAsia" w:ascii="Times New Roman" w:hAnsi="Times New Roman" w:eastAsia="宋体" w:cs="宋体"/>
          <w:color w:val="auto"/>
          <w:sz w:val="24"/>
        </w:rPr>
      </w:pPr>
      <w:r>
        <w:rPr>
          <w:rFonts w:hint="eastAsia" w:ascii="Times New Roman" w:hAnsi="Times New Roman" w:eastAsia="宋体" w:cs="宋体"/>
          <w:snapToGrid w:val="0"/>
          <w:color w:val="auto"/>
          <w:kern w:val="0"/>
          <w:sz w:val="24"/>
          <w:szCs w:val="21"/>
          <w:lang w:val="en-US" w:eastAsia="zh-CN" w:bidi="ar-SA"/>
        </w:rPr>
        <w:t>（1）</w:t>
      </w:r>
      <w:r>
        <w:rPr>
          <w:rFonts w:hint="eastAsia" w:ascii="Times New Roman" w:hAnsi="Times New Roman" w:eastAsia="宋体" w:cs="宋体"/>
          <w:color w:val="auto"/>
          <w:sz w:val="24"/>
        </w:rPr>
        <w:t>根据《建筑抗震设计规范》(GB50011-2010)</w:t>
      </w:r>
      <w:r>
        <w:rPr>
          <w:rFonts w:hint="default" w:ascii="Times New Roman" w:hAnsi="Times New Roman" w:eastAsia="宋体" w:cs="宋体"/>
          <w:color w:val="auto"/>
          <w:sz w:val="24"/>
          <w:szCs w:val="28"/>
        </w:rPr>
        <w:t>[2016年版]</w:t>
      </w:r>
      <w:r>
        <w:rPr>
          <w:rFonts w:hint="eastAsia" w:ascii="Times New Roman" w:hAnsi="Times New Roman" w:eastAsia="宋体" w:cs="宋体"/>
          <w:color w:val="auto"/>
          <w:sz w:val="24"/>
        </w:rPr>
        <w:t>附录A，</w:t>
      </w:r>
      <w:r>
        <w:rPr>
          <w:rFonts w:hint="eastAsia" w:ascii="Times New Roman" w:hAnsi="Times New Roman" w:eastAsia="宋体" w:cs="宋体"/>
          <w:color w:val="auto"/>
          <w:sz w:val="24"/>
          <w:szCs w:val="28"/>
          <w:lang w:val="en-US" w:eastAsia="zh-CN"/>
        </w:rPr>
        <w:t>民乐</w:t>
      </w:r>
      <w:r>
        <w:rPr>
          <w:rFonts w:hint="eastAsia" w:ascii="Times New Roman" w:hAnsi="Times New Roman" w:eastAsia="宋体" w:cs="宋体"/>
          <w:color w:val="auto"/>
          <w:sz w:val="24"/>
          <w:szCs w:val="28"/>
        </w:rPr>
        <w:t>县抗震设防烈度为7度，设计地震峰值加速度值为0.15g，设计地震分组为第</w:t>
      </w:r>
      <w:r>
        <w:rPr>
          <w:rFonts w:hint="eastAsia" w:ascii="Times New Roman" w:hAnsi="Times New Roman" w:eastAsia="宋体" w:cs="宋体"/>
          <w:color w:val="auto"/>
          <w:sz w:val="24"/>
          <w:szCs w:val="28"/>
          <w:lang w:val="en-US" w:eastAsia="zh-CN"/>
        </w:rPr>
        <w:t>二</w:t>
      </w:r>
      <w:r>
        <w:rPr>
          <w:rFonts w:hint="eastAsia" w:ascii="Times New Roman" w:hAnsi="Times New Roman" w:eastAsia="宋体" w:cs="宋体"/>
          <w:color w:val="auto"/>
          <w:sz w:val="24"/>
          <w:szCs w:val="28"/>
        </w:rPr>
        <w:t>组，设计地震反应谱特征周期为0.</w:t>
      </w:r>
      <w:r>
        <w:rPr>
          <w:rFonts w:hint="eastAsia" w:ascii="Times New Roman" w:hAnsi="Times New Roman" w:eastAsia="宋体" w:cs="宋体"/>
          <w:color w:val="auto"/>
          <w:sz w:val="24"/>
          <w:szCs w:val="28"/>
          <w:lang w:val="en-US" w:eastAsia="zh-CN"/>
        </w:rPr>
        <w:t>5</w:t>
      </w:r>
      <w:r>
        <w:rPr>
          <w:rFonts w:hint="eastAsia" w:ascii="Times New Roman" w:hAnsi="Times New Roman" w:eastAsia="宋体" w:cs="宋体"/>
          <w:color w:val="auto"/>
          <w:sz w:val="24"/>
          <w:szCs w:val="28"/>
        </w:rPr>
        <w:t>5s。</w:t>
      </w:r>
      <w:r>
        <w:rPr>
          <w:rFonts w:hint="eastAsia" w:ascii="Times New Roman" w:hAnsi="Times New Roman" w:eastAsia="宋体" w:cs="宋体"/>
          <w:color w:val="auto"/>
          <w:sz w:val="24"/>
        </w:rPr>
        <w:t>本项目所有新建建构筑物设计均据此进行抗震设防。</w:t>
      </w:r>
    </w:p>
    <w:p w14:paraId="68A40D3A">
      <w:pPr>
        <w:keepNext w:val="0"/>
        <w:keepLines w:val="0"/>
        <w:pageBreakBefore w:val="0"/>
        <w:widowControl/>
        <w:kinsoku w:val="0"/>
        <w:wordWrap/>
        <w:overflowPunct/>
        <w:autoSpaceDE w:val="0"/>
        <w:autoSpaceDN w:val="0"/>
        <w:bidi w:val="0"/>
        <w:adjustRightInd w:val="0"/>
        <w:snapToGrid/>
        <w:spacing w:line="360" w:lineRule="auto"/>
        <w:ind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snapToGrid w:val="0"/>
          <w:color w:val="auto"/>
          <w:kern w:val="0"/>
          <w:sz w:val="24"/>
          <w:szCs w:val="21"/>
          <w:lang w:val="en-US" w:eastAsia="zh-CN" w:bidi="ar-SA"/>
        </w:rPr>
        <w:t>（2）</w:t>
      </w:r>
      <w:r>
        <w:rPr>
          <w:rFonts w:hint="eastAsia" w:ascii="Times New Roman" w:hAnsi="Times New Roman" w:eastAsia="宋体" w:cs="宋体"/>
          <w:color w:val="auto"/>
          <w:sz w:val="24"/>
        </w:rPr>
        <w:t>建设场地的四周对工程的职业安全卫生均无影响，厂区四周均设置了绿化带，以改善环境。</w:t>
      </w:r>
    </w:p>
    <w:p w14:paraId="718B6ED1">
      <w:pPr>
        <w:keepNext w:val="0"/>
        <w:keepLines w:val="0"/>
        <w:pageBreakBefore w:val="0"/>
        <w:widowControl/>
        <w:kinsoku w:val="0"/>
        <w:wordWrap/>
        <w:overflowPunct/>
        <w:autoSpaceDE w:val="0"/>
        <w:autoSpaceDN w:val="0"/>
        <w:bidi w:val="0"/>
        <w:adjustRightInd w:val="0"/>
        <w:snapToGrid/>
        <w:spacing w:line="360" w:lineRule="auto"/>
        <w:ind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snapToGrid w:val="0"/>
          <w:color w:val="auto"/>
          <w:kern w:val="0"/>
          <w:sz w:val="24"/>
          <w:szCs w:val="21"/>
          <w:lang w:val="en-US" w:eastAsia="zh-CN" w:bidi="ar-SA"/>
        </w:rPr>
        <w:t>（3）</w:t>
      </w:r>
      <w:r>
        <w:rPr>
          <w:rFonts w:hint="eastAsia" w:ascii="Times New Roman" w:hAnsi="Times New Roman" w:eastAsia="宋体" w:cs="宋体"/>
          <w:color w:val="auto"/>
          <w:sz w:val="24"/>
        </w:rPr>
        <w:t>总图设计按规范要求保证防火间距，厂区内设</w:t>
      </w:r>
      <w:r>
        <w:rPr>
          <w:rFonts w:hint="eastAsia" w:ascii="Times New Roman" w:hAnsi="Times New Roman" w:eastAsia="宋体" w:cs="宋体"/>
          <w:color w:val="auto"/>
          <w:sz w:val="24"/>
          <w:lang w:eastAsia="zh-CN"/>
        </w:rPr>
        <w:t>环形</w:t>
      </w:r>
      <w:r>
        <w:rPr>
          <w:rFonts w:hint="eastAsia" w:ascii="Times New Roman" w:hAnsi="Times New Roman" w:eastAsia="宋体" w:cs="宋体"/>
          <w:color w:val="auto"/>
          <w:sz w:val="24"/>
        </w:rPr>
        <w:t>消防通道，道路系统便捷、通畅，以满足消防和运输的要求。</w:t>
      </w:r>
    </w:p>
    <w:p w14:paraId="69B0E151">
      <w:pPr>
        <w:pStyle w:val="5"/>
        <w:keepNext w:val="0"/>
        <w:keepLines w:val="0"/>
        <w:pageBreakBefore w:val="0"/>
        <w:widowControl/>
        <w:kinsoku w:val="0"/>
        <w:wordWrap/>
        <w:overflowPunct/>
        <w:topLinePunct w:val="0"/>
        <w:autoSpaceDE w:val="0"/>
        <w:autoSpaceDN w:val="0"/>
        <w:bidi w:val="0"/>
        <w:adjustRightInd w:val="0"/>
        <w:snapToGrid/>
        <w:spacing w:before="0" w:beforeAutospacing="0" w:after="0" w:afterAutospacing="0" w:line="360" w:lineRule="auto"/>
        <w:ind w:right="0"/>
        <w:textAlignment w:val="baseline"/>
        <w:rPr>
          <w:rFonts w:hint="eastAsia" w:ascii="Times New Roman" w:hAnsi="Times New Roman" w:eastAsia="宋体" w:cs="宋体"/>
          <w:b/>
          <w:bCs/>
          <w:color w:val="auto"/>
          <w:sz w:val="28"/>
          <w:szCs w:val="28"/>
          <w:lang w:val="en-US" w:eastAsia="zh-CN"/>
        </w:rPr>
      </w:pPr>
      <w:bookmarkStart w:id="127" w:name="_Toc13283"/>
      <w:bookmarkStart w:id="128" w:name="_Toc13620"/>
      <w:bookmarkStart w:id="129" w:name="_Toc24449"/>
      <w:bookmarkStart w:id="130" w:name="_Toc19142"/>
      <w:r>
        <w:rPr>
          <w:rFonts w:hint="eastAsia" w:ascii="Times New Roman" w:hAnsi="Times New Roman" w:eastAsia="宋体" w:cs="宋体"/>
          <w:b/>
          <w:bCs/>
          <w:color w:val="auto"/>
          <w:sz w:val="28"/>
          <w:szCs w:val="28"/>
          <w:lang w:val="en-US" w:eastAsia="zh-CN"/>
        </w:rPr>
        <w:t>12.3、工程安全设计</w:t>
      </w:r>
      <w:bookmarkEnd w:id="127"/>
      <w:bookmarkEnd w:id="128"/>
      <w:bookmarkEnd w:id="129"/>
      <w:bookmarkEnd w:id="130"/>
    </w:p>
    <w:p w14:paraId="4D43B0C7">
      <w:pPr>
        <w:keepNext w:val="0"/>
        <w:keepLines w:val="0"/>
        <w:pageBreakBefore w:val="0"/>
        <w:widowControl/>
        <w:kinsoku w:val="0"/>
        <w:wordWrap/>
        <w:overflowPunct/>
        <w:autoSpaceDE w:val="0"/>
        <w:autoSpaceDN w:val="0"/>
        <w:bidi w:val="0"/>
        <w:adjustRightInd w:val="0"/>
        <w:snapToGrid/>
        <w:spacing w:line="360" w:lineRule="auto"/>
        <w:ind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rPr>
        <w:t>该沼气工程设计采取了以下安全生产与劳动保护措施，以确保安全生产及运行管理人员的人身安全。</w:t>
      </w:r>
    </w:p>
    <w:p w14:paraId="358F997C">
      <w:pPr>
        <w:keepNext w:val="0"/>
        <w:keepLines w:val="0"/>
        <w:pageBreakBefore w:val="0"/>
        <w:widowControl/>
        <w:kinsoku w:val="0"/>
        <w:wordWrap/>
        <w:overflowPunct/>
        <w:autoSpaceDE w:val="0"/>
        <w:autoSpaceDN w:val="0"/>
        <w:bidi w:val="0"/>
        <w:adjustRightInd w:val="0"/>
        <w:snapToGrid/>
        <w:spacing w:line="360" w:lineRule="auto"/>
        <w:ind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snapToGrid w:val="0"/>
          <w:color w:val="auto"/>
          <w:kern w:val="0"/>
          <w:sz w:val="24"/>
          <w:szCs w:val="21"/>
          <w:lang w:val="en-US" w:eastAsia="zh-CN" w:bidi="ar-SA"/>
        </w:rPr>
        <w:t>（1）</w:t>
      </w:r>
      <w:r>
        <w:rPr>
          <w:rFonts w:hint="eastAsia" w:ascii="Times New Roman" w:hAnsi="Times New Roman" w:eastAsia="宋体" w:cs="宋体"/>
          <w:color w:val="auto"/>
          <w:sz w:val="24"/>
        </w:rPr>
        <w:t>生产构筑物均设便于操作和行走的操作平台、走道板或安全护栏、扶手。</w:t>
      </w:r>
    </w:p>
    <w:p w14:paraId="49DDF103">
      <w:pPr>
        <w:keepNext w:val="0"/>
        <w:keepLines w:val="0"/>
        <w:pageBreakBefore w:val="0"/>
        <w:widowControl/>
        <w:kinsoku w:val="0"/>
        <w:wordWrap/>
        <w:overflowPunct/>
        <w:autoSpaceDE w:val="0"/>
        <w:autoSpaceDN w:val="0"/>
        <w:bidi w:val="0"/>
        <w:adjustRightInd w:val="0"/>
        <w:snapToGrid/>
        <w:spacing w:line="360" w:lineRule="auto"/>
        <w:ind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snapToGrid w:val="0"/>
          <w:color w:val="auto"/>
          <w:kern w:val="0"/>
          <w:sz w:val="24"/>
          <w:szCs w:val="21"/>
          <w:lang w:val="en-US" w:eastAsia="zh-CN" w:bidi="ar-SA"/>
        </w:rPr>
        <w:t>（2）</w:t>
      </w:r>
      <w:r>
        <w:rPr>
          <w:rFonts w:hint="eastAsia" w:ascii="Times New Roman" w:hAnsi="Times New Roman" w:eastAsia="宋体" w:cs="宋体"/>
          <w:color w:val="auto"/>
          <w:sz w:val="24"/>
        </w:rPr>
        <w:t>各种用电设备均按国家的有关标准</w:t>
      </w:r>
      <w:r>
        <w:rPr>
          <w:rFonts w:hint="eastAsia" w:ascii="Times New Roman" w:hAnsi="Times New Roman" w:eastAsia="宋体" w:cs="宋体"/>
          <w:color w:val="auto"/>
          <w:sz w:val="24"/>
          <w:lang w:eastAsia="zh-CN"/>
        </w:rPr>
        <w:t>做好</w:t>
      </w:r>
      <w:r>
        <w:rPr>
          <w:rFonts w:hint="eastAsia" w:ascii="Times New Roman" w:hAnsi="Times New Roman" w:eastAsia="宋体" w:cs="宋体"/>
          <w:color w:val="auto"/>
          <w:sz w:val="24"/>
        </w:rPr>
        <w:t>接零接地保护。</w:t>
      </w:r>
    </w:p>
    <w:p w14:paraId="333D821E">
      <w:pPr>
        <w:keepNext w:val="0"/>
        <w:keepLines w:val="0"/>
        <w:pageBreakBefore w:val="0"/>
        <w:widowControl/>
        <w:kinsoku w:val="0"/>
        <w:wordWrap/>
        <w:overflowPunct/>
        <w:autoSpaceDE w:val="0"/>
        <w:autoSpaceDN w:val="0"/>
        <w:bidi w:val="0"/>
        <w:adjustRightInd w:val="0"/>
        <w:snapToGrid/>
        <w:spacing w:line="360" w:lineRule="auto"/>
        <w:ind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snapToGrid w:val="0"/>
          <w:color w:val="auto"/>
          <w:kern w:val="0"/>
          <w:sz w:val="24"/>
          <w:szCs w:val="21"/>
          <w:lang w:val="en-US" w:eastAsia="zh-CN" w:bidi="ar-SA"/>
        </w:rPr>
        <w:t>（3）</w:t>
      </w:r>
      <w:r>
        <w:rPr>
          <w:rFonts w:hint="eastAsia" w:ascii="Times New Roman" w:hAnsi="Times New Roman" w:eastAsia="宋体" w:cs="宋体"/>
          <w:color w:val="auto"/>
          <w:sz w:val="24"/>
        </w:rPr>
        <w:t>电气设备及机械设备的布置注意留有足够的安全操作距离及空间。</w:t>
      </w:r>
    </w:p>
    <w:p w14:paraId="10B1F958">
      <w:pPr>
        <w:keepNext w:val="0"/>
        <w:keepLines w:val="0"/>
        <w:pageBreakBefore w:val="0"/>
        <w:widowControl/>
        <w:kinsoku w:val="0"/>
        <w:wordWrap/>
        <w:overflowPunct/>
        <w:autoSpaceDE w:val="0"/>
        <w:autoSpaceDN w:val="0"/>
        <w:bidi w:val="0"/>
        <w:adjustRightInd w:val="0"/>
        <w:snapToGrid/>
        <w:spacing w:line="360" w:lineRule="auto"/>
        <w:ind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snapToGrid w:val="0"/>
          <w:color w:val="auto"/>
          <w:kern w:val="0"/>
          <w:sz w:val="24"/>
          <w:szCs w:val="21"/>
          <w:lang w:val="en-US" w:eastAsia="zh-CN" w:bidi="ar-SA"/>
        </w:rPr>
        <w:t>（4）</w:t>
      </w:r>
      <w:r>
        <w:rPr>
          <w:rFonts w:hint="eastAsia" w:ascii="Times New Roman" w:hAnsi="Times New Roman" w:eastAsia="宋体" w:cs="宋体"/>
          <w:color w:val="auto"/>
          <w:sz w:val="24"/>
        </w:rPr>
        <w:t>在所有可能产生有毒气体的建筑物内设有通风设备，保证工人生产安全。</w:t>
      </w:r>
    </w:p>
    <w:p w14:paraId="0CFC557D">
      <w:pPr>
        <w:keepNext w:val="0"/>
        <w:keepLines w:val="0"/>
        <w:pageBreakBefore w:val="0"/>
        <w:widowControl/>
        <w:kinsoku w:val="0"/>
        <w:wordWrap/>
        <w:overflowPunct/>
        <w:autoSpaceDE w:val="0"/>
        <w:autoSpaceDN w:val="0"/>
        <w:bidi w:val="0"/>
        <w:adjustRightInd w:val="0"/>
        <w:snapToGrid/>
        <w:spacing w:line="360" w:lineRule="auto"/>
        <w:ind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snapToGrid w:val="0"/>
          <w:color w:val="auto"/>
          <w:kern w:val="0"/>
          <w:sz w:val="24"/>
          <w:szCs w:val="21"/>
          <w:lang w:val="en-US" w:eastAsia="zh-CN" w:bidi="ar-SA"/>
        </w:rPr>
        <w:t>（5）</w:t>
      </w:r>
      <w:r>
        <w:rPr>
          <w:rFonts w:hint="eastAsia" w:ascii="Times New Roman" w:hAnsi="Times New Roman" w:eastAsia="宋体" w:cs="宋体"/>
          <w:color w:val="auto"/>
          <w:sz w:val="24"/>
        </w:rPr>
        <w:t>沼气站在运行前制定相应的安全操作规程，操作人员上岗前进行必要的专业技术与安全保护知识培训，以确保沼气站安全运转。</w:t>
      </w:r>
    </w:p>
    <w:p w14:paraId="6155FD09">
      <w:pPr>
        <w:keepNext w:val="0"/>
        <w:keepLines w:val="0"/>
        <w:pageBreakBefore w:val="0"/>
        <w:widowControl/>
        <w:kinsoku w:val="0"/>
        <w:wordWrap/>
        <w:overflowPunct/>
        <w:autoSpaceDE w:val="0"/>
        <w:autoSpaceDN w:val="0"/>
        <w:bidi w:val="0"/>
        <w:adjustRightInd w:val="0"/>
        <w:snapToGrid/>
        <w:spacing w:line="360" w:lineRule="auto"/>
        <w:ind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snapToGrid w:val="0"/>
          <w:color w:val="auto"/>
          <w:kern w:val="0"/>
          <w:sz w:val="24"/>
          <w:szCs w:val="21"/>
          <w:lang w:val="en-US" w:eastAsia="zh-CN" w:bidi="ar-SA"/>
        </w:rPr>
        <w:t>（6）</w:t>
      </w:r>
      <w:r>
        <w:rPr>
          <w:rFonts w:hint="eastAsia" w:ascii="Times New Roman" w:hAnsi="Times New Roman" w:eastAsia="宋体" w:cs="宋体"/>
          <w:color w:val="auto"/>
          <w:sz w:val="24"/>
        </w:rPr>
        <w:t>一定程度的自动控制，降低劳动强度，尽量避免直接接触污水及有毒有害液体和气体。</w:t>
      </w:r>
    </w:p>
    <w:p w14:paraId="263CEAED">
      <w:pPr>
        <w:keepNext w:val="0"/>
        <w:keepLines w:val="0"/>
        <w:pageBreakBefore w:val="0"/>
        <w:widowControl/>
        <w:kinsoku w:val="0"/>
        <w:wordWrap/>
        <w:overflowPunct/>
        <w:autoSpaceDE w:val="0"/>
        <w:autoSpaceDN w:val="0"/>
        <w:bidi w:val="0"/>
        <w:adjustRightInd w:val="0"/>
        <w:snapToGrid/>
        <w:spacing w:line="360" w:lineRule="auto"/>
        <w:ind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snapToGrid w:val="0"/>
          <w:color w:val="auto"/>
          <w:kern w:val="0"/>
          <w:sz w:val="24"/>
          <w:szCs w:val="21"/>
          <w:lang w:val="en-US" w:eastAsia="zh-CN" w:bidi="ar-SA"/>
        </w:rPr>
        <w:t>（7）</w:t>
      </w:r>
      <w:r>
        <w:rPr>
          <w:rFonts w:hint="eastAsia" w:ascii="Times New Roman" w:hAnsi="Times New Roman" w:eastAsia="宋体" w:cs="宋体"/>
          <w:color w:val="auto"/>
          <w:sz w:val="24"/>
        </w:rPr>
        <w:t>沼气站配备消防设施，设置空气呼吸器、防毒面具及其</w:t>
      </w:r>
      <w:r>
        <w:rPr>
          <w:rFonts w:hint="eastAsia" w:ascii="Times New Roman" w:hAnsi="Times New Roman" w:eastAsia="宋体" w:cs="宋体"/>
          <w:color w:val="auto"/>
          <w:sz w:val="24"/>
          <w:lang w:eastAsia="zh-CN"/>
        </w:rPr>
        <w:t>他</w:t>
      </w:r>
      <w:r>
        <w:rPr>
          <w:rFonts w:hint="eastAsia" w:ascii="Times New Roman" w:hAnsi="Times New Roman" w:eastAsia="宋体" w:cs="宋体"/>
          <w:color w:val="auto"/>
          <w:sz w:val="24"/>
        </w:rPr>
        <w:t>安全保护设施。</w:t>
      </w:r>
    </w:p>
    <w:p w14:paraId="310D0545">
      <w:pPr>
        <w:spacing w:line="480" w:lineRule="exact"/>
        <w:ind w:left="420" w:leftChars="200" w:firstLine="279" w:firstLineChars="116"/>
        <w:jc w:val="center"/>
        <w:rPr>
          <w:rFonts w:hint="eastAsia" w:ascii="Times New Roman" w:hAnsi="Times New Roman" w:eastAsia="宋体" w:cs="宋体"/>
          <w:b/>
          <w:bCs/>
          <w:color w:val="auto"/>
          <w:sz w:val="24"/>
          <w:szCs w:val="28"/>
        </w:rPr>
      </w:pPr>
      <w:r>
        <w:rPr>
          <w:rFonts w:hint="eastAsia" w:ascii="Times New Roman" w:hAnsi="Times New Roman" w:eastAsia="宋体" w:cs="宋体"/>
          <w:b/>
          <w:bCs/>
          <w:color w:val="auto"/>
          <w:sz w:val="24"/>
          <w:szCs w:val="28"/>
          <w:lang w:val="en-US" w:eastAsia="zh-CN"/>
        </w:rPr>
        <w:t xml:space="preserve">表12-1   </w:t>
      </w:r>
      <w:r>
        <w:rPr>
          <w:rFonts w:hint="eastAsia" w:ascii="Times New Roman" w:hAnsi="Times New Roman" w:eastAsia="宋体" w:cs="宋体"/>
          <w:b/>
          <w:bCs/>
          <w:color w:val="auto"/>
          <w:sz w:val="24"/>
          <w:szCs w:val="28"/>
        </w:rPr>
        <w:t>项目安全设施投资一览表</w:t>
      </w:r>
    </w:p>
    <w:tbl>
      <w:tblPr>
        <w:tblStyle w:val="21"/>
        <w:tblW w:w="831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442"/>
        <w:gridCol w:w="2521"/>
        <w:gridCol w:w="4466"/>
        <w:gridCol w:w="887"/>
      </w:tblGrid>
      <w:tr w14:paraId="2110B8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3" w:hRule="atLeast"/>
        </w:trPr>
        <w:tc>
          <w:tcPr>
            <w:tcW w:w="0" w:type="auto"/>
            <w:tcBorders>
              <w:tl2br w:val="nil"/>
              <w:tr2bl w:val="nil"/>
            </w:tcBorders>
            <w:noWrap w:val="0"/>
            <w:vAlign w:val="center"/>
          </w:tcPr>
          <w:p w14:paraId="4654DD00">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color w:val="auto"/>
                <w:sz w:val="21"/>
                <w:szCs w:val="18"/>
              </w:rPr>
            </w:pPr>
            <w:r>
              <w:rPr>
                <w:rFonts w:hint="eastAsia" w:ascii="Times New Roman" w:hAnsi="Times New Roman" w:eastAsia="宋体" w:cs="宋体"/>
                <w:b/>
                <w:color w:val="auto"/>
                <w:sz w:val="21"/>
                <w:szCs w:val="18"/>
              </w:rPr>
              <w:t>序号</w:t>
            </w:r>
          </w:p>
        </w:tc>
        <w:tc>
          <w:tcPr>
            <w:tcW w:w="2521" w:type="dxa"/>
            <w:tcBorders>
              <w:tl2br w:val="nil"/>
              <w:tr2bl w:val="nil"/>
            </w:tcBorders>
            <w:noWrap w:val="0"/>
            <w:vAlign w:val="center"/>
          </w:tcPr>
          <w:p w14:paraId="6EAEA196">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color w:val="auto"/>
                <w:sz w:val="21"/>
                <w:szCs w:val="18"/>
              </w:rPr>
            </w:pPr>
            <w:r>
              <w:rPr>
                <w:rFonts w:hint="eastAsia" w:ascii="Times New Roman" w:hAnsi="Times New Roman" w:eastAsia="宋体" w:cs="宋体"/>
                <w:b/>
                <w:color w:val="auto"/>
                <w:sz w:val="21"/>
                <w:szCs w:val="18"/>
              </w:rPr>
              <w:t>设备名称</w:t>
            </w:r>
          </w:p>
        </w:tc>
        <w:tc>
          <w:tcPr>
            <w:tcW w:w="4466" w:type="dxa"/>
            <w:tcBorders>
              <w:tl2br w:val="nil"/>
              <w:tr2bl w:val="nil"/>
            </w:tcBorders>
            <w:noWrap w:val="0"/>
            <w:vAlign w:val="center"/>
          </w:tcPr>
          <w:p w14:paraId="16550C26">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color w:val="auto"/>
                <w:sz w:val="21"/>
                <w:szCs w:val="18"/>
              </w:rPr>
            </w:pPr>
            <w:r>
              <w:rPr>
                <w:rFonts w:hint="eastAsia" w:ascii="Times New Roman" w:hAnsi="Times New Roman" w:eastAsia="宋体" w:cs="宋体"/>
                <w:b/>
                <w:color w:val="auto"/>
                <w:sz w:val="21"/>
                <w:szCs w:val="18"/>
              </w:rPr>
              <w:t>主要参数</w:t>
            </w:r>
          </w:p>
        </w:tc>
        <w:tc>
          <w:tcPr>
            <w:tcW w:w="887" w:type="dxa"/>
            <w:tcBorders>
              <w:tl2br w:val="nil"/>
              <w:tr2bl w:val="nil"/>
            </w:tcBorders>
            <w:noWrap w:val="0"/>
            <w:vAlign w:val="center"/>
          </w:tcPr>
          <w:p w14:paraId="67F8982E">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color w:val="auto"/>
                <w:sz w:val="21"/>
                <w:szCs w:val="18"/>
              </w:rPr>
            </w:pPr>
            <w:r>
              <w:rPr>
                <w:rFonts w:hint="eastAsia" w:ascii="Times New Roman" w:hAnsi="Times New Roman" w:eastAsia="宋体" w:cs="宋体"/>
                <w:b/>
                <w:color w:val="auto"/>
                <w:sz w:val="21"/>
                <w:szCs w:val="18"/>
              </w:rPr>
              <w:t>备注</w:t>
            </w:r>
          </w:p>
        </w:tc>
      </w:tr>
      <w:tr w14:paraId="0CC5C9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0" w:type="auto"/>
            <w:tcBorders>
              <w:tl2br w:val="nil"/>
              <w:tr2bl w:val="nil"/>
            </w:tcBorders>
            <w:noWrap w:val="0"/>
            <w:vAlign w:val="center"/>
          </w:tcPr>
          <w:p w14:paraId="7D33DE70">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color w:val="auto"/>
                <w:sz w:val="21"/>
                <w:szCs w:val="18"/>
              </w:rPr>
            </w:pPr>
            <w:r>
              <w:rPr>
                <w:rFonts w:hint="eastAsia" w:ascii="Times New Roman" w:hAnsi="Times New Roman" w:eastAsia="宋体" w:cs="宋体"/>
                <w:b/>
                <w:color w:val="auto"/>
                <w:sz w:val="21"/>
                <w:szCs w:val="18"/>
              </w:rPr>
              <w:t>一、</w:t>
            </w:r>
          </w:p>
        </w:tc>
        <w:tc>
          <w:tcPr>
            <w:tcW w:w="2521" w:type="dxa"/>
            <w:tcBorders>
              <w:tl2br w:val="nil"/>
              <w:tr2bl w:val="nil"/>
            </w:tcBorders>
            <w:noWrap w:val="0"/>
            <w:vAlign w:val="center"/>
          </w:tcPr>
          <w:p w14:paraId="060DFC1C">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color w:val="auto"/>
                <w:sz w:val="21"/>
                <w:szCs w:val="18"/>
              </w:rPr>
            </w:pPr>
            <w:r>
              <w:rPr>
                <w:rFonts w:hint="eastAsia" w:ascii="Times New Roman" w:hAnsi="Times New Roman" w:eastAsia="宋体" w:cs="宋体"/>
                <w:b/>
                <w:color w:val="auto"/>
                <w:sz w:val="21"/>
                <w:szCs w:val="18"/>
              </w:rPr>
              <w:t>预防事故设施</w:t>
            </w:r>
          </w:p>
        </w:tc>
        <w:tc>
          <w:tcPr>
            <w:tcW w:w="4466" w:type="dxa"/>
            <w:tcBorders>
              <w:tl2br w:val="nil"/>
              <w:tr2bl w:val="nil"/>
            </w:tcBorders>
            <w:noWrap w:val="0"/>
            <w:vAlign w:val="center"/>
          </w:tcPr>
          <w:p w14:paraId="07FBCDEB">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c>
          <w:tcPr>
            <w:tcW w:w="887" w:type="dxa"/>
            <w:tcBorders>
              <w:tl2br w:val="nil"/>
              <w:tr2bl w:val="nil"/>
            </w:tcBorders>
            <w:noWrap w:val="0"/>
            <w:vAlign w:val="center"/>
          </w:tcPr>
          <w:p w14:paraId="6048AD8E">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r>
      <w:tr w14:paraId="1E9393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7" w:hRule="atLeast"/>
        </w:trPr>
        <w:tc>
          <w:tcPr>
            <w:tcW w:w="0" w:type="auto"/>
            <w:tcBorders>
              <w:tl2br w:val="nil"/>
              <w:tr2bl w:val="nil"/>
            </w:tcBorders>
            <w:noWrap w:val="0"/>
            <w:vAlign w:val="center"/>
          </w:tcPr>
          <w:p w14:paraId="1B6D423F">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w w:val="99"/>
                <w:sz w:val="21"/>
                <w:szCs w:val="18"/>
              </w:rPr>
              <w:t>1</w:t>
            </w:r>
          </w:p>
        </w:tc>
        <w:tc>
          <w:tcPr>
            <w:tcW w:w="2521" w:type="dxa"/>
            <w:tcBorders>
              <w:tl2br w:val="nil"/>
              <w:tr2bl w:val="nil"/>
            </w:tcBorders>
            <w:noWrap w:val="0"/>
            <w:vAlign w:val="center"/>
          </w:tcPr>
          <w:p w14:paraId="3C60ABD8">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检测、报警设施</w:t>
            </w:r>
          </w:p>
        </w:tc>
        <w:tc>
          <w:tcPr>
            <w:tcW w:w="4466" w:type="dxa"/>
            <w:tcBorders>
              <w:tl2br w:val="nil"/>
              <w:tr2bl w:val="nil"/>
            </w:tcBorders>
            <w:noWrap w:val="0"/>
            <w:vAlign w:val="center"/>
          </w:tcPr>
          <w:p w14:paraId="600E64E8">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压力、温度、液位、流量等检测、报警设施，自动控制监控设备、仪器</w:t>
            </w:r>
          </w:p>
        </w:tc>
        <w:tc>
          <w:tcPr>
            <w:tcW w:w="887" w:type="dxa"/>
            <w:tcBorders>
              <w:tl2br w:val="nil"/>
              <w:tr2bl w:val="nil"/>
            </w:tcBorders>
            <w:noWrap w:val="0"/>
            <w:vAlign w:val="center"/>
          </w:tcPr>
          <w:p w14:paraId="68AA23D7">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r>
      <w:tr w14:paraId="227E94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7" w:hRule="atLeast"/>
        </w:trPr>
        <w:tc>
          <w:tcPr>
            <w:tcW w:w="0" w:type="auto"/>
            <w:tcBorders>
              <w:tl2br w:val="nil"/>
              <w:tr2bl w:val="nil"/>
            </w:tcBorders>
            <w:noWrap w:val="0"/>
            <w:vAlign w:val="center"/>
          </w:tcPr>
          <w:p w14:paraId="58F5DA2D">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w w:val="99"/>
                <w:sz w:val="21"/>
                <w:szCs w:val="18"/>
              </w:rPr>
              <w:t>2</w:t>
            </w:r>
          </w:p>
        </w:tc>
        <w:tc>
          <w:tcPr>
            <w:tcW w:w="2521" w:type="dxa"/>
            <w:tcBorders>
              <w:tl2br w:val="nil"/>
              <w:tr2bl w:val="nil"/>
            </w:tcBorders>
            <w:noWrap w:val="0"/>
            <w:vAlign w:val="center"/>
          </w:tcPr>
          <w:p w14:paraId="07F938B0">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设备安全防护设施</w:t>
            </w:r>
          </w:p>
        </w:tc>
        <w:tc>
          <w:tcPr>
            <w:tcW w:w="4466" w:type="dxa"/>
            <w:tcBorders>
              <w:tl2br w:val="nil"/>
              <w:tr2bl w:val="nil"/>
            </w:tcBorders>
            <w:noWrap w:val="0"/>
            <w:vAlign w:val="center"/>
          </w:tcPr>
          <w:p w14:paraId="7522A2F6">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防护罩、防雷防腐、防渗漏等设施，电气过载保护设施、静电接地设施</w:t>
            </w:r>
          </w:p>
        </w:tc>
        <w:tc>
          <w:tcPr>
            <w:tcW w:w="887" w:type="dxa"/>
            <w:tcBorders>
              <w:tl2br w:val="nil"/>
              <w:tr2bl w:val="nil"/>
            </w:tcBorders>
            <w:noWrap w:val="0"/>
            <w:vAlign w:val="center"/>
          </w:tcPr>
          <w:p w14:paraId="7EF6797D">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r>
      <w:tr w14:paraId="0137E7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0" w:type="auto"/>
            <w:tcBorders>
              <w:tl2br w:val="nil"/>
              <w:tr2bl w:val="nil"/>
            </w:tcBorders>
            <w:noWrap w:val="0"/>
            <w:vAlign w:val="center"/>
          </w:tcPr>
          <w:p w14:paraId="4109D757">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w w:val="99"/>
                <w:sz w:val="21"/>
                <w:szCs w:val="18"/>
              </w:rPr>
              <w:t>3</w:t>
            </w:r>
          </w:p>
        </w:tc>
        <w:tc>
          <w:tcPr>
            <w:tcW w:w="2521" w:type="dxa"/>
            <w:tcBorders>
              <w:tl2br w:val="nil"/>
              <w:tr2bl w:val="nil"/>
            </w:tcBorders>
            <w:noWrap w:val="0"/>
            <w:vAlign w:val="center"/>
          </w:tcPr>
          <w:p w14:paraId="37197380">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防爆设施</w:t>
            </w:r>
          </w:p>
        </w:tc>
        <w:tc>
          <w:tcPr>
            <w:tcW w:w="4466" w:type="dxa"/>
            <w:tcBorders>
              <w:tl2br w:val="nil"/>
              <w:tr2bl w:val="nil"/>
            </w:tcBorders>
            <w:noWrap w:val="0"/>
            <w:vAlign w:val="center"/>
          </w:tcPr>
          <w:p w14:paraId="1C5882E3">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电气、仪表的防爆设施、防爆工器具</w:t>
            </w:r>
          </w:p>
        </w:tc>
        <w:tc>
          <w:tcPr>
            <w:tcW w:w="887" w:type="dxa"/>
            <w:tcBorders>
              <w:tl2br w:val="nil"/>
              <w:tr2bl w:val="nil"/>
            </w:tcBorders>
            <w:noWrap w:val="0"/>
            <w:vAlign w:val="center"/>
          </w:tcPr>
          <w:p w14:paraId="6523D093">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r>
      <w:tr w14:paraId="05E28F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5" w:hRule="atLeast"/>
        </w:trPr>
        <w:tc>
          <w:tcPr>
            <w:tcW w:w="0" w:type="auto"/>
            <w:tcBorders>
              <w:tl2br w:val="nil"/>
              <w:tr2bl w:val="nil"/>
            </w:tcBorders>
            <w:noWrap w:val="0"/>
            <w:vAlign w:val="center"/>
          </w:tcPr>
          <w:p w14:paraId="3F0726A9">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w w:val="99"/>
                <w:sz w:val="21"/>
                <w:szCs w:val="18"/>
              </w:rPr>
              <w:t>4</w:t>
            </w:r>
          </w:p>
        </w:tc>
        <w:tc>
          <w:tcPr>
            <w:tcW w:w="2521" w:type="dxa"/>
            <w:tcBorders>
              <w:tl2br w:val="nil"/>
              <w:tr2bl w:val="nil"/>
            </w:tcBorders>
            <w:noWrap w:val="0"/>
            <w:vAlign w:val="center"/>
          </w:tcPr>
          <w:p w14:paraId="3DBD93B5">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作业场所防护设施</w:t>
            </w:r>
          </w:p>
        </w:tc>
        <w:tc>
          <w:tcPr>
            <w:tcW w:w="4466" w:type="dxa"/>
            <w:tcBorders>
              <w:tl2br w:val="nil"/>
              <w:tr2bl w:val="nil"/>
            </w:tcBorders>
            <w:noWrap w:val="0"/>
            <w:vAlign w:val="center"/>
          </w:tcPr>
          <w:p w14:paraId="41DCED15">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w w:val="95"/>
                <w:sz w:val="21"/>
                <w:szCs w:val="18"/>
              </w:rPr>
              <w:t>作业场所通风，防尘、防护栏(网)、防滑、防</w:t>
            </w:r>
            <w:r>
              <w:rPr>
                <w:rFonts w:hint="eastAsia" w:ascii="Times New Roman" w:hAnsi="Times New Roman" w:eastAsia="宋体" w:cs="宋体"/>
                <w:color w:val="auto"/>
                <w:sz w:val="21"/>
                <w:szCs w:val="18"/>
              </w:rPr>
              <w:t>烫伤等设施</w:t>
            </w:r>
          </w:p>
        </w:tc>
        <w:tc>
          <w:tcPr>
            <w:tcW w:w="887" w:type="dxa"/>
            <w:tcBorders>
              <w:tl2br w:val="nil"/>
              <w:tr2bl w:val="nil"/>
            </w:tcBorders>
            <w:noWrap w:val="0"/>
            <w:vAlign w:val="center"/>
          </w:tcPr>
          <w:p w14:paraId="0F94EE5F">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r>
      <w:tr w14:paraId="08B593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0" w:type="auto"/>
            <w:tcBorders>
              <w:tl2br w:val="nil"/>
              <w:tr2bl w:val="nil"/>
            </w:tcBorders>
            <w:noWrap w:val="0"/>
            <w:vAlign w:val="center"/>
          </w:tcPr>
          <w:p w14:paraId="647732D7">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w w:val="99"/>
                <w:sz w:val="21"/>
                <w:szCs w:val="18"/>
              </w:rPr>
              <w:t>5</w:t>
            </w:r>
          </w:p>
        </w:tc>
        <w:tc>
          <w:tcPr>
            <w:tcW w:w="2521" w:type="dxa"/>
            <w:tcBorders>
              <w:tl2br w:val="nil"/>
              <w:tr2bl w:val="nil"/>
            </w:tcBorders>
            <w:noWrap w:val="0"/>
            <w:vAlign w:val="center"/>
          </w:tcPr>
          <w:p w14:paraId="04DED9C6">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安全警示标志</w:t>
            </w:r>
          </w:p>
        </w:tc>
        <w:tc>
          <w:tcPr>
            <w:tcW w:w="4466" w:type="dxa"/>
            <w:tcBorders>
              <w:tl2br w:val="nil"/>
              <w:tr2bl w:val="nil"/>
            </w:tcBorders>
            <w:noWrap w:val="0"/>
            <w:vAlign w:val="center"/>
          </w:tcPr>
          <w:p w14:paraId="39E44080">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各种指示、警示作业安全和风向等警示标志</w:t>
            </w:r>
          </w:p>
        </w:tc>
        <w:tc>
          <w:tcPr>
            <w:tcW w:w="887" w:type="dxa"/>
            <w:tcBorders>
              <w:tl2br w:val="nil"/>
              <w:tr2bl w:val="nil"/>
            </w:tcBorders>
            <w:noWrap w:val="0"/>
            <w:vAlign w:val="center"/>
          </w:tcPr>
          <w:p w14:paraId="3B7C0A38">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r>
      <w:tr w14:paraId="083124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0" w:type="auto"/>
            <w:tcBorders>
              <w:tl2br w:val="nil"/>
              <w:tr2bl w:val="nil"/>
            </w:tcBorders>
            <w:noWrap w:val="0"/>
            <w:vAlign w:val="center"/>
          </w:tcPr>
          <w:p w14:paraId="715153B7">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color w:val="auto"/>
                <w:sz w:val="21"/>
                <w:szCs w:val="18"/>
              </w:rPr>
            </w:pPr>
            <w:r>
              <w:rPr>
                <w:rFonts w:hint="eastAsia" w:ascii="Times New Roman" w:hAnsi="Times New Roman" w:eastAsia="宋体" w:cs="宋体"/>
                <w:b/>
                <w:color w:val="auto"/>
                <w:sz w:val="21"/>
                <w:szCs w:val="18"/>
              </w:rPr>
              <w:t>二、</w:t>
            </w:r>
          </w:p>
        </w:tc>
        <w:tc>
          <w:tcPr>
            <w:tcW w:w="2521" w:type="dxa"/>
            <w:tcBorders>
              <w:tl2br w:val="nil"/>
              <w:tr2bl w:val="nil"/>
            </w:tcBorders>
            <w:noWrap w:val="0"/>
            <w:vAlign w:val="center"/>
          </w:tcPr>
          <w:p w14:paraId="0FCAFA5F">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color w:val="auto"/>
                <w:sz w:val="21"/>
                <w:szCs w:val="18"/>
              </w:rPr>
            </w:pPr>
            <w:r>
              <w:rPr>
                <w:rFonts w:hint="eastAsia" w:ascii="Times New Roman" w:hAnsi="Times New Roman" w:eastAsia="宋体" w:cs="宋体"/>
                <w:b/>
                <w:color w:val="auto"/>
                <w:sz w:val="21"/>
                <w:szCs w:val="18"/>
              </w:rPr>
              <w:t>控制事故设施</w:t>
            </w:r>
          </w:p>
        </w:tc>
        <w:tc>
          <w:tcPr>
            <w:tcW w:w="4466" w:type="dxa"/>
            <w:tcBorders>
              <w:tl2br w:val="nil"/>
              <w:tr2bl w:val="nil"/>
            </w:tcBorders>
            <w:noWrap w:val="0"/>
            <w:vAlign w:val="center"/>
          </w:tcPr>
          <w:p w14:paraId="392F8CF1">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c>
          <w:tcPr>
            <w:tcW w:w="887" w:type="dxa"/>
            <w:tcBorders>
              <w:tl2br w:val="nil"/>
              <w:tr2bl w:val="nil"/>
            </w:tcBorders>
            <w:noWrap w:val="0"/>
            <w:vAlign w:val="center"/>
          </w:tcPr>
          <w:p w14:paraId="1A5BA966">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r>
      <w:tr w14:paraId="5FE75E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6" w:hRule="atLeast"/>
        </w:trPr>
        <w:tc>
          <w:tcPr>
            <w:tcW w:w="0" w:type="auto"/>
            <w:tcBorders>
              <w:tl2br w:val="nil"/>
              <w:tr2bl w:val="nil"/>
            </w:tcBorders>
            <w:noWrap w:val="0"/>
            <w:vAlign w:val="center"/>
          </w:tcPr>
          <w:p w14:paraId="5756471C">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w w:val="99"/>
                <w:sz w:val="21"/>
                <w:szCs w:val="18"/>
              </w:rPr>
              <w:t>1</w:t>
            </w:r>
          </w:p>
        </w:tc>
        <w:tc>
          <w:tcPr>
            <w:tcW w:w="2521" w:type="dxa"/>
            <w:tcBorders>
              <w:tl2br w:val="nil"/>
              <w:tr2bl w:val="nil"/>
            </w:tcBorders>
            <w:noWrap w:val="0"/>
            <w:vAlign w:val="center"/>
          </w:tcPr>
          <w:p w14:paraId="20EEDA88">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泄压和逆止设施</w:t>
            </w:r>
          </w:p>
        </w:tc>
        <w:tc>
          <w:tcPr>
            <w:tcW w:w="4466" w:type="dxa"/>
            <w:tcBorders>
              <w:tl2br w:val="nil"/>
              <w:tr2bl w:val="nil"/>
            </w:tcBorders>
            <w:noWrap w:val="0"/>
            <w:vAlign w:val="center"/>
          </w:tcPr>
          <w:p w14:paraId="041B15DB">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用于泄压的阀门、防破片、放空管等设施，用于止逆的阀门等设施</w:t>
            </w:r>
          </w:p>
        </w:tc>
        <w:tc>
          <w:tcPr>
            <w:tcW w:w="887" w:type="dxa"/>
            <w:tcBorders>
              <w:tl2br w:val="nil"/>
              <w:tr2bl w:val="nil"/>
            </w:tcBorders>
            <w:noWrap w:val="0"/>
            <w:vAlign w:val="center"/>
          </w:tcPr>
          <w:p w14:paraId="7F8491BC">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r>
      <w:tr w14:paraId="5147AB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0" w:type="auto"/>
            <w:tcBorders>
              <w:tl2br w:val="nil"/>
              <w:tr2bl w:val="nil"/>
            </w:tcBorders>
            <w:noWrap w:val="0"/>
            <w:vAlign w:val="center"/>
          </w:tcPr>
          <w:p w14:paraId="31483ACB">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w w:val="99"/>
                <w:sz w:val="21"/>
                <w:szCs w:val="18"/>
              </w:rPr>
              <w:t>2</w:t>
            </w:r>
          </w:p>
        </w:tc>
        <w:tc>
          <w:tcPr>
            <w:tcW w:w="2521" w:type="dxa"/>
            <w:tcBorders>
              <w:tl2br w:val="nil"/>
              <w:tr2bl w:val="nil"/>
            </w:tcBorders>
            <w:noWrap w:val="0"/>
            <w:vAlign w:val="center"/>
          </w:tcPr>
          <w:p w14:paraId="74EA8B9D">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紧急处理设施</w:t>
            </w:r>
          </w:p>
        </w:tc>
        <w:tc>
          <w:tcPr>
            <w:tcW w:w="4466" w:type="dxa"/>
            <w:tcBorders>
              <w:tl2br w:val="nil"/>
              <w:tr2bl w:val="nil"/>
            </w:tcBorders>
            <w:noWrap w:val="0"/>
            <w:vAlign w:val="center"/>
          </w:tcPr>
          <w:p w14:paraId="4E3F303A">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事故排空、仪表联锁等设施。</w:t>
            </w:r>
          </w:p>
        </w:tc>
        <w:tc>
          <w:tcPr>
            <w:tcW w:w="887" w:type="dxa"/>
            <w:tcBorders>
              <w:tl2br w:val="nil"/>
              <w:tr2bl w:val="nil"/>
            </w:tcBorders>
            <w:noWrap w:val="0"/>
            <w:vAlign w:val="center"/>
          </w:tcPr>
          <w:p w14:paraId="467B4127">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r>
      <w:tr w14:paraId="093194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0" w:type="auto"/>
            <w:tcBorders>
              <w:tl2br w:val="nil"/>
              <w:tr2bl w:val="nil"/>
            </w:tcBorders>
            <w:noWrap w:val="0"/>
            <w:vAlign w:val="center"/>
          </w:tcPr>
          <w:p w14:paraId="4D2E455F">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color w:val="auto"/>
                <w:sz w:val="21"/>
                <w:szCs w:val="18"/>
              </w:rPr>
            </w:pPr>
            <w:r>
              <w:rPr>
                <w:rFonts w:hint="eastAsia" w:ascii="Times New Roman" w:hAnsi="Times New Roman" w:eastAsia="宋体" w:cs="宋体"/>
                <w:b/>
                <w:color w:val="auto"/>
                <w:sz w:val="21"/>
                <w:szCs w:val="18"/>
              </w:rPr>
              <w:t>三、</w:t>
            </w:r>
          </w:p>
        </w:tc>
        <w:tc>
          <w:tcPr>
            <w:tcW w:w="2521" w:type="dxa"/>
            <w:tcBorders>
              <w:tl2br w:val="nil"/>
              <w:tr2bl w:val="nil"/>
            </w:tcBorders>
            <w:noWrap w:val="0"/>
            <w:vAlign w:val="center"/>
          </w:tcPr>
          <w:p w14:paraId="16BFE9BE">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b/>
                <w:color w:val="auto"/>
                <w:sz w:val="21"/>
                <w:szCs w:val="18"/>
              </w:rPr>
            </w:pPr>
            <w:r>
              <w:rPr>
                <w:rFonts w:hint="eastAsia" w:ascii="Times New Roman" w:hAnsi="Times New Roman" w:eastAsia="宋体" w:cs="宋体"/>
                <w:b/>
                <w:color w:val="auto"/>
                <w:sz w:val="21"/>
                <w:szCs w:val="18"/>
              </w:rPr>
              <w:t>减少与消除事故影响设施</w:t>
            </w:r>
          </w:p>
        </w:tc>
        <w:tc>
          <w:tcPr>
            <w:tcW w:w="4466" w:type="dxa"/>
            <w:tcBorders>
              <w:tl2br w:val="nil"/>
              <w:tr2bl w:val="nil"/>
            </w:tcBorders>
            <w:noWrap w:val="0"/>
            <w:vAlign w:val="center"/>
          </w:tcPr>
          <w:p w14:paraId="13F02DC5">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c>
          <w:tcPr>
            <w:tcW w:w="887" w:type="dxa"/>
            <w:tcBorders>
              <w:tl2br w:val="nil"/>
              <w:tr2bl w:val="nil"/>
            </w:tcBorders>
            <w:noWrap w:val="0"/>
            <w:vAlign w:val="center"/>
          </w:tcPr>
          <w:p w14:paraId="1CF78CE9">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r>
      <w:tr w14:paraId="338CA9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0" w:type="auto"/>
            <w:tcBorders>
              <w:tl2br w:val="nil"/>
              <w:tr2bl w:val="nil"/>
            </w:tcBorders>
            <w:noWrap w:val="0"/>
            <w:vAlign w:val="center"/>
          </w:tcPr>
          <w:p w14:paraId="7A99F412">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w w:val="99"/>
                <w:sz w:val="21"/>
                <w:szCs w:val="18"/>
              </w:rPr>
              <w:t>1</w:t>
            </w:r>
          </w:p>
        </w:tc>
        <w:tc>
          <w:tcPr>
            <w:tcW w:w="2521" w:type="dxa"/>
            <w:tcBorders>
              <w:tl2br w:val="nil"/>
              <w:tr2bl w:val="nil"/>
            </w:tcBorders>
            <w:noWrap w:val="0"/>
            <w:vAlign w:val="center"/>
          </w:tcPr>
          <w:p w14:paraId="42336EE3">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防治火灾蔓延设施</w:t>
            </w:r>
          </w:p>
        </w:tc>
        <w:tc>
          <w:tcPr>
            <w:tcW w:w="4466" w:type="dxa"/>
            <w:tcBorders>
              <w:tl2br w:val="nil"/>
              <w:tr2bl w:val="nil"/>
            </w:tcBorders>
            <w:noWrap w:val="0"/>
            <w:vAlign w:val="center"/>
          </w:tcPr>
          <w:p w14:paraId="6A07AC8E">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防火独立工作间、防火材料涂层等</w:t>
            </w:r>
          </w:p>
        </w:tc>
        <w:tc>
          <w:tcPr>
            <w:tcW w:w="887" w:type="dxa"/>
            <w:tcBorders>
              <w:tl2br w:val="nil"/>
              <w:tr2bl w:val="nil"/>
            </w:tcBorders>
            <w:noWrap w:val="0"/>
            <w:vAlign w:val="center"/>
          </w:tcPr>
          <w:p w14:paraId="6336E44F">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r>
      <w:tr w14:paraId="587D36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0" w:type="auto"/>
            <w:tcBorders>
              <w:tl2br w:val="nil"/>
              <w:tr2bl w:val="nil"/>
            </w:tcBorders>
            <w:noWrap w:val="0"/>
            <w:vAlign w:val="center"/>
          </w:tcPr>
          <w:p w14:paraId="4C0430F4">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w w:val="99"/>
                <w:sz w:val="21"/>
                <w:szCs w:val="18"/>
              </w:rPr>
              <w:t>2</w:t>
            </w:r>
          </w:p>
        </w:tc>
        <w:tc>
          <w:tcPr>
            <w:tcW w:w="2521" w:type="dxa"/>
            <w:tcBorders>
              <w:tl2br w:val="nil"/>
              <w:tr2bl w:val="nil"/>
            </w:tcBorders>
            <w:noWrap w:val="0"/>
            <w:vAlign w:val="center"/>
          </w:tcPr>
          <w:p w14:paraId="6B2669DB">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灭火设施</w:t>
            </w:r>
          </w:p>
        </w:tc>
        <w:tc>
          <w:tcPr>
            <w:tcW w:w="4466" w:type="dxa"/>
            <w:tcBorders>
              <w:tl2br w:val="nil"/>
              <w:tr2bl w:val="nil"/>
            </w:tcBorders>
            <w:noWrap w:val="0"/>
            <w:vAlign w:val="center"/>
          </w:tcPr>
          <w:p w14:paraId="03773F15">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灭火器，消火栓、消防</w:t>
            </w:r>
            <w:r>
              <w:rPr>
                <w:rFonts w:hint="eastAsia" w:ascii="Times New Roman" w:hAnsi="Times New Roman" w:eastAsia="宋体" w:cs="宋体"/>
                <w:color w:val="auto"/>
                <w:sz w:val="21"/>
                <w:szCs w:val="18"/>
                <w:lang w:eastAsia="zh-CN"/>
              </w:rPr>
              <w:t>给水管</w:t>
            </w:r>
            <w:r>
              <w:rPr>
                <w:rFonts w:hint="eastAsia" w:ascii="Times New Roman" w:hAnsi="Times New Roman" w:eastAsia="宋体" w:cs="宋体"/>
                <w:color w:val="auto"/>
                <w:sz w:val="21"/>
                <w:szCs w:val="18"/>
              </w:rPr>
              <w:t>网等</w:t>
            </w:r>
          </w:p>
        </w:tc>
        <w:tc>
          <w:tcPr>
            <w:tcW w:w="887" w:type="dxa"/>
            <w:tcBorders>
              <w:tl2br w:val="nil"/>
              <w:tr2bl w:val="nil"/>
            </w:tcBorders>
            <w:noWrap w:val="0"/>
            <w:vAlign w:val="center"/>
          </w:tcPr>
          <w:p w14:paraId="7C8B20B9">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r>
      <w:tr w14:paraId="2DBFE7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0" w:type="auto"/>
            <w:tcBorders>
              <w:tl2br w:val="nil"/>
              <w:tr2bl w:val="nil"/>
            </w:tcBorders>
            <w:noWrap w:val="0"/>
            <w:vAlign w:val="center"/>
          </w:tcPr>
          <w:p w14:paraId="65F71B50">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w w:val="99"/>
                <w:sz w:val="21"/>
                <w:szCs w:val="18"/>
              </w:rPr>
              <w:t>3</w:t>
            </w:r>
          </w:p>
        </w:tc>
        <w:tc>
          <w:tcPr>
            <w:tcW w:w="2521" w:type="dxa"/>
            <w:tcBorders>
              <w:tl2br w:val="nil"/>
              <w:tr2bl w:val="nil"/>
            </w:tcBorders>
            <w:noWrap w:val="0"/>
            <w:vAlign w:val="center"/>
          </w:tcPr>
          <w:p w14:paraId="65CA24DE">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紧急个体处置设施</w:t>
            </w:r>
          </w:p>
        </w:tc>
        <w:tc>
          <w:tcPr>
            <w:tcW w:w="4466" w:type="dxa"/>
            <w:tcBorders>
              <w:tl2br w:val="nil"/>
              <w:tr2bl w:val="nil"/>
            </w:tcBorders>
            <w:noWrap w:val="0"/>
            <w:vAlign w:val="center"/>
          </w:tcPr>
          <w:p w14:paraId="702DE991">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医药包、应急照明灯具，疏散照明</w:t>
            </w:r>
            <w:r>
              <w:rPr>
                <w:rFonts w:hint="eastAsia" w:ascii="Times New Roman" w:hAnsi="Times New Roman" w:eastAsia="宋体" w:cs="宋体"/>
                <w:color w:val="auto"/>
                <w:sz w:val="21"/>
                <w:szCs w:val="18"/>
                <w:lang w:eastAsia="zh-CN"/>
              </w:rPr>
              <w:t>等</w:t>
            </w:r>
            <w:r>
              <w:rPr>
                <w:rFonts w:hint="eastAsia" w:ascii="Times New Roman" w:hAnsi="Times New Roman" w:eastAsia="宋体" w:cs="宋体"/>
                <w:color w:val="auto"/>
                <w:sz w:val="21"/>
                <w:szCs w:val="18"/>
              </w:rPr>
              <w:t>设施</w:t>
            </w:r>
          </w:p>
        </w:tc>
        <w:tc>
          <w:tcPr>
            <w:tcW w:w="887" w:type="dxa"/>
            <w:tcBorders>
              <w:tl2br w:val="nil"/>
              <w:tr2bl w:val="nil"/>
            </w:tcBorders>
            <w:noWrap w:val="0"/>
            <w:vAlign w:val="center"/>
          </w:tcPr>
          <w:p w14:paraId="43701CA6">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r>
      <w:tr w14:paraId="131441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0" w:type="auto"/>
            <w:tcBorders>
              <w:tl2br w:val="nil"/>
              <w:tr2bl w:val="nil"/>
            </w:tcBorders>
            <w:noWrap w:val="0"/>
            <w:vAlign w:val="center"/>
          </w:tcPr>
          <w:p w14:paraId="05D24AF4">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w w:val="99"/>
                <w:sz w:val="21"/>
                <w:szCs w:val="18"/>
              </w:rPr>
              <w:t>4</w:t>
            </w:r>
          </w:p>
        </w:tc>
        <w:tc>
          <w:tcPr>
            <w:tcW w:w="2521" w:type="dxa"/>
            <w:tcBorders>
              <w:tl2br w:val="nil"/>
              <w:tr2bl w:val="nil"/>
            </w:tcBorders>
            <w:noWrap w:val="0"/>
            <w:vAlign w:val="center"/>
          </w:tcPr>
          <w:p w14:paraId="337404A1">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应急救援设施</w:t>
            </w:r>
          </w:p>
        </w:tc>
        <w:tc>
          <w:tcPr>
            <w:tcW w:w="4466" w:type="dxa"/>
            <w:tcBorders>
              <w:tl2br w:val="nil"/>
              <w:tr2bl w:val="nil"/>
            </w:tcBorders>
            <w:noWrap w:val="0"/>
            <w:vAlign w:val="center"/>
          </w:tcPr>
          <w:p w14:paraId="49B81ED6">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防毒面具等急救设施，包括医疗抢救设备</w:t>
            </w:r>
          </w:p>
        </w:tc>
        <w:tc>
          <w:tcPr>
            <w:tcW w:w="887" w:type="dxa"/>
            <w:tcBorders>
              <w:tl2br w:val="nil"/>
              <w:tr2bl w:val="nil"/>
            </w:tcBorders>
            <w:noWrap w:val="0"/>
            <w:vAlign w:val="center"/>
          </w:tcPr>
          <w:p w14:paraId="3013342D">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r>
      <w:tr w14:paraId="57A891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9" w:hRule="atLeast"/>
        </w:trPr>
        <w:tc>
          <w:tcPr>
            <w:tcW w:w="0" w:type="auto"/>
            <w:tcBorders>
              <w:tl2br w:val="nil"/>
              <w:tr2bl w:val="nil"/>
            </w:tcBorders>
            <w:noWrap w:val="0"/>
            <w:vAlign w:val="center"/>
          </w:tcPr>
          <w:p w14:paraId="0A556198">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w w:val="99"/>
                <w:sz w:val="21"/>
                <w:szCs w:val="18"/>
              </w:rPr>
              <w:t>6</w:t>
            </w:r>
          </w:p>
        </w:tc>
        <w:tc>
          <w:tcPr>
            <w:tcW w:w="2521" w:type="dxa"/>
            <w:tcBorders>
              <w:tl2br w:val="nil"/>
              <w:tr2bl w:val="nil"/>
            </w:tcBorders>
            <w:noWrap w:val="0"/>
            <w:vAlign w:val="center"/>
          </w:tcPr>
          <w:p w14:paraId="6254187F">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劳动防护用品和装备</w:t>
            </w:r>
          </w:p>
        </w:tc>
        <w:tc>
          <w:tcPr>
            <w:tcW w:w="4466" w:type="dxa"/>
            <w:tcBorders>
              <w:tl2br w:val="nil"/>
              <w:tr2bl w:val="nil"/>
            </w:tcBorders>
            <w:noWrap w:val="0"/>
            <w:vAlign w:val="center"/>
          </w:tcPr>
          <w:p w14:paraId="56E28D8A">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r>
              <w:rPr>
                <w:rFonts w:hint="eastAsia" w:ascii="Times New Roman" w:hAnsi="Times New Roman" w:eastAsia="宋体" w:cs="宋体"/>
                <w:color w:val="auto"/>
                <w:sz w:val="21"/>
                <w:szCs w:val="18"/>
              </w:rPr>
              <w:t>绝缘手套、绝缘鞋、安全帽等</w:t>
            </w:r>
          </w:p>
        </w:tc>
        <w:tc>
          <w:tcPr>
            <w:tcW w:w="887" w:type="dxa"/>
            <w:tcBorders>
              <w:tl2br w:val="nil"/>
              <w:tr2bl w:val="nil"/>
            </w:tcBorders>
            <w:noWrap w:val="0"/>
            <w:vAlign w:val="center"/>
          </w:tcPr>
          <w:p w14:paraId="44FDC0C0">
            <w:pPr>
              <w:pStyle w:val="3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s="宋体"/>
                <w:color w:val="auto"/>
                <w:sz w:val="21"/>
                <w:szCs w:val="18"/>
              </w:rPr>
            </w:pPr>
          </w:p>
        </w:tc>
      </w:tr>
    </w:tbl>
    <w:p w14:paraId="666019DB">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right="0"/>
        <w:textAlignment w:val="baseline"/>
        <w:rPr>
          <w:rFonts w:hint="eastAsia" w:ascii="Times New Roman" w:hAnsi="Times New Roman" w:eastAsia="宋体" w:cs="宋体"/>
          <w:b/>
          <w:bCs/>
          <w:color w:val="auto"/>
          <w:sz w:val="28"/>
          <w:szCs w:val="28"/>
          <w:lang w:val="en-US" w:eastAsia="zh-CN"/>
        </w:rPr>
      </w:pPr>
      <w:bookmarkStart w:id="131" w:name="_Toc18619"/>
      <w:bookmarkStart w:id="132" w:name="_Toc22989"/>
      <w:bookmarkStart w:id="133" w:name="_Toc21570"/>
      <w:bookmarkStart w:id="134" w:name="_Toc11305"/>
      <w:r>
        <w:rPr>
          <w:rFonts w:hint="eastAsia" w:ascii="Times New Roman" w:hAnsi="Times New Roman" w:eastAsia="宋体" w:cs="宋体"/>
          <w:b/>
          <w:bCs/>
          <w:color w:val="auto"/>
          <w:sz w:val="28"/>
          <w:szCs w:val="28"/>
          <w:lang w:val="en-US" w:eastAsia="zh-CN"/>
        </w:rPr>
        <w:t>12.4、安全生产操作方案</w:t>
      </w:r>
      <w:bookmarkEnd w:id="131"/>
      <w:bookmarkEnd w:id="132"/>
      <w:bookmarkEnd w:id="133"/>
      <w:bookmarkEnd w:id="134"/>
    </w:p>
    <w:p w14:paraId="5C17603D">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1</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对员工必须进行系统安全教育，应建立定期安全学习制度。</w:t>
      </w:r>
    </w:p>
    <w:p w14:paraId="4A02EF36">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2</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从事电气、沼</w:t>
      </w:r>
      <w:r>
        <w:rPr>
          <w:rFonts w:hint="eastAsia" w:ascii="Times New Roman" w:hAnsi="Times New Roman" w:eastAsia="宋体" w:cs="宋体"/>
          <w:color w:val="auto"/>
          <w:sz w:val="24"/>
          <w:lang w:val="en-US" w:eastAsia="zh-CN"/>
        </w:rPr>
        <w:t>液沼渣</w:t>
      </w:r>
      <w:r>
        <w:rPr>
          <w:rFonts w:hint="eastAsia" w:ascii="Times New Roman" w:hAnsi="Times New Roman" w:eastAsia="宋体" w:cs="宋体"/>
          <w:color w:val="auto"/>
          <w:sz w:val="24"/>
        </w:rPr>
        <w:t>化验分析等特殊工种的人员，必须通过职业技能、安全技术培训，经鉴定合格并取得相应行业的职业资格证书后方可上岗操作。</w:t>
      </w:r>
    </w:p>
    <w:p w14:paraId="6F3EC580">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3</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沼气工程应装备消防器材、保护性安全器具等防护设备。</w:t>
      </w:r>
    </w:p>
    <w:p w14:paraId="23A95B38">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4</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制定火警、易燃及有害气体泄漏、爆炸、自然灾害等意外事件的紧急应变计划。应在醒目位置设立“禁火标志，严禁烟火”。</w:t>
      </w:r>
    </w:p>
    <w:p w14:paraId="3E7F383D">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5</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运行管理人员必须了解</w:t>
      </w:r>
      <w:r>
        <w:rPr>
          <w:rFonts w:hint="eastAsia" w:ascii="Times New Roman" w:hAnsi="Times New Roman" w:eastAsia="宋体" w:cs="宋体"/>
          <w:color w:val="auto"/>
          <w:sz w:val="24"/>
          <w:lang w:val="en-US" w:eastAsia="zh-CN"/>
        </w:rPr>
        <w:t>本项目</w:t>
      </w:r>
      <w:r>
        <w:rPr>
          <w:rFonts w:hint="eastAsia" w:ascii="Times New Roman" w:hAnsi="Times New Roman" w:eastAsia="宋体" w:cs="宋体"/>
          <w:color w:val="auto"/>
          <w:sz w:val="24"/>
        </w:rPr>
        <w:t>内的各种有害因素与操作及维修工作的利害关系。</w:t>
      </w:r>
    </w:p>
    <w:p w14:paraId="0BDA48C2">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6</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各岗位操作人员上岗时必须穿戴相应劳保用品，做好安全卫生工作。</w:t>
      </w:r>
    </w:p>
    <w:p w14:paraId="1BBFB604">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lang w:eastAsia="zh-CN"/>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7</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对产生、输送、贮存</w:t>
      </w:r>
      <w:r>
        <w:rPr>
          <w:rFonts w:hint="eastAsia" w:ascii="Times New Roman" w:hAnsi="Times New Roman" w:eastAsia="宋体" w:cs="宋体"/>
          <w:color w:val="auto"/>
          <w:sz w:val="24"/>
          <w:lang w:val="en-US" w:eastAsia="zh-CN"/>
        </w:rPr>
        <w:t>沼液、沼渣、沼气</w:t>
      </w:r>
      <w:r>
        <w:rPr>
          <w:rFonts w:hint="eastAsia" w:ascii="Times New Roman" w:hAnsi="Times New Roman" w:eastAsia="宋体" w:cs="宋体"/>
          <w:color w:val="auto"/>
          <w:sz w:val="24"/>
        </w:rPr>
        <w:t>的设施应做好安全防护</w:t>
      </w:r>
      <w:r>
        <w:rPr>
          <w:rFonts w:hint="eastAsia" w:ascii="Times New Roman" w:hAnsi="Times New Roman" w:eastAsia="宋体" w:cs="宋体"/>
          <w:color w:val="auto"/>
          <w:sz w:val="24"/>
          <w:lang w:eastAsia="zh-CN"/>
        </w:rPr>
        <w:t>。</w:t>
      </w:r>
    </w:p>
    <w:p w14:paraId="336A1704">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8</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电源电压大于或小于额定电压5%时，严禁</w:t>
      </w:r>
      <w:r>
        <w:rPr>
          <w:rFonts w:hint="eastAsia" w:ascii="Times New Roman" w:hAnsi="Times New Roman" w:eastAsia="宋体" w:cs="宋体"/>
          <w:color w:val="auto"/>
          <w:sz w:val="24"/>
          <w:lang w:eastAsia="zh-CN"/>
        </w:rPr>
        <w:t>启动</w:t>
      </w:r>
      <w:r>
        <w:rPr>
          <w:rFonts w:hint="eastAsia" w:ascii="Times New Roman" w:hAnsi="Times New Roman" w:eastAsia="宋体" w:cs="宋体"/>
          <w:color w:val="auto"/>
          <w:sz w:val="24"/>
        </w:rPr>
        <w:t>大型电机，电气设备必须可靠接地。</w:t>
      </w:r>
    </w:p>
    <w:p w14:paraId="7F819E6B">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9</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操作</w:t>
      </w:r>
      <w:r>
        <w:rPr>
          <w:rFonts w:hint="eastAsia" w:ascii="Times New Roman" w:hAnsi="Times New Roman" w:eastAsia="宋体" w:cs="宋体"/>
          <w:color w:val="auto"/>
          <w:sz w:val="24"/>
          <w:lang w:eastAsia="zh-CN"/>
        </w:rPr>
        <w:t>电气</w:t>
      </w:r>
      <w:r>
        <w:rPr>
          <w:rFonts w:hint="eastAsia" w:ascii="Times New Roman" w:hAnsi="Times New Roman" w:eastAsia="宋体" w:cs="宋体"/>
          <w:color w:val="auto"/>
          <w:sz w:val="24"/>
        </w:rPr>
        <w:t>开关时，应按电工安全用电操作规程进行。</w:t>
      </w:r>
    </w:p>
    <w:p w14:paraId="79C5FC97">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10</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严禁非本岗位人员启、闭，机电设备。</w:t>
      </w:r>
    </w:p>
    <w:p w14:paraId="3ED29FF7">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11</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维修各种设备时必须切断电源，并应在控制箱外挂维修警示牌。</w:t>
      </w:r>
    </w:p>
    <w:p w14:paraId="08C7418B">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12</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在运转中清理机电设备及周围环境卫生时，严禁擦拭设备运转部位，不得将冲洗水溅到电缆头和电机。</w:t>
      </w:r>
    </w:p>
    <w:p w14:paraId="4A9747EE">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13</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操作人员应熟练掌握，并会合理使用灭火器具。</w:t>
      </w:r>
    </w:p>
    <w:p w14:paraId="1AB18459">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14</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有害气体、异味、粉尘和环境潮湿的场所，必须保持通风良好。</w:t>
      </w:r>
    </w:p>
    <w:p w14:paraId="45414EA5">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15</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清捞杂物、浮渣及清扫堰口时，应有安全及监护措施。</w:t>
      </w:r>
    </w:p>
    <w:p w14:paraId="1A959689">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16</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在构筑物上或敞开式池、井边巡视、操作时，应注意安全，雨天或冰雪天气应特别注意防滑。</w:t>
      </w:r>
    </w:p>
    <w:p w14:paraId="3A7FCA49">
      <w:pPr>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宋体"/>
          <w:color w:val="auto"/>
          <w:sz w:val="24"/>
        </w:rPr>
      </w:pP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17</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制定预防突发事故的紧急预案及采用的相关措施。</w:t>
      </w:r>
    </w:p>
    <w:p w14:paraId="0E9EA6A8">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jc w:val="center"/>
        <w:textAlignment w:val="baseline"/>
        <w:rPr>
          <w:rFonts w:hint="default" w:ascii="Times New Roman" w:hAnsi="Times New Roman" w:eastAsia="宋体" w:cs="宋体"/>
          <w:b/>
          <w:color w:val="auto"/>
          <w:sz w:val="30"/>
          <w:szCs w:val="30"/>
          <w:lang w:val="en-US" w:eastAsia="zh-CN"/>
        </w:rPr>
      </w:pPr>
      <w:bookmarkStart w:id="135" w:name="_Toc14090"/>
      <w:r>
        <w:rPr>
          <w:rFonts w:hint="eastAsia" w:ascii="Times New Roman" w:hAnsi="Times New Roman" w:eastAsia="宋体" w:cs="宋体"/>
          <w:color w:val="auto"/>
          <w:sz w:val="44"/>
          <w:szCs w:val="44"/>
        </w:rPr>
        <w:br w:type="column"/>
      </w:r>
      <w:bookmarkEnd w:id="54"/>
      <w:bookmarkStart w:id="136" w:name="_Toc7775"/>
      <w:r>
        <w:rPr>
          <w:rFonts w:hint="eastAsia" w:ascii="Times New Roman" w:hAnsi="Times New Roman" w:eastAsia="宋体" w:cs="宋体"/>
          <w:b/>
          <w:color w:val="auto"/>
          <w:sz w:val="30"/>
          <w:szCs w:val="30"/>
          <w:lang w:val="en-US" w:eastAsia="zh-CN"/>
        </w:rPr>
        <w:t>第十三章 结构设计说明</w:t>
      </w:r>
      <w:bookmarkEnd w:id="135"/>
    </w:p>
    <w:p w14:paraId="483B856E">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z w:val="28"/>
          <w:szCs w:val="28"/>
          <w:lang w:val="en-US" w:eastAsia="zh-CN"/>
        </w:rPr>
      </w:pPr>
      <w:bookmarkStart w:id="137" w:name="_Toc5563"/>
      <w:r>
        <w:rPr>
          <w:rFonts w:hint="eastAsia" w:ascii="Times New Roman" w:hAnsi="Times New Roman" w:cs="宋体"/>
          <w:b/>
          <w:bCs/>
          <w:color w:val="auto"/>
          <w:sz w:val="28"/>
          <w:szCs w:val="28"/>
          <w:lang w:val="en-US" w:eastAsia="zh-CN"/>
        </w:rPr>
        <w:t>13</w:t>
      </w:r>
      <w:r>
        <w:rPr>
          <w:rFonts w:hint="eastAsia" w:ascii="Times New Roman" w:hAnsi="Times New Roman" w:eastAsia="宋体" w:cs="宋体"/>
          <w:b/>
          <w:bCs/>
          <w:color w:val="auto"/>
          <w:sz w:val="28"/>
          <w:szCs w:val="28"/>
          <w:lang w:val="en-US" w:eastAsia="zh-CN"/>
        </w:rPr>
        <w:t>.1、设计依据</w:t>
      </w:r>
      <w:bookmarkEnd w:id="137"/>
    </w:p>
    <w:p w14:paraId="2ACEAA3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w:t>
      </w:r>
      <w:r>
        <w:rPr>
          <w:rFonts w:hint="default" w:ascii="Times New Roman" w:hAnsi="Times New Roman" w:eastAsia="宋体" w:cs="宋体"/>
          <w:color w:val="auto"/>
          <w:sz w:val="24"/>
          <w:lang w:val="en-US" w:eastAsia="zh-CN"/>
        </w:rPr>
        <w:t>建筑结构荷载规范</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（GB50009-2019）</w:t>
      </w:r>
      <w:r>
        <w:rPr>
          <w:rFonts w:hint="eastAsia" w:ascii="Times New Roman" w:hAnsi="Times New Roman" w:eastAsia="宋体" w:cs="宋体"/>
          <w:color w:val="auto"/>
          <w:sz w:val="24"/>
          <w:lang w:val="en-US" w:eastAsia="zh-CN"/>
        </w:rPr>
        <w:t>；</w:t>
      </w:r>
    </w:p>
    <w:p w14:paraId="3E83FDF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（2）《</w:t>
      </w:r>
      <w:r>
        <w:rPr>
          <w:rFonts w:hint="default" w:ascii="Times New Roman" w:hAnsi="Times New Roman" w:eastAsia="宋体" w:cs="宋体"/>
          <w:color w:val="auto"/>
          <w:sz w:val="24"/>
          <w:lang w:val="en-US" w:eastAsia="zh-CN"/>
        </w:rPr>
        <w:t>建筑工程抗震设防分类标准</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（GB50223-2008）</w:t>
      </w:r>
      <w:r>
        <w:rPr>
          <w:rFonts w:hint="eastAsia" w:ascii="Times New Roman" w:hAnsi="Times New Roman" w:eastAsia="宋体" w:cs="宋体"/>
          <w:color w:val="auto"/>
          <w:sz w:val="24"/>
          <w:lang w:val="en-US" w:eastAsia="zh-CN"/>
        </w:rPr>
        <w:t>；</w:t>
      </w:r>
    </w:p>
    <w:p w14:paraId="59EAA9D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（3）《</w:t>
      </w:r>
      <w:r>
        <w:rPr>
          <w:rFonts w:hint="default" w:ascii="Times New Roman" w:hAnsi="Times New Roman" w:eastAsia="宋体" w:cs="宋体"/>
          <w:color w:val="auto"/>
          <w:sz w:val="24"/>
          <w:lang w:val="en-US" w:eastAsia="zh-CN"/>
        </w:rPr>
        <w:t>建筑抗震设计规范</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（GB50011-2010）（2016年版）</w:t>
      </w:r>
      <w:r>
        <w:rPr>
          <w:rFonts w:hint="eastAsia" w:ascii="Times New Roman" w:hAnsi="Times New Roman" w:eastAsia="宋体" w:cs="宋体"/>
          <w:color w:val="auto"/>
          <w:sz w:val="24"/>
          <w:lang w:val="en-US" w:eastAsia="zh-CN"/>
        </w:rPr>
        <w:t>；</w:t>
      </w:r>
    </w:p>
    <w:p w14:paraId="434F259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（4）《</w:t>
      </w:r>
      <w:r>
        <w:rPr>
          <w:rFonts w:hint="default" w:ascii="Times New Roman" w:hAnsi="Times New Roman" w:eastAsia="宋体" w:cs="宋体"/>
          <w:color w:val="auto"/>
          <w:sz w:val="24"/>
          <w:lang w:val="en-US" w:eastAsia="zh-CN"/>
        </w:rPr>
        <w:t>砌体结构设计规范</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（GB50003-2011)</w:t>
      </w:r>
      <w:r>
        <w:rPr>
          <w:rFonts w:hint="eastAsia" w:ascii="Times New Roman" w:hAnsi="Times New Roman" w:eastAsia="宋体" w:cs="宋体"/>
          <w:color w:val="auto"/>
          <w:sz w:val="24"/>
          <w:lang w:val="en-US" w:eastAsia="zh-CN"/>
        </w:rPr>
        <w:t>；</w:t>
      </w:r>
    </w:p>
    <w:p w14:paraId="6E3AC75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（5）《</w:t>
      </w:r>
      <w:r>
        <w:rPr>
          <w:rFonts w:hint="default" w:ascii="Times New Roman" w:hAnsi="Times New Roman" w:eastAsia="宋体" w:cs="宋体"/>
          <w:color w:val="auto"/>
          <w:sz w:val="24"/>
          <w:lang w:val="en-US" w:eastAsia="zh-CN"/>
        </w:rPr>
        <w:t>混凝土结构设计规范</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（GB50010-2010)（2015年版）</w:t>
      </w:r>
      <w:r>
        <w:rPr>
          <w:rFonts w:hint="eastAsia" w:ascii="Times New Roman" w:hAnsi="Times New Roman" w:eastAsia="宋体" w:cs="宋体"/>
          <w:color w:val="auto"/>
          <w:sz w:val="24"/>
          <w:lang w:val="en-US" w:eastAsia="zh-CN"/>
        </w:rPr>
        <w:t>；</w:t>
      </w:r>
    </w:p>
    <w:p w14:paraId="30F84DD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（6）《</w:t>
      </w:r>
      <w:r>
        <w:rPr>
          <w:rFonts w:hint="default" w:ascii="Times New Roman" w:hAnsi="Times New Roman" w:eastAsia="宋体" w:cs="宋体"/>
          <w:color w:val="auto"/>
          <w:sz w:val="24"/>
          <w:lang w:val="en-US" w:eastAsia="zh-CN"/>
        </w:rPr>
        <w:t>建筑地基基础设计规范</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（GB50007-2011）</w:t>
      </w:r>
      <w:r>
        <w:rPr>
          <w:rFonts w:hint="eastAsia" w:ascii="Times New Roman" w:hAnsi="Times New Roman" w:eastAsia="宋体" w:cs="宋体"/>
          <w:color w:val="auto"/>
          <w:sz w:val="24"/>
          <w:lang w:val="en-US" w:eastAsia="zh-CN"/>
        </w:rPr>
        <w:t>；</w:t>
      </w:r>
    </w:p>
    <w:p w14:paraId="3A27E89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（7）《</w:t>
      </w:r>
      <w:r>
        <w:rPr>
          <w:rFonts w:hint="default" w:ascii="Times New Roman" w:hAnsi="Times New Roman" w:eastAsia="宋体" w:cs="宋体"/>
          <w:color w:val="auto"/>
          <w:sz w:val="24"/>
          <w:lang w:val="en-US" w:eastAsia="zh-CN"/>
        </w:rPr>
        <w:t>建筑结构制图标准</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（GB/T50105-2010）</w:t>
      </w:r>
      <w:r>
        <w:rPr>
          <w:rFonts w:hint="eastAsia" w:ascii="Times New Roman" w:hAnsi="Times New Roman" w:eastAsia="宋体" w:cs="宋体"/>
          <w:color w:val="auto"/>
          <w:sz w:val="24"/>
          <w:lang w:val="en-US" w:eastAsia="zh-CN"/>
        </w:rPr>
        <w:t>；</w:t>
      </w:r>
    </w:p>
    <w:p w14:paraId="29C008E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（8）《</w:t>
      </w:r>
      <w:r>
        <w:rPr>
          <w:rFonts w:hint="default" w:ascii="Times New Roman" w:hAnsi="Times New Roman" w:eastAsia="宋体" w:cs="宋体"/>
          <w:color w:val="auto"/>
          <w:sz w:val="24"/>
          <w:lang w:val="en-US" w:eastAsia="zh-CN"/>
        </w:rPr>
        <w:t>建筑地基处理技术规范</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JGJ79-2012）</w:t>
      </w:r>
      <w:r>
        <w:rPr>
          <w:rFonts w:hint="eastAsia" w:ascii="Times New Roman" w:hAnsi="Times New Roman" w:eastAsia="宋体" w:cs="宋体"/>
          <w:color w:val="auto"/>
          <w:sz w:val="24"/>
          <w:lang w:val="en-US" w:eastAsia="zh-CN"/>
        </w:rPr>
        <w:t>；</w:t>
      </w:r>
    </w:p>
    <w:p w14:paraId="254F324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（9）《</w:t>
      </w:r>
      <w:r>
        <w:rPr>
          <w:rFonts w:hint="default" w:ascii="Times New Roman" w:hAnsi="Times New Roman" w:eastAsia="宋体" w:cs="宋体"/>
          <w:color w:val="auto"/>
          <w:sz w:val="24"/>
          <w:lang w:val="en-US" w:eastAsia="zh-CN"/>
        </w:rPr>
        <w:t>建筑结构可靠度设计统一标准</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（GB50068-2018）</w:t>
      </w:r>
      <w:r>
        <w:rPr>
          <w:rFonts w:hint="eastAsia" w:ascii="Times New Roman" w:hAnsi="Times New Roman" w:eastAsia="宋体" w:cs="宋体"/>
          <w:color w:val="auto"/>
          <w:sz w:val="24"/>
          <w:lang w:val="en-US" w:eastAsia="zh-CN"/>
        </w:rPr>
        <w:t>；</w:t>
      </w:r>
    </w:p>
    <w:p w14:paraId="6F9970C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（10）《</w:t>
      </w:r>
      <w:r>
        <w:rPr>
          <w:rFonts w:hint="default" w:ascii="Times New Roman" w:hAnsi="Times New Roman" w:eastAsia="宋体" w:cs="宋体"/>
          <w:color w:val="auto"/>
          <w:sz w:val="24"/>
          <w:lang w:val="en-US" w:eastAsia="zh-CN"/>
        </w:rPr>
        <w:t>地下工程防水技术规范</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（GB50108-2008）</w:t>
      </w:r>
      <w:r>
        <w:rPr>
          <w:rFonts w:hint="eastAsia" w:ascii="Times New Roman" w:hAnsi="Times New Roman" w:eastAsia="宋体" w:cs="宋体"/>
          <w:color w:val="auto"/>
          <w:sz w:val="24"/>
          <w:lang w:val="en-US" w:eastAsia="zh-CN"/>
        </w:rPr>
        <w:t>；</w:t>
      </w:r>
    </w:p>
    <w:p w14:paraId="5995DCB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（11）《</w:t>
      </w:r>
      <w:r>
        <w:rPr>
          <w:rFonts w:hint="default" w:ascii="Times New Roman" w:hAnsi="Times New Roman" w:eastAsia="宋体" w:cs="宋体"/>
          <w:color w:val="auto"/>
          <w:sz w:val="24"/>
          <w:lang w:val="en-US" w:eastAsia="zh-CN"/>
        </w:rPr>
        <w:t>湿陷性黄土地区建筑标准</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（GB50025-2018）</w:t>
      </w:r>
      <w:r>
        <w:rPr>
          <w:rFonts w:hint="eastAsia" w:ascii="Times New Roman" w:hAnsi="Times New Roman" w:eastAsia="宋体" w:cs="宋体"/>
          <w:color w:val="auto"/>
          <w:sz w:val="24"/>
          <w:lang w:val="en-US" w:eastAsia="zh-CN"/>
        </w:rPr>
        <w:t>；</w:t>
      </w:r>
    </w:p>
    <w:p w14:paraId="59DE4B5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（12）《</w:t>
      </w:r>
      <w:r>
        <w:rPr>
          <w:rFonts w:hint="default" w:ascii="Times New Roman" w:hAnsi="Times New Roman" w:eastAsia="宋体" w:cs="宋体"/>
          <w:color w:val="auto"/>
          <w:sz w:val="24"/>
          <w:lang w:val="en-US" w:eastAsia="zh-CN"/>
        </w:rPr>
        <w:t>钢结构设计标准</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（GB50017-2017）</w:t>
      </w:r>
      <w:r>
        <w:rPr>
          <w:rFonts w:hint="eastAsia" w:ascii="Times New Roman" w:hAnsi="Times New Roman" w:eastAsia="宋体" w:cs="宋体"/>
          <w:color w:val="auto"/>
          <w:sz w:val="24"/>
          <w:lang w:val="en-US" w:eastAsia="zh-CN"/>
        </w:rPr>
        <w:t>；</w:t>
      </w:r>
    </w:p>
    <w:p w14:paraId="3EBA0E3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（13）《</w:t>
      </w:r>
      <w:r>
        <w:rPr>
          <w:rFonts w:hint="default" w:ascii="Times New Roman" w:hAnsi="Times New Roman" w:eastAsia="宋体" w:cs="宋体"/>
          <w:color w:val="auto"/>
          <w:sz w:val="24"/>
          <w:lang w:val="en-US" w:eastAsia="zh-CN"/>
        </w:rPr>
        <w:t>冷弯薄壁型钢结构技术规范</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（GB50018-2002）</w:t>
      </w:r>
      <w:r>
        <w:rPr>
          <w:rFonts w:hint="eastAsia" w:ascii="Times New Roman" w:hAnsi="Times New Roman" w:eastAsia="宋体" w:cs="宋体"/>
          <w:color w:val="auto"/>
          <w:sz w:val="24"/>
          <w:lang w:val="en-US" w:eastAsia="zh-CN"/>
        </w:rPr>
        <w:t>；</w:t>
      </w:r>
    </w:p>
    <w:p w14:paraId="6470E15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（14）《</w:t>
      </w:r>
      <w:r>
        <w:rPr>
          <w:rFonts w:hint="default" w:ascii="Times New Roman" w:hAnsi="Times New Roman" w:eastAsia="宋体" w:cs="宋体"/>
          <w:color w:val="auto"/>
          <w:sz w:val="24"/>
          <w:lang w:val="en-US" w:eastAsia="zh-CN"/>
        </w:rPr>
        <w:t>门式</w:t>
      </w:r>
      <w:r>
        <w:rPr>
          <w:rFonts w:hint="eastAsia" w:ascii="Times New Roman" w:hAnsi="Times New Roman" w:eastAsia="宋体" w:cs="宋体"/>
          <w:color w:val="auto"/>
          <w:sz w:val="24"/>
          <w:lang w:val="en-US" w:eastAsia="zh-CN"/>
        </w:rPr>
        <w:t>钢架</w:t>
      </w:r>
      <w:r>
        <w:rPr>
          <w:rFonts w:hint="default" w:ascii="Times New Roman" w:hAnsi="Times New Roman" w:eastAsia="宋体" w:cs="宋体"/>
          <w:color w:val="auto"/>
          <w:sz w:val="24"/>
          <w:lang w:val="en-US" w:eastAsia="zh-CN"/>
        </w:rPr>
        <w:t>轻型房屋钢结构技术规范</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GB51022-2015)</w:t>
      </w:r>
      <w:r>
        <w:rPr>
          <w:rFonts w:hint="eastAsia" w:ascii="Times New Roman" w:hAnsi="Times New Roman" w:eastAsia="宋体" w:cs="宋体"/>
          <w:color w:val="auto"/>
          <w:sz w:val="24"/>
          <w:lang w:val="en-US" w:eastAsia="zh-CN"/>
        </w:rPr>
        <w:t>；</w:t>
      </w:r>
    </w:p>
    <w:p w14:paraId="12CC7B7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（15）《</w:t>
      </w:r>
      <w:r>
        <w:rPr>
          <w:rFonts w:hint="default" w:ascii="Times New Roman" w:hAnsi="Times New Roman" w:eastAsia="宋体" w:cs="宋体"/>
          <w:color w:val="auto"/>
          <w:sz w:val="24"/>
          <w:lang w:val="en-US" w:eastAsia="zh-CN"/>
        </w:rPr>
        <w:t>碳素结构钢</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（GB/T700-2006）</w:t>
      </w:r>
      <w:r>
        <w:rPr>
          <w:rFonts w:hint="eastAsia" w:ascii="Times New Roman" w:hAnsi="Times New Roman" w:eastAsia="宋体" w:cs="宋体"/>
          <w:color w:val="auto"/>
          <w:sz w:val="24"/>
          <w:lang w:val="en-US" w:eastAsia="zh-CN"/>
        </w:rPr>
        <w:t>；</w:t>
      </w:r>
    </w:p>
    <w:p w14:paraId="6E68079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（16）《</w:t>
      </w:r>
      <w:r>
        <w:rPr>
          <w:rFonts w:hint="default" w:ascii="Times New Roman" w:hAnsi="Times New Roman" w:eastAsia="宋体" w:cs="宋体"/>
          <w:color w:val="auto"/>
          <w:sz w:val="24"/>
          <w:lang w:val="en-US" w:eastAsia="zh-CN"/>
        </w:rPr>
        <w:t>建筑钢结构防腐蚀技术规程</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（JGJ/T251-2011)</w:t>
      </w:r>
      <w:r>
        <w:rPr>
          <w:rFonts w:hint="eastAsia" w:ascii="Times New Roman" w:hAnsi="Times New Roman" w:eastAsia="宋体" w:cs="宋体"/>
          <w:color w:val="auto"/>
          <w:sz w:val="24"/>
          <w:lang w:val="en-US" w:eastAsia="zh-CN"/>
        </w:rPr>
        <w:t>；</w:t>
      </w:r>
    </w:p>
    <w:p w14:paraId="4B072B7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（17）《</w:t>
      </w:r>
      <w:r>
        <w:rPr>
          <w:rFonts w:hint="default" w:ascii="Times New Roman" w:hAnsi="Times New Roman" w:eastAsia="宋体" w:cs="宋体"/>
          <w:color w:val="auto"/>
          <w:sz w:val="24"/>
          <w:lang w:val="en-US" w:eastAsia="zh-CN"/>
        </w:rPr>
        <w:t>钢结构高强度螺栓连接技术规程</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（JGJ82-2011）</w:t>
      </w:r>
      <w:r>
        <w:rPr>
          <w:rFonts w:hint="eastAsia" w:ascii="Times New Roman" w:hAnsi="Times New Roman" w:eastAsia="宋体" w:cs="宋体"/>
          <w:color w:val="auto"/>
          <w:sz w:val="24"/>
          <w:lang w:val="en-US" w:eastAsia="zh-CN"/>
        </w:rPr>
        <w:t>；</w:t>
      </w:r>
    </w:p>
    <w:p w14:paraId="477012F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（18）《</w:t>
      </w:r>
      <w:r>
        <w:rPr>
          <w:rFonts w:hint="default" w:ascii="Times New Roman" w:hAnsi="Times New Roman" w:eastAsia="宋体" w:cs="宋体"/>
          <w:color w:val="auto"/>
          <w:sz w:val="24"/>
          <w:lang w:val="en-US" w:eastAsia="zh-CN"/>
        </w:rPr>
        <w:t>建筑钢结构防火技术规范</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（GB51249-2017）</w:t>
      </w:r>
      <w:r>
        <w:rPr>
          <w:rFonts w:hint="eastAsia" w:ascii="Times New Roman" w:hAnsi="Times New Roman" w:eastAsia="宋体" w:cs="宋体"/>
          <w:color w:val="auto"/>
          <w:sz w:val="24"/>
          <w:lang w:val="en-US" w:eastAsia="zh-CN"/>
        </w:rPr>
        <w:t>；</w:t>
      </w:r>
    </w:p>
    <w:p w14:paraId="6A652D3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（19）《</w:t>
      </w:r>
      <w:r>
        <w:rPr>
          <w:rFonts w:hint="default" w:ascii="Times New Roman" w:hAnsi="Times New Roman" w:eastAsia="宋体" w:cs="宋体"/>
          <w:color w:val="auto"/>
          <w:sz w:val="24"/>
          <w:lang w:val="en-US" w:eastAsia="zh-CN"/>
        </w:rPr>
        <w:t>钢结构焊接规范</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（GB50661-2011）</w:t>
      </w:r>
      <w:r>
        <w:rPr>
          <w:rFonts w:hint="eastAsia" w:ascii="Times New Roman" w:hAnsi="Times New Roman" w:eastAsia="宋体" w:cs="宋体"/>
          <w:color w:val="auto"/>
          <w:sz w:val="24"/>
          <w:lang w:val="en-US" w:eastAsia="zh-CN"/>
        </w:rPr>
        <w:t>；</w:t>
      </w:r>
    </w:p>
    <w:p w14:paraId="7CE9A8B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color w:val="auto"/>
          <w:lang w:val="en-US" w:eastAsia="zh-CN"/>
        </w:rPr>
      </w:pPr>
      <w:r>
        <w:rPr>
          <w:rFonts w:hint="eastAsia" w:ascii="Times New Roman" w:hAnsi="Times New Roman" w:eastAsia="宋体" w:cs="宋体"/>
          <w:color w:val="auto"/>
          <w:sz w:val="24"/>
          <w:lang w:val="en-US" w:eastAsia="zh-CN"/>
        </w:rPr>
        <w:t>（20）《</w:t>
      </w:r>
      <w:r>
        <w:rPr>
          <w:rFonts w:hint="default" w:ascii="Times New Roman" w:hAnsi="Times New Roman" w:eastAsia="宋体" w:cs="宋体"/>
          <w:color w:val="auto"/>
          <w:sz w:val="24"/>
          <w:lang w:val="en-US" w:eastAsia="zh-CN"/>
        </w:rPr>
        <w:t>钢结构工程施工质量验收标准</w:t>
      </w:r>
      <w:r>
        <w:rPr>
          <w:rFonts w:hint="eastAsia" w:ascii="Times New Roman" w:hAnsi="Times New Roman" w:eastAsia="宋体" w:cs="宋体"/>
          <w:color w:val="auto"/>
          <w:sz w:val="24"/>
          <w:lang w:val="en-US" w:eastAsia="zh-CN"/>
        </w:rPr>
        <w:t>》</w:t>
      </w:r>
      <w:r>
        <w:rPr>
          <w:rFonts w:hint="default" w:ascii="Times New Roman" w:hAnsi="Times New Roman" w:eastAsia="宋体" w:cs="宋体"/>
          <w:color w:val="auto"/>
          <w:sz w:val="24"/>
          <w:lang w:val="en-US" w:eastAsia="zh-CN"/>
        </w:rPr>
        <w:t>（GB50205-2020）</w:t>
      </w:r>
      <w:r>
        <w:rPr>
          <w:rFonts w:hint="eastAsia" w:ascii="Times New Roman" w:hAnsi="Times New Roman" w:eastAsia="宋体" w:cs="宋体"/>
          <w:color w:val="auto"/>
          <w:sz w:val="24"/>
          <w:lang w:val="en-US" w:eastAsia="zh-CN"/>
        </w:rPr>
        <w:t>。</w:t>
      </w:r>
    </w:p>
    <w:p w14:paraId="79B410B5">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eastAsia" w:ascii="Times New Roman" w:hAnsi="Times New Roman" w:eastAsia="宋体" w:cs="宋体"/>
          <w:b/>
          <w:bCs/>
          <w:color w:val="auto"/>
          <w:sz w:val="28"/>
          <w:szCs w:val="28"/>
          <w:lang w:val="en-US" w:eastAsia="zh-CN"/>
        </w:rPr>
      </w:pPr>
      <w:bookmarkStart w:id="138" w:name="_Toc11354"/>
      <w:r>
        <w:rPr>
          <w:rFonts w:hint="eastAsia" w:ascii="Times New Roman" w:hAnsi="Times New Roman" w:cs="宋体"/>
          <w:b/>
          <w:bCs/>
          <w:color w:val="auto"/>
          <w:sz w:val="28"/>
          <w:szCs w:val="28"/>
          <w:lang w:val="en-US" w:eastAsia="zh-CN"/>
        </w:rPr>
        <w:t>13</w:t>
      </w:r>
      <w:r>
        <w:rPr>
          <w:rFonts w:hint="eastAsia" w:ascii="Times New Roman" w:hAnsi="Times New Roman" w:eastAsia="宋体" w:cs="宋体"/>
          <w:b/>
          <w:bCs/>
          <w:color w:val="auto"/>
          <w:sz w:val="28"/>
          <w:szCs w:val="28"/>
          <w:lang w:val="en-US" w:eastAsia="zh-CN"/>
        </w:rPr>
        <w:t>.2、自然条件及结构安全</w:t>
      </w:r>
      <w:bookmarkEnd w:id="138"/>
    </w:p>
    <w:p w14:paraId="0C3D87F4">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b/>
          <w:color w:val="auto"/>
          <w:sz w:val="24"/>
          <w:lang w:val="en-US" w:eastAsia="zh-CN"/>
        </w:rPr>
        <w:t>13.2.1、自然条件</w:t>
      </w:r>
    </w:p>
    <w:p w14:paraId="66E6F074">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（1）本工程结构安全等级为二级，抗震设防类别为丙类，结构设计使用年限为50年。</w:t>
      </w:r>
    </w:p>
    <w:p w14:paraId="339DA3D4">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（2）基本风压：0.5kN/m，地面粗糙度B类，基本雪压0.15kN。</w:t>
      </w:r>
    </w:p>
    <w:p w14:paraId="255480B3">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（3）抗震设防有关参数：抗震设防烈度：7度；设计基本地震加速度值：0.15g；设计地震分组：第二组；设计特征周期：Tg=0.55s；建筑结构阻尼比：0.05；水平地震最大影响系数：多遇地震0.12，罕遇地震0.72。</w:t>
      </w:r>
    </w:p>
    <w:p w14:paraId="6D752F5A">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default" w:ascii="Times New Roman" w:hAnsi="Times New Roman" w:eastAsia="宋体" w:cs="宋体"/>
          <w:color w:val="auto"/>
          <w:sz w:val="24"/>
          <w:szCs w:val="24"/>
          <w:lang w:val="en-US" w:eastAsia="zh-CN"/>
        </w:rPr>
      </w:pPr>
      <w:r>
        <w:rPr>
          <w:rFonts w:hint="eastAsia" w:ascii="Times New Roman" w:hAnsi="Times New Roman" w:eastAsia="宋体" w:cs="宋体"/>
          <w:b/>
          <w:color w:val="auto"/>
          <w:sz w:val="24"/>
          <w:lang w:val="en-US" w:eastAsia="zh-CN"/>
        </w:rPr>
        <w:t>13.2.2、厂房结构设计</w:t>
      </w:r>
    </w:p>
    <w:p w14:paraId="6D7C1E66">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本工程冷库采用砖混结构，办公室采用框架结构。</w:t>
      </w:r>
    </w:p>
    <w:p w14:paraId="4C1CDCB4">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（1）结构设计</w:t>
      </w:r>
    </w:p>
    <w:p w14:paraId="3EE35F2D">
      <w:pPr>
        <w:pStyle w:val="30"/>
        <w:keepNext w:val="0"/>
        <w:keepLines w:val="0"/>
        <w:pageBreakBefore w:val="0"/>
        <w:widowControl/>
        <w:kinsoku w:val="0"/>
        <w:wordWrap/>
        <w:overflowPunct/>
        <w:topLinePunct w:val="0"/>
        <w:autoSpaceDE w:val="0"/>
        <w:autoSpaceDN w:val="0"/>
        <w:bidi w:val="0"/>
        <w:adjustRightInd w:val="0"/>
        <w:snapToGrid w:val="0"/>
        <w:spacing w:line="360" w:lineRule="auto"/>
        <w:ind w:firstLine="198" w:firstLineChars="82"/>
        <w:jc w:val="center"/>
        <w:textAlignment w:val="baseline"/>
        <w:rPr>
          <w:rFonts w:hint="eastAsia" w:ascii="Times New Roman" w:hAnsi="Times New Roman" w:eastAsia="宋体" w:cs="宋体"/>
          <w:b/>
          <w:bCs w:val="0"/>
          <w:color w:val="auto"/>
          <w:lang w:val="en-US" w:eastAsia="zh-CN"/>
        </w:rPr>
      </w:pPr>
      <w:r>
        <w:rPr>
          <w:rFonts w:hint="eastAsia" w:ascii="Times New Roman" w:hAnsi="Times New Roman" w:eastAsia="宋体" w:cs="宋体"/>
          <w:b/>
          <w:bCs w:val="0"/>
          <w:color w:val="auto"/>
          <w:lang w:val="en-US" w:eastAsia="zh-CN"/>
        </w:rPr>
        <w:t>表5-1   楼、屋面活荷载标准值</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3812"/>
        <w:gridCol w:w="2841"/>
      </w:tblGrid>
      <w:tr w14:paraId="0EA9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vAlign w:val="center"/>
          </w:tcPr>
          <w:p w14:paraId="14F811E0">
            <w:pPr>
              <w:pStyle w:val="2"/>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b/>
                <w:bCs/>
                <w:color w:val="auto"/>
                <w:sz w:val="21"/>
                <w:szCs w:val="21"/>
                <w:vertAlign w:val="baseline"/>
                <w:lang w:val="en-US" w:eastAsia="zh-CN"/>
              </w:rPr>
            </w:pPr>
            <w:r>
              <w:rPr>
                <w:rFonts w:hint="eastAsia" w:ascii="Times New Roman" w:hAnsi="Times New Roman" w:eastAsia="宋体" w:cs="宋体"/>
                <w:b/>
                <w:bCs/>
                <w:color w:val="auto"/>
                <w:sz w:val="21"/>
                <w:szCs w:val="21"/>
                <w:lang w:val="en-US" w:eastAsia="zh-CN"/>
              </w:rPr>
              <w:t>序号</w:t>
            </w:r>
          </w:p>
        </w:tc>
        <w:tc>
          <w:tcPr>
            <w:tcW w:w="3812" w:type="dxa"/>
            <w:vAlign w:val="center"/>
          </w:tcPr>
          <w:p w14:paraId="14956AFC">
            <w:pPr>
              <w:pStyle w:val="2"/>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b/>
                <w:bCs/>
                <w:color w:val="auto"/>
                <w:sz w:val="21"/>
                <w:szCs w:val="21"/>
                <w:vertAlign w:val="baseline"/>
                <w:lang w:val="en-US" w:eastAsia="zh-CN"/>
              </w:rPr>
            </w:pPr>
            <w:r>
              <w:rPr>
                <w:rFonts w:hint="eastAsia" w:ascii="Times New Roman" w:hAnsi="Times New Roman" w:eastAsia="宋体" w:cs="宋体"/>
                <w:b/>
                <w:bCs/>
                <w:color w:val="auto"/>
                <w:sz w:val="21"/>
                <w:szCs w:val="21"/>
                <w:lang w:val="en-US" w:eastAsia="zh-CN"/>
              </w:rPr>
              <w:t>荷载类别</w:t>
            </w:r>
          </w:p>
        </w:tc>
        <w:tc>
          <w:tcPr>
            <w:tcW w:w="2841" w:type="dxa"/>
            <w:vAlign w:val="center"/>
          </w:tcPr>
          <w:p w14:paraId="6D996951">
            <w:pPr>
              <w:pStyle w:val="2"/>
              <w:keepNext w:val="0"/>
              <w:keepLines w:val="0"/>
              <w:pageBreakBefore w:val="0"/>
              <w:widowControl w:val="0"/>
              <w:kinsoku w:val="0"/>
              <w:wordWrap/>
              <w:overflowPunct/>
              <w:topLinePunct w:val="0"/>
              <w:autoSpaceDE w:val="0"/>
              <w:autoSpaceDN w:val="0"/>
              <w:bidi w:val="0"/>
              <w:adjustRightInd w:val="0"/>
              <w:snapToGrid w:val="0"/>
              <w:spacing w:line="240" w:lineRule="auto"/>
              <w:ind w:firstLine="422" w:firstLineChars="200"/>
              <w:textAlignment w:val="baseline"/>
              <w:rPr>
                <w:rFonts w:hint="eastAsia" w:ascii="Times New Roman" w:hAnsi="Times New Roman" w:eastAsia="宋体" w:cs="宋体"/>
                <w:b/>
                <w:bCs/>
                <w:color w:val="auto"/>
                <w:sz w:val="21"/>
                <w:szCs w:val="21"/>
                <w:vertAlign w:val="baseline"/>
                <w:lang w:val="en-US" w:eastAsia="zh-CN"/>
              </w:rPr>
            </w:pPr>
            <w:r>
              <w:rPr>
                <w:rFonts w:hint="eastAsia" w:ascii="Times New Roman" w:hAnsi="Times New Roman" w:eastAsia="宋体" w:cs="宋体"/>
                <w:b/>
                <w:bCs/>
                <w:color w:val="auto"/>
                <w:sz w:val="21"/>
                <w:szCs w:val="21"/>
                <w:lang w:val="en-US" w:eastAsia="zh-CN"/>
              </w:rPr>
              <w:t>活荷载标准值KN/m</w:t>
            </w:r>
            <w:r>
              <w:rPr>
                <w:rFonts w:hint="eastAsia" w:ascii="Times New Roman" w:hAnsi="Times New Roman" w:eastAsia="宋体" w:cs="宋体"/>
                <w:b/>
                <w:bCs/>
                <w:color w:val="auto"/>
                <w:sz w:val="21"/>
                <w:szCs w:val="21"/>
                <w:vertAlign w:val="superscript"/>
                <w:lang w:val="en-US" w:eastAsia="zh-CN"/>
              </w:rPr>
              <w:t>2</w:t>
            </w:r>
          </w:p>
        </w:tc>
      </w:tr>
      <w:tr w14:paraId="6327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vAlign w:val="center"/>
          </w:tcPr>
          <w:p w14:paraId="13B19BF5">
            <w:pPr>
              <w:pStyle w:val="2"/>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w:t>
            </w:r>
          </w:p>
        </w:tc>
        <w:tc>
          <w:tcPr>
            <w:tcW w:w="3812" w:type="dxa"/>
            <w:vAlign w:val="center"/>
          </w:tcPr>
          <w:p w14:paraId="0F046337">
            <w:pPr>
              <w:pStyle w:val="2"/>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lang w:val="en-US" w:eastAsia="zh-CN"/>
              </w:rPr>
              <w:t>不上人屋面</w:t>
            </w:r>
          </w:p>
        </w:tc>
        <w:tc>
          <w:tcPr>
            <w:tcW w:w="2841" w:type="dxa"/>
            <w:vAlign w:val="center"/>
          </w:tcPr>
          <w:p w14:paraId="5EFAE12D">
            <w:pPr>
              <w:pStyle w:val="2"/>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0.5</w:t>
            </w:r>
          </w:p>
        </w:tc>
      </w:tr>
      <w:tr w14:paraId="47E3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vAlign w:val="center"/>
          </w:tcPr>
          <w:p w14:paraId="6CD44265">
            <w:pPr>
              <w:pStyle w:val="2"/>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2</w:t>
            </w:r>
          </w:p>
        </w:tc>
        <w:tc>
          <w:tcPr>
            <w:tcW w:w="3812" w:type="dxa"/>
            <w:vAlign w:val="center"/>
          </w:tcPr>
          <w:p w14:paraId="2E047A85">
            <w:pPr>
              <w:pStyle w:val="2"/>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lang w:val="en-US" w:eastAsia="zh-CN"/>
              </w:rPr>
              <w:t>室外地面堆载</w:t>
            </w:r>
          </w:p>
        </w:tc>
        <w:tc>
          <w:tcPr>
            <w:tcW w:w="2841" w:type="dxa"/>
            <w:vAlign w:val="center"/>
          </w:tcPr>
          <w:p w14:paraId="2AB40F79">
            <w:pPr>
              <w:pStyle w:val="2"/>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10</w:t>
            </w:r>
          </w:p>
        </w:tc>
      </w:tr>
      <w:tr w14:paraId="55D0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vAlign w:val="center"/>
          </w:tcPr>
          <w:p w14:paraId="76D1E0FB">
            <w:pPr>
              <w:pStyle w:val="2"/>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3</w:t>
            </w:r>
          </w:p>
        </w:tc>
        <w:tc>
          <w:tcPr>
            <w:tcW w:w="3812" w:type="dxa"/>
            <w:vAlign w:val="center"/>
          </w:tcPr>
          <w:p w14:paraId="190A517F">
            <w:pPr>
              <w:pStyle w:val="2"/>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lang w:val="en-US" w:eastAsia="zh-CN"/>
              </w:rPr>
              <w:t>楼梯</w:t>
            </w:r>
          </w:p>
        </w:tc>
        <w:tc>
          <w:tcPr>
            <w:tcW w:w="2841" w:type="dxa"/>
            <w:vAlign w:val="center"/>
          </w:tcPr>
          <w:p w14:paraId="5581A808">
            <w:pPr>
              <w:pStyle w:val="2"/>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3.5</w:t>
            </w:r>
          </w:p>
        </w:tc>
      </w:tr>
      <w:tr w14:paraId="3B6F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vAlign w:val="center"/>
          </w:tcPr>
          <w:p w14:paraId="3DE16605">
            <w:pPr>
              <w:pStyle w:val="2"/>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4</w:t>
            </w:r>
          </w:p>
        </w:tc>
        <w:tc>
          <w:tcPr>
            <w:tcW w:w="3812" w:type="dxa"/>
            <w:vAlign w:val="center"/>
          </w:tcPr>
          <w:p w14:paraId="7A22C40D">
            <w:pPr>
              <w:pStyle w:val="2"/>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卫生间</w:t>
            </w:r>
          </w:p>
        </w:tc>
        <w:tc>
          <w:tcPr>
            <w:tcW w:w="2841" w:type="dxa"/>
            <w:vAlign w:val="center"/>
          </w:tcPr>
          <w:p w14:paraId="04590389">
            <w:pPr>
              <w:pStyle w:val="2"/>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color w:val="auto"/>
                <w:sz w:val="21"/>
                <w:szCs w:val="21"/>
                <w:vertAlign w:val="baseline"/>
                <w:lang w:val="en-US" w:eastAsia="zh-CN"/>
              </w:rPr>
            </w:pPr>
            <w:r>
              <w:rPr>
                <w:rFonts w:hint="eastAsia" w:ascii="Times New Roman" w:hAnsi="Times New Roman" w:eastAsia="宋体" w:cs="宋体"/>
                <w:color w:val="auto"/>
                <w:sz w:val="21"/>
                <w:szCs w:val="21"/>
                <w:vertAlign w:val="baseline"/>
                <w:lang w:val="en-US" w:eastAsia="zh-CN"/>
              </w:rPr>
              <w:t>2.5</w:t>
            </w:r>
          </w:p>
        </w:tc>
      </w:tr>
    </w:tbl>
    <w:p w14:paraId="2ADFAF25">
      <w:pPr>
        <w:pStyle w:val="2"/>
        <w:keepNext w:val="0"/>
        <w:keepLines w:val="0"/>
        <w:pageBreakBefore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vertAlign w:val="baseline"/>
          <w:lang w:val="en-US" w:eastAsia="zh-CN"/>
        </w:rPr>
      </w:pPr>
      <w:r>
        <w:rPr>
          <w:rFonts w:hint="eastAsia" w:ascii="Times New Roman" w:hAnsi="Times New Roman" w:eastAsia="宋体" w:cs="宋体"/>
          <w:color w:val="auto"/>
          <w:sz w:val="24"/>
          <w:szCs w:val="24"/>
          <w:lang w:val="en-US" w:eastAsia="zh-CN"/>
        </w:rPr>
        <w:t>注：使用及施工堆料重量均不得超过以上值。挑檐雨棚施工或检修集中荷载标准值1.0kN。楼梯的栏杆(栏板)顶部水平荷载取标准值1.0kN/m</w:t>
      </w:r>
      <w:r>
        <w:rPr>
          <w:rFonts w:hint="eastAsia" w:ascii="Times New Roman" w:hAnsi="Times New Roman" w:eastAsia="宋体" w:cs="宋体"/>
          <w:color w:val="auto"/>
          <w:sz w:val="24"/>
          <w:szCs w:val="24"/>
          <w:vertAlign w:val="superscript"/>
          <w:lang w:val="en-US" w:eastAsia="zh-CN"/>
        </w:rPr>
        <w:t>2</w:t>
      </w:r>
      <w:r>
        <w:rPr>
          <w:rFonts w:hint="eastAsia" w:ascii="Times New Roman" w:hAnsi="Times New Roman" w:eastAsia="宋体" w:cs="宋体"/>
          <w:color w:val="auto"/>
          <w:sz w:val="24"/>
          <w:szCs w:val="24"/>
          <w:vertAlign w:val="baseline"/>
          <w:lang w:val="en-US" w:eastAsia="zh-CN"/>
        </w:rPr>
        <w:t>；</w:t>
      </w:r>
      <w:r>
        <w:rPr>
          <w:rFonts w:hint="eastAsia" w:ascii="Times New Roman" w:hAnsi="Times New Roman" w:eastAsia="宋体" w:cs="宋体"/>
          <w:color w:val="auto"/>
          <w:sz w:val="24"/>
          <w:szCs w:val="24"/>
          <w:lang w:val="en-US" w:eastAsia="zh-CN"/>
        </w:rPr>
        <w:t>基坑边堆载标准值不得超过10kN/m</w:t>
      </w:r>
      <w:r>
        <w:rPr>
          <w:rFonts w:hint="eastAsia" w:ascii="Times New Roman" w:hAnsi="Times New Roman" w:eastAsia="宋体" w:cs="宋体"/>
          <w:color w:val="auto"/>
          <w:sz w:val="24"/>
          <w:szCs w:val="24"/>
          <w:vertAlign w:val="superscript"/>
          <w:lang w:val="en-US" w:eastAsia="zh-CN"/>
        </w:rPr>
        <w:t>2</w:t>
      </w:r>
      <w:r>
        <w:rPr>
          <w:rFonts w:hint="eastAsia" w:ascii="Times New Roman" w:hAnsi="Times New Roman" w:eastAsia="宋体" w:cs="宋体"/>
          <w:color w:val="auto"/>
          <w:sz w:val="24"/>
          <w:szCs w:val="24"/>
          <w:vertAlign w:val="baseline"/>
          <w:lang w:val="en-US" w:eastAsia="zh-CN"/>
        </w:rPr>
        <w:t>。</w:t>
      </w:r>
    </w:p>
    <w:p w14:paraId="5304D0A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28"/>
          <w:lang w:val="en-US" w:eastAsia="zh-CN" w:bidi="ar"/>
        </w:rPr>
        <w:t>钢筋</w:t>
      </w:r>
      <w:r>
        <w:rPr>
          <w:rFonts w:hint="default" w:ascii="Times New Roman" w:hAnsi="Times New Roman" w:eastAsia="宋体" w:cs="宋体"/>
          <w:snapToGrid w:val="0"/>
          <w:color w:val="auto"/>
          <w:kern w:val="0"/>
          <w:sz w:val="24"/>
          <w:szCs w:val="28"/>
          <w:lang w:val="en-US" w:eastAsia="zh-CN" w:bidi="ar"/>
        </w:rPr>
        <w:t>HPB300</w:t>
      </w:r>
      <w:r>
        <w:rPr>
          <w:rFonts w:hint="eastAsia" w:ascii="Times New Roman" w:hAnsi="Times New Roman" w:eastAsia="宋体" w:cs="宋体"/>
          <w:snapToGrid w:val="0"/>
          <w:color w:val="auto"/>
          <w:kern w:val="0"/>
          <w:sz w:val="24"/>
          <w:szCs w:val="28"/>
          <w:lang w:val="en-US" w:eastAsia="zh-CN" w:bidi="ar"/>
        </w:rPr>
        <w:t>、</w:t>
      </w:r>
      <w:r>
        <w:rPr>
          <w:rFonts w:hint="default" w:ascii="Times New Roman" w:hAnsi="Times New Roman" w:eastAsia="宋体" w:cs="宋体"/>
          <w:snapToGrid w:val="0"/>
          <w:color w:val="auto"/>
          <w:kern w:val="0"/>
          <w:sz w:val="24"/>
          <w:szCs w:val="28"/>
          <w:lang w:val="en-US" w:eastAsia="zh-CN" w:bidi="ar"/>
        </w:rPr>
        <w:t>HRB400</w:t>
      </w:r>
      <w:r>
        <w:rPr>
          <w:rFonts w:hint="eastAsia" w:ascii="Times New Roman" w:hAnsi="Times New Roman" w:eastAsia="宋体" w:cs="宋体"/>
          <w:snapToGrid w:val="0"/>
          <w:color w:val="auto"/>
          <w:kern w:val="0"/>
          <w:sz w:val="24"/>
          <w:szCs w:val="28"/>
          <w:lang w:val="en-US" w:eastAsia="zh-CN" w:bidi="ar"/>
        </w:rPr>
        <w:t>；承重构件钢材采用</w:t>
      </w:r>
      <w:r>
        <w:rPr>
          <w:rFonts w:hint="default" w:ascii="Times New Roman" w:hAnsi="Times New Roman" w:eastAsia="宋体" w:cs="宋体"/>
          <w:snapToGrid w:val="0"/>
          <w:color w:val="auto"/>
          <w:kern w:val="0"/>
          <w:sz w:val="24"/>
          <w:szCs w:val="28"/>
          <w:lang w:val="en-US" w:eastAsia="zh-CN" w:bidi="ar"/>
        </w:rPr>
        <w:t>Q355B</w:t>
      </w:r>
      <w:r>
        <w:rPr>
          <w:rFonts w:hint="eastAsia" w:ascii="Times New Roman" w:hAnsi="Times New Roman" w:eastAsia="宋体" w:cs="宋体"/>
          <w:snapToGrid w:val="0"/>
          <w:color w:val="auto"/>
          <w:kern w:val="0"/>
          <w:sz w:val="24"/>
          <w:szCs w:val="28"/>
          <w:lang w:val="en-US" w:eastAsia="zh-CN" w:bidi="ar"/>
        </w:rPr>
        <w:t>，其他构件钢材采用</w:t>
      </w:r>
      <w:r>
        <w:rPr>
          <w:rFonts w:hint="default" w:ascii="Times New Roman" w:hAnsi="Times New Roman" w:eastAsia="宋体" w:cs="宋体"/>
          <w:snapToGrid w:val="0"/>
          <w:color w:val="auto"/>
          <w:kern w:val="0"/>
          <w:sz w:val="24"/>
          <w:szCs w:val="28"/>
          <w:lang w:val="en-US" w:eastAsia="zh-CN" w:bidi="ar"/>
        </w:rPr>
        <w:t>Q235B</w:t>
      </w:r>
      <w:r>
        <w:rPr>
          <w:rFonts w:hint="eastAsia" w:ascii="Times New Roman" w:hAnsi="Times New Roman" w:eastAsia="宋体" w:cs="宋体"/>
          <w:snapToGrid w:val="0"/>
          <w:color w:val="auto"/>
          <w:kern w:val="0"/>
          <w:sz w:val="24"/>
          <w:szCs w:val="28"/>
          <w:lang w:val="en-US" w:eastAsia="zh-CN" w:bidi="ar"/>
        </w:rPr>
        <w:t>；钢材应做防腐、防火处理。防腐具体方法如下：</w:t>
      </w:r>
    </w:p>
    <w:p w14:paraId="57010C1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28"/>
          <w:lang w:val="en-US" w:eastAsia="zh-CN" w:bidi="ar"/>
        </w:rPr>
        <w:t>钢材的防腐关键在于除锈，只有彻底除锈才能消除隐患，宜用喷射和抛射除锈，除锈等级为</w:t>
      </w:r>
      <w:r>
        <w:rPr>
          <w:rFonts w:hint="default" w:ascii="Times New Roman" w:hAnsi="Times New Roman" w:eastAsia="宋体" w:cs="宋体"/>
          <w:snapToGrid w:val="0"/>
          <w:color w:val="auto"/>
          <w:kern w:val="0"/>
          <w:sz w:val="24"/>
          <w:szCs w:val="28"/>
          <w:lang w:val="en-US" w:eastAsia="zh-CN" w:bidi="ar"/>
        </w:rPr>
        <w:t>Sa2.5</w:t>
      </w:r>
      <w:r>
        <w:rPr>
          <w:rFonts w:hint="eastAsia" w:ascii="Times New Roman" w:hAnsi="Times New Roman" w:eastAsia="宋体" w:cs="宋体"/>
          <w:snapToGrid w:val="0"/>
          <w:color w:val="auto"/>
          <w:kern w:val="0"/>
          <w:sz w:val="24"/>
          <w:szCs w:val="28"/>
          <w:lang w:val="en-US" w:eastAsia="zh-CN" w:bidi="ar"/>
        </w:rPr>
        <w:t>级。当采用手工除锈时，除锈质量等级应不低于现行国家标准《涂装前钢材表面锈蚀等级和除锈等级》（</w:t>
      </w:r>
      <w:r>
        <w:rPr>
          <w:rFonts w:hint="default" w:ascii="Times New Roman" w:hAnsi="Times New Roman" w:eastAsia="宋体" w:cs="宋体"/>
          <w:snapToGrid w:val="0"/>
          <w:color w:val="auto"/>
          <w:kern w:val="0"/>
          <w:sz w:val="24"/>
          <w:szCs w:val="28"/>
          <w:lang w:val="en-US" w:eastAsia="zh-CN" w:bidi="ar"/>
        </w:rPr>
        <w:t>GB/T8923</w:t>
      </w:r>
      <w:r>
        <w:rPr>
          <w:rFonts w:hint="eastAsia" w:ascii="Times New Roman" w:hAnsi="Times New Roman" w:eastAsia="宋体" w:cs="宋体"/>
          <w:snapToGrid w:val="0"/>
          <w:color w:val="auto"/>
          <w:kern w:val="0"/>
          <w:sz w:val="24"/>
          <w:szCs w:val="28"/>
          <w:lang w:val="en-US" w:eastAsia="zh-CN" w:bidi="ar"/>
        </w:rPr>
        <w:t>）中规定的</w:t>
      </w:r>
      <w:r>
        <w:rPr>
          <w:rFonts w:hint="default" w:ascii="Times New Roman" w:hAnsi="Times New Roman" w:eastAsia="宋体" w:cs="宋体"/>
          <w:snapToGrid w:val="0"/>
          <w:color w:val="auto"/>
          <w:kern w:val="0"/>
          <w:sz w:val="24"/>
          <w:szCs w:val="28"/>
          <w:lang w:val="en-US" w:eastAsia="zh-CN" w:bidi="ar"/>
        </w:rPr>
        <w:t>St2.0</w:t>
      </w:r>
      <w:r>
        <w:rPr>
          <w:rFonts w:hint="eastAsia" w:ascii="Times New Roman" w:hAnsi="Times New Roman" w:eastAsia="宋体" w:cs="宋体"/>
          <w:snapToGrid w:val="0"/>
          <w:color w:val="auto"/>
          <w:kern w:val="0"/>
          <w:sz w:val="24"/>
          <w:szCs w:val="28"/>
          <w:lang w:val="en-US" w:eastAsia="zh-CN" w:bidi="ar"/>
        </w:rPr>
        <w:t>级。</w:t>
      </w:r>
    </w:p>
    <w:p w14:paraId="449B265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28"/>
          <w:lang w:val="en-US" w:eastAsia="zh-CN" w:bidi="ar"/>
        </w:rPr>
        <w:t>构件完成后涂两道防锈底漆，工厂和现场各涂一道面漆，漆膜总厚度：室外为</w:t>
      </w:r>
      <w:r>
        <w:rPr>
          <w:rFonts w:hint="default" w:ascii="Times New Roman" w:hAnsi="Times New Roman" w:eastAsia="宋体" w:cs="宋体"/>
          <w:snapToGrid w:val="0"/>
          <w:color w:val="auto"/>
          <w:kern w:val="0"/>
          <w:sz w:val="24"/>
          <w:szCs w:val="28"/>
          <w:lang w:val="en-US" w:eastAsia="zh-CN" w:bidi="ar"/>
        </w:rPr>
        <w:t>240um</w:t>
      </w:r>
      <w:r>
        <w:rPr>
          <w:rFonts w:hint="eastAsia" w:ascii="Times New Roman" w:hAnsi="Times New Roman" w:eastAsia="宋体" w:cs="宋体"/>
          <w:snapToGrid w:val="0"/>
          <w:color w:val="auto"/>
          <w:kern w:val="0"/>
          <w:sz w:val="24"/>
          <w:szCs w:val="28"/>
          <w:lang w:val="en-US" w:eastAsia="zh-CN" w:bidi="ar"/>
        </w:rPr>
        <w:t>；室内为</w:t>
      </w:r>
      <w:r>
        <w:rPr>
          <w:rFonts w:hint="default" w:ascii="Times New Roman" w:hAnsi="Times New Roman" w:eastAsia="宋体" w:cs="宋体"/>
          <w:snapToGrid w:val="0"/>
          <w:color w:val="auto"/>
          <w:kern w:val="0"/>
          <w:sz w:val="24"/>
          <w:szCs w:val="28"/>
          <w:lang w:val="en-US" w:eastAsia="zh-CN" w:bidi="ar"/>
        </w:rPr>
        <w:t>200um</w:t>
      </w:r>
      <w:r>
        <w:rPr>
          <w:rFonts w:hint="eastAsia" w:ascii="Times New Roman" w:hAnsi="Times New Roman" w:eastAsia="宋体" w:cs="宋体"/>
          <w:snapToGrid w:val="0"/>
          <w:color w:val="auto"/>
          <w:kern w:val="0"/>
          <w:sz w:val="24"/>
          <w:szCs w:val="28"/>
          <w:lang w:val="en-US" w:eastAsia="zh-CN" w:bidi="ar"/>
        </w:rPr>
        <w:t>，构件除锈完成后，应在</w:t>
      </w:r>
      <w:r>
        <w:rPr>
          <w:rFonts w:hint="default" w:ascii="Times New Roman" w:hAnsi="Times New Roman" w:eastAsia="宋体" w:cs="宋体"/>
          <w:snapToGrid w:val="0"/>
          <w:color w:val="auto"/>
          <w:kern w:val="0"/>
          <w:sz w:val="24"/>
          <w:szCs w:val="28"/>
          <w:lang w:val="en-US" w:eastAsia="zh-CN" w:bidi="ar"/>
        </w:rPr>
        <w:t>6h</w:t>
      </w:r>
      <w:r>
        <w:rPr>
          <w:rFonts w:hint="eastAsia" w:ascii="Times New Roman" w:hAnsi="Times New Roman" w:eastAsia="宋体" w:cs="宋体"/>
          <w:snapToGrid w:val="0"/>
          <w:color w:val="auto"/>
          <w:kern w:val="0"/>
          <w:sz w:val="24"/>
          <w:szCs w:val="28"/>
          <w:lang w:val="en-US" w:eastAsia="zh-CN" w:bidi="ar"/>
        </w:rPr>
        <w:t>（湿度较大时</w:t>
      </w:r>
      <w:r>
        <w:rPr>
          <w:rFonts w:hint="default" w:ascii="Times New Roman" w:hAnsi="Times New Roman" w:eastAsia="宋体" w:cs="宋体"/>
          <w:snapToGrid w:val="0"/>
          <w:color w:val="auto"/>
          <w:kern w:val="0"/>
          <w:sz w:val="24"/>
          <w:szCs w:val="28"/>
          <w:lang w:val="en-US" w:eastAsia="zh-CN" w:bidi="ar"/>
        </w:rPr>
        <w:t>2</w:t>
      </w:r>
      <w:r>
        <w:rPr>
          <w:rFonts w:hint="eastAsia" w:ascii="Times New Roman" w:hAnsi="Times New Roman" w:eastAsia="宋体" w:cs="宋体"/>
          <w:snapToGrid w:val="0"/>
          <w:color w:val="auto"/>
          <w:kern w:val="0"/>
          <w:sz w:val="24"/>
          <w:szCs w:val="28"/>
          <w:lang w:val="en-US" w:eastAsia="zh-CN" w:bidi="ar"/>
        </w:rPr>
        <w:t>～</w:t>
      </w:r>
      <w:r>
        <w:rPr>
          <w:rFonts w:hint="default" w:ascii="Times New Roman" w:hAnsi="Times New Roman" w:eastAsia="宋体" w:cs="宋体"/>
          <w:snapToGrid w:val="0"/>
          <w:color w:val="auto"/>
          <w:kern w:val="0"/>
          <w:sz w:val="24"/>
          <w:szCs w:val="28"/>
          <w:lang w:val="en-US" w:eastAsia="zh-CN" w:bidi="ar"/>
        </w:rPr>
        <w:t>4h</w:t>
      </w:r>
      <w:r>
        <w:rPr>
          <w:rFonts w:hint="eastAsia" w:ascii="Times New Roman" w:hAnsi="Times New Roman" w:eastAsia="宋体" w:cs="宋体"/>
          <w:snapToGrid w:val="0"/>
          <w:color w:val="auto"/>
          <w:kern w:val="0"/>
          <w:sz w:val="24"/>
          <w:szCs w:val="28"/>
          <w:lang w:val="en-US" w:eastAsia="zh-CN" w:bidi="ar"/>
        </w:rPr>
        <w:t>）内，涂第一层防锈漆，底漆充分干燥后，才允许第二层涂装，但连接接头的接触面和工地焊缝两侧</w:t>
      </w:r>
      <w:r>
        <w:rPr>
          <w:rFonts w:hint="default" w:ascii="Times New Roman" w:hAnsi="Times New Roman" w:eastAsia="宋体" w:cs="宋体"/>
          <w:snapToGrid w:val="0"/>
          <w:color w:val="auto"/>
          <w:kern w:val="0"/>
          <w:sz w:val="24"/>
          <w:szCs w:val="28"/>
          <w:lang w:val="en-US" w:eastAsia="zh-CN" w:bidi="ar"/>
        </w:rPr>
        <w:t>50mm</w:t>
      </w:r>
      <w:r>
        <w:rPr>
          <w:rFonts w:hint="eastAsia" w:ascii="Times New Roman" w:hAnsi="Times New Roman" w:eastAsia="宋体" w:cs="宋体"/>
          <w:snapToGrid w:val="0"/>
          <w:color w:val="auto"/>
          <w:kern w:val="0"/>
          <w:sz w:val="24"/>
          <w:szCs w:val="28"/>
          <w:lang w:val="en-US" w:eastAsia="zh-CN" w:bidi="ar"/>
        </w:rPr>
        <w:t>范围内安装前不涂漆，待安装后补漆。安装完毕后未刷底漆的部分及补焊、擦伤、脱漆处均应补刷底漆两道，然后刷面漆一道。防火具体方法如下：</w:t>
      </w:r>
    </w:p>
    <w:p w14:paraId="54AE035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28"/>
          <w:lang w:val="en-US" w:eastAsia="zh-CN" w:bidi="ar"/>
        </w:rPr>
        <w:t>钢构件防火采用防火涂料（钢柱、柱间支撑耐火极限不小于</w:t>
      </w:r>
      <w:r>
        <w:rPr>
          <w:rFonts w:hint="default" w:ascii="Times New Roman" w:hAnsi="Times New Roman" w:eastAsia="宋体" w:cs="宋体"/>
          <w:snapToGrid w:val="0"/>
          <w:color w:val="auto"/>
          <w:kern w:val="0"/>
          <w:sz w:val="24"/>
          <w:szCs w:val="28"/>
          <w:lang w:val="en-US" w:eastAsia="zh-CN" w:bidi="ar"/>
        </w:rPr>
        <w:t>2.5</w:t>
      </w:r>
      <w:r>
        <w:rPr>
          <w:rFonts w:hint="eastAsia" w:ascii="Times New Roman" w:hAnsi="Times New Roman" w:eastAsia="宋体" w:cs="宋体"/>
          <w:snapToGrid w:val="0"/>
          <w:color w:val="auto"/>
          <w:kern w:val="0"/>
          <w:sz w:val="24"/>
          <w:szCs w:val="28"/>
          <w:lang w:val="en-US" w:eastAsia="zh-CN" w:bidi="ar"/>
        </w:rPr>
        <w:t>小时。钢梁、屋面支撑耐火极限不小于</w:t>
      </w:r>
      <w:r>
        <w:rPr>
          <w:rFonts w:hint="default" w:ascii="Times New Roman" w:hAnsi="Times New Roman" w:eastAsia="宋体" w:cs="宋体"/>
          <w:snapToGrid w:val="0"/>
          <w:color w:val="auto"/>
          <w:kern w:val="0"/>
          <w:sz w:val="24"/>
          <w:szCs w:val="28"/>
          <w:lang w:val="en-US" w:eastAsia="zh-CN" w:bidi="ar"/>
        </w:rPr>
        <w:t>1.5</w:t>
      </w:r>
      <w:r>
        <w:rPr>
          <w:rFonts w:hint="eastAsia" w:ascii="Times New Roman" w:hAnsi="Times New Roman" w:eastAsia="宋体" w:cs="宋体"/>
          <w:snapToGrid w:val="0"/>
          <w:color w:val="auto"/>
          <w:kern w:val="0"/>
          <w:sz w:val="24"/>
          <w:szCs w:val="28"/>
          <w:lang w:val="en-US" w:eastAsia="zh-CN" w:bidi="ar"/>
        </w:rPr>
        <w:t>小时。檩条耐火极限不小于</w:t>
      </w:r>
      <w:r>
        <w:rPr>
          <w:rFonts w:hint="default" w:ascii="Times New Roman" w:hAnsi="Times New Roman" w:eastAsia="宋体" w:cs="宋体"/>
          <w:snapToGrid w:val="0"/>
          <w:color w:val="auto"/>
          <w:kern w:val="0"/>
          <w:sz w:val="24"/>
          <w:szCs w:val="28"/>
          <w:lang w:val="en-US" w:eastAsia="zh-CN" w:bidi="ar"/>
        </w:rPr>
        <w:t>0.5</w:t>
      </w:r>
      <w:r>
        <w:rPr>
          <w:rFonts w:hint="eastAsia" w:ascii="Times New Roman" w:hAnsi="Times New Roman" w:eastAsia="宋体" w:cs="宋体"/>
          <w:snapToGrid w:val="0"/>
          <w:color w:val="auto"/>
          <w:kern w:val="0"/>
          <w:sz w:val="24"/>
          <w:szCs w:val="28"/>
          <w:lang w:val="en-US" w:eastAsia="zh-CN" w:bidi="ar"/>
        </w:rPr>
        <w:t>小时）防火涂料必须有国家检测机构的耐火极限检测报告和理化性能检测报告；必须有防火监督部门核发的生产许可证和生产厂家的产品合格证。</w:t>
      </w:r>
    </w:p>
    <w:p w14:paraId="64694523">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13.2.3、池体结构设计</w:t>
      </w:r>
    </w:p>
    <w:p w14:paraId="597CF73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（1）池体结构</w:t>
      </w:r>
    </w:p>
    <w:p w14:paraId="056D55A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宋体"/>
          <w:snapToGrid w:val="0"/>
          <w:color w:val="auto"/>
          <w:kern w:val="0"/>
          <w:sz w:val="24"/>
          <w:szCs w:val="28"/>
          <w:lang w:val="en-US" w:eastAsia="zh-CN" w:bidi="ar"/>
        </w:rPr>
      </w:pPr>
      <w:r>
        <w:rPr>
          <w:rFonts w:hint="eastAsia" w:ascii="Times New Roman" w:hAnsi="Times New Roman" w:eastAsia="宋体" w:cs="宋体"/>
          <w:snapToGrid w:val="0"/>
          <w:color w:val="auto"/>
          <w:kern w:val="0"/>
          <w:sz w:val="24"/>
          <w:szCs w:val="28"/>
          <w:lang w:val="en-US" w:eastAsia="zh-CN" w:bidi="ar"/>
        </w:rPr>
        <w:t>采用整体现浇钢筋混凝土无梁楼盖体系，池底、池壁一次成型。池深8m，侧壁按双向受力板设计，池底按筏板基础考虑抗浮及地基反力。</w:t>
      </w:r>
    </w:p>
    <w:p w14:paraId="73AEE00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宋体"/>
          <w:snapToGrid w:val="0"/>
          <w:color w:val="auto"/>
          <w:kern w:val="0"/>
          <w:sz w:val="24"/>
          <w:szCs w:val="28"/>
          <w:lang w:val="en-US" w:eastAsia="zh-CN" w:bidi="ar"/>
        </w:rPr>
      </w:pPr>
      <w:r>
        <w:rPr>
          <w:rFonts w:hint="eastAsia" w:ascii="Times New Roman" w:hAnsi="Times New Roman" w:eastAsia="宋体" w:cs="宋体"/>
          <w:snapToGrid w:val="0"/>
          <w:color w:val="auto"/>
          <w:kern w:val="0"/>
          <w:sz w:val="24"/>
          <w:szCs w:val="28"/>
          <w:lang w:val="en-US" w:eastAsia="zh-CN" w:bidi="ar"/>
        </w:rPr>
        <w:t>（2）抗浮设计：</w:t>
      </w:r>
    </w:p>
    <w:p w14:paraId="168E507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宋体"/>
          <w:snapToGrid w:val="0"/>
          <w:color w:val="auto"/>
          <w:kern w:val="0"/>
          <w:sz w:val="24"/>
          <w:szCs w:val="28"/>
          <w:lang w:val="en-US" w:eastAsia="zh-CN" w:bidi="ar"/>
        </w:rPr>
      </w:pPr>
      <w:r>
        <w:rPr>
          <w:rFonts w:hint="eastAsia" w:ascii="Times New Roman" w:hAnsi="Times New Roman" w:eastAsia="宋体" w:cs="宋体"/>
          <w:snapToGrid w:val="0"/>
          <w:color w:val="auto"/>
          <w:kern w:val="0"/>
          <w:sz w:val="24"/>
          <w:szCs w:val="28"/>
          <w:lang w:val="en-US" w:eastAsia="zh-CN" w:bidi="ar"/>
        </w:rPr>
        <w:t>设抗浮桩或锚杆系统（根据地勘水位确定），抗浮安全系数≥1.05。空池状态下验算抗浮稳定性。</w:t>
      </w:r>
    </w:p>
    <w:p w14:paraId="641CE20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宋体"/>
          <w:snapToGrid w:val="0"/>
          <w:color w:val="auto"/>
          <w:kern w:val="0"/>
          <w:sz w:val="24"/>
          <w:szCs w:val="28"/>
          <w:lang w:val="en-US" w:eastAsia="zh-CN" w:bidi="ar"/>
        </w:rPr>
      </w:pPr>
      <w:r>
        <w:rPr>
          <w:rFonts w:hint="eastAsia" w:ascii="Times New Roman" w:hAnsi="Times New Roman" w:eastAsia="宋体" w:cs="宋体"/>
          <w:snapToGrid w:val="0"/>
          <w:color w:val="auto"/>
          <w:kern w:val="0"/>
          <w:sz w:val="24"/>
          <w:szCs w:val="28"/>
          <w:lang w:val="en-US" w:eastAsia="zh-CN" w:bidi="ar"/>
        </w:rPr>
        <w:t>（3）变形缝设置：</w:t>
      </w:r>
    </w:p>
    <w:p w14:paraId="0FC14C8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宋体"/>
          <w:snapToGrid w:val="0"/>
          <w:color w:val="auto"/>
          <w:kern w:val="0"/>
          <w:sz w:val="24"/>
          <w:szCs w:val="28"/>
          <w:lang w:val="en-US" w:eastAsia="zh-CN" w:bidi="ar"/>
        </w:rPr>
      </w:pPr>
      <w:r>
        <w:rPr>
          <w:rFonts w:hint="eastAsia" w:ascii="Times New Roman" w:hAnsi="Times New Roman" w:eastAsia="宋体" w:cs="宋体"/>
          <w:snapToGrid w:val="0"/>
          <w:color w:val="auto"/>
          <w:kern w:val="0"/>
          <w:sz w:val="24"/>
          <w:szCs w:val="28"/>
          <w:lang w:val="en-US" w:eastAsia="zh-CN" w:bidi="ar"/>
        </w:rPr>
        <w:t>沿长度方向（77m）设置2道伸缩缝，间距≤25m，缝宽30mm，内置止水带。</w:t>
      </w:r>
    </w:p>
    <w:p w14:paraId="3FF4167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宋体"/>
          <w:snapToGrid w:val="0"/>
          <w:color w:val="auto"/>
          <w:kern w:val="0"/>
          <w:sz w:val="24"/>
          <w:szCs w:val="28"/>
          <w:lang w:val="en-US" w:eastAsia="zh-CN" w:bidi="ar"/>
        </w:rPr>
      </w:pPr>
      <w:r>
        <w:rPr>
          <w:rFonts w:hint="eastAsia" w:ascii="Times New Roman" w:hAnsi="Times New Roman" w:eastAsia="宋体" w:cs="宋体"/>
          <w:snapToGrid w:val="0"/>
          <w:color w:val="auto"/>
          <w:kern w:val="0"/>
          <w:sz w:val="24"/>
          <w:szCs w:val="28"/>
          <w:lang w:val="en-US" w:eastAsia="zh-CN" w:bidi="ar"/>
        </w:rPr>
        <w:t>（4）关键构造措施</w:t>
      </w:r>
    </w:p>
    <w:p w14:paraId="7DF833E5">
      <w:pPr>
        <w:keepNext w:val="0"/>
        <w:keepLines w:val="0"/>
        <w:pageBreakBefore w:val="0"/>
        <w:widowControl/>
        <w:suppressLineNumbers w:val="0"/>
        <w:kinsoku/>
        <w:wordWrap w:val="0"/>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宋体"/>
          <w:snapToGrid w:val="0"/>
          <w:color w:val="auto"/>
          <w:kern w:val="0"/>
          <w:sz w:val="24"/>
          <w:szCs w:val="28"/>
          <w:lang w:val="en-US" w:eastAsia="zh-CN" w:bidi="ar"/>
        </w:rPr>
      </w:pPr>
      <w:r>
        <w:rPr>
          <w:rFonts w:hint="eastAsia" w:ascii="宋体" w:hAnsi="宋体" w:eastAsia="宋体" w:cs="宋体"/>
          <w:snapToGrid w:val="0"/>
          <w:color w:val="auto"/>
          <w:kern w:val="0"/>
          <w:sz w:val="24"/>
          <w:szCs w:val="28"/>
          <w:lang w:val="en-US" w:eastAsia="zh-CN" w:bidi="ar"/>
        </w:rPr>
        <w:t>①</w:t>
      </w:r>
      <w:r>
        <w:rPr>
          <w:rFonts w:hint="eastAsia" w:ascii="Times New Roman" w:hAnsi="Times New Roman" w:eastAsia="宋体" w:cs="宋体"/>
          <w:snapToGrid w:val="0"/>
          <w:color w:val="auto"/>
          <w:kern w:val="0"/>
          <w:sz w:val="24"/>
          <w:szCs w:val="28"/>
          <w:lang w:val="en-US" w:eastAsia="zh-CN" w:bidi="ar"/>
        </w:rPr>
        <w:t>防渗系统：混凝土池体自防水+池内满铺1.2mmHDPE黑膜，膜下设300g/m²土工布保护层。混凝土表面平整度≤5mm/2m，无尖锐突起。</w:t>
      </w:r>
    </w:p>
    <w:p w14:paraId="6F715BF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宋体"/>
          <w:snapToGrid w:val="0"/>
          <w:color w:val="auto"/>
          <w:kern w:val="0"/>
          <w:sz w:val="24"/>
          <w:szCs w:val="28"/>
          <w:lang w:val="en-US" w:eastAsia="zh-CN" w:bidi="ar"/>
        </w:rPr>
      </w:pPr>
      <w:r>
        <w:rPr>
          <w:rFonts w:hint="eastAsia" w:ascii="Times New Roman" w:hAnsi="Times New Roman" w:eastAsia="宋体" w:cs="宋体"/>
          <w:snapToGrid w:val="0"/>
          <w:color w:val="auto"/>
          <w:kern w:val="0"/>
          <w:sz w:val="24"/>
          <w:szCs w:val="28"/>
          <w:lang w:val="en-US" w:eastAsia="zh-CN" w:bidi="ar"/>
        </w:rPr>
        <w:t>②裂缝控制：混凝土限制裂缝宽度≤0.2mm，采用低水化热水泥，分层浇筑（每层≤500mm），入模温度≤30℃。</w:t>
      </w:r>
    </w:p>
    <w:p w14:paraId="178E044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宋体"/>
          <w:snapToGrid w:val="0"/>
          <w:color w:val="auto"/>
          <w:kern w:val="0"/>
          <w:sz w:val="24"/>
          <w:szCs w:val="28"/>
          <w:lang w:val="en-US" w:eastAsia="zh-CN" w:bidi="ar"/>
        </w:rPr>
      </w:pPr>
      <w:r>
        <w:rPr>
          <w:rFonts w:hint="eastAsia" w:ascii="Times New Roman" w:hAnsi="Times New Roman" w:eastAsia="宋体" w:cs="宋体"/>
          <w:snapToGrid w:val="0"/>
          <w:color w:val="auto"/>
          <w:kern w:val="0"/>
          <w:sz w:val="24"/>
          <w:szCs w:val="28"/>
          <w:lang w:val="en-US" w:eastAsia="zh-CN" w:bidi="ar"/>
        </w:rPr>
        <w:t>③预埋件：预留沼液出水管、沼气收集管、排泥管、检修人孔（密封法兰接口），周边加强配筋。</w:t>
      </w:r>
    </w:p>
    <w:p w14:paraId="54E49B7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宋体"/>
          <w:snapToGrid w:val="0"/>
          <w:color w:val="auto"/>
          <w:kern w:val="0"/>
          <w:sz w:val="24"/>
          <w:szCs w:val="28"/>
          <w:lang w:val="en-US" w:eastAsia="zh-CN" w:bidi="ar"/>
        </w:rPr>
      </w:pPr>
      <w:r>
        <w:rPr>
          <w:rFonts w:hint="eastAsia" w:ascii="Times New Roman" w:hAnsi="Times New Roman" w:eastAsia="宋体" w:cs="宋体"/>
          <w:snapToGrid w:val="0"/>
          <w:color w:val="auto"/>
          <w:kern w:val="0"/>
          <w:sz w:val="24"/>
          <w:szCs w:val="28"/>
          <w:lang w:val="en-US" w:eastAsia="zh-CN" w:bidi="ar"/>
        </w:rPr>
        <w:t>（5）材料要求</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7"/>
        <w:gridCol w:w="3510"/>
        <w:gridCol w:w="2975"/>
      </w:tblGrid>
      <w:tr w14:paraId="6BF0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7" w:type="dxa"/>
            <w:vAlign w:val="center"/>
          </w:tcPr>
          <w:p w14:paraId="7504DDB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b/>
                <w:bCs/>
                <w:snapToGrid w:val="0"/>
                <w:color w:val="auto"/>
                <w:kern w:val="0"/>
                <w:sz w:val="21"/>
                <w:szCs w:val="22"/>
                <w:vertAlign w:val="baseline"/>
                <w:lang w:val="en-US" w:eastAsia="zh-CN" w:bidi="ar"/>
              </w:rPr>
            </w:pPr>
            <w:r>
              <w:rPr>
                <w:rFonts w:hint="eastAsia" w:ascii="Times New Roman" w:hAnsi="Times New Roman" w:eastAsia="宋体" w:cs="宋体"/>
                <w:b/>
                <w:bCs/>
                <w:snapToGrid w:val="0"/>
                <w:color w:val="auto"/>
                <w:kern w:val="0"/>
                <w:sz w:val="21"/>
                <w:szCs w:val="22"/>
                <w:vertAlign w:val="baseline"/>
                <w:lang w:val="en-US" w:eastAsia="zh-CN" w:bidi="ar"/>
              </w:rPr>
              <w:t>材料名称</w:t>
            </w:r>
          </w:p>
        </w:tc>
        <w:tc>
          <w:tcPr>
            <w:tcW w:w="3510" w:type="dxa"/>
            <w:vAlign w:val="center"/>
          </w:tcPr>
          <w:p w14:paraId="5DE5808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b/>
                <w:bCs/>
                <w:snapToGrid w:val="0"/>
                <w:color w:val="auto"/>
                <w:kern w:val="0"/>
                <w:sz w:val="21"/>
                <w:szCs w:val="22"/>
                <w:vertAlign w:val="baseline"/>
                <w:lang w:val="en-US" w:eastAsia="zh-CN" w:bidi="ar"/>
              </w:rPr>
            </w:pPr>
            <w:r>
              <w:rPr>
                <w:rFonts w:hint="eastAsia" w:ascii="Times New Roman" w:hAnsi="Times New Roman" w:eastAsia="宋体" w:cs="宋体"/>
                <w:b/>
                <w:bCs/>
                <w:snapToGrid w:val="0"/>
                <w:color w:val="auto"/>
                <w:kern w:val="0"/>
                <w:sz w:val="21"/>
                <w:szCs w:val="22"/>
                <w:vertAlign w:val="baseline"/>
                <w:lang w:val="en-US" w:eastAsia="zh-CN" w:bidi="ar"/>
              </w:rPr>
              <w:t>材料规格</w:t>
            </w:r>
          </w:p>
        </w:tc>
        <w:tc>
          <w:tcPr>
            <w:tcW w:w="2975" w:type="dxa"/>
            <w:vAlign w:val="center"/>
          </w:tcPr>
          <w:p w14:paraId="40426BC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b/>
                <w:bCs/>
                <w:snapToGrid w:val="0"/>
                <w:color w:val="auto"/>
                <w:kern w:val="0"/>
                <w:sz w:val="21"/>
                <w:szCs w:val="22"/>
                <w:vertAlign w:val="baseline"/>
                <w:lang w:val="en-US" w:eastAsia="zh-CN" w:bidi="ar"/>
              </w:rPr>
            </w:pPr>
            <w:r>
              <w:rPr>
                <w:rFonts w:hint="eastAsia" w:ascii="Times New Roman" w:hAnsi="Times New Roman" w:eastAsia="宋体" w:cs="宋体"/>
                <w:b/>
                <w:bCs/>
                <w:snapToGrid w:val="0"/>
                <w:color w:val="auto"/>
                <w:kern w:val="0"/>
                <w:sz w:val="21"/>
                <w:szCs w:val="22"/>
                <w:vertAlign w:val="baseline"/>
                <w:lang w:val="en-US" w:eastAsia="zh-CN" w:bidi="ar"/>
              </w:rPr>
              <w:t>特殊要求</w:t>
            </w:r>
          </w:p>
        </w:tc>
      </w:tr>
      <w:tr w14:paraId="2207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7" w:type="dxa"/>
            <w:vAlign w:val="center"/>
          </w:tcPr>
          <w:p w14:paraId="565ACE0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2"/>
                <w:vertAlign w:val="baseline"/>
                <w:lang w:val="en-US" w:eastAsia="zh-CN" w:bidi="ar"/>
              </w:rPr>
            </w:pPr>
            <w:r>
              <w:rPr>
                <w:rFonts w:hint="eastAsia" w:ascii="Times New Roman" w:hAnsi="Times New Roman" w:eastAsia="宋体" w:cs="宋体"/>
                <w:snapToGrid w:val="0"/>
                <w:color w:val="auto"/>
                <w:kern w:val="0"/>
                <w:sz w:val="21"/>
                <w:szCs w:val="22"/>
                <w:vertAlign w:val="baseline"/>
                <w:lang w:val="en-US" w:eastAsia="zh-CN" w:bidi="ar"/>
              </w:rPr>
              <w:t>钢筋</w:t>
            </w:r>
          </w:p>
        </w:tc>
        <w:tc>
          <w:tcPr>
            <w:tcW w:w="3510" w:type="dxa"/>
            <w:vAlign w:val="center"/>
          </w:tcPr>
          <w:p w14:paraId="6957E0C7">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2"/>
                <w:vertAlign w:val="baseline"/>
                <w:lang w:val="en-US" w:eastAsia="zh-CN" w:bidi="ar"/>
              </w:rPr>
            </w:pPr>
            <w:r>
              <w:rPr>
                <w:rFonts w:hint="eastAsia" w:ascii="Times New Roman" w:hAnsi="Times New Roman" w:eastAsia="宋体" w:cs="宋体"/>
                <w:snapToGrid w:val="0"/>
                <w:color w:val="auto"/>
                <w:kern w:val="0"/>
                <w:sz w:val="21"/>
                <w:szCs w:val="22"/>
                <w:vertAlign w:val="baseline"/>
                <w:lang w:val="en-US" w:eastAsia="zh-CN" w:bidi="ar"/>
              </w:rPr>
              <w:t>C30防水混凝土，抗渗等级P8</w:t>
            </w:r>
          </w:p>
        </w:tc>
        <w:tc>
          <w:tcPr>
            <w:tcW w:w="2975" w:type="dxa"/>
            <w:vAlign w:val="center"/>
          </w:tcPr>
          <w:p w14:paraId="148D20A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2"/>
                <w:vertAlign w:val="baseline"/>
                <w:lang w:val="en-US" w:eastAsia="zh-CN" w:bidi="ar"/>
              </w:rPr>
            </w:pPr>
            <w:r>
              <w:rPr>
                <w:rFonts w:hint="eastAsia" w:ascii="Times New Roman" w:hAnsi="Times New Roman" w:eastAsia="宋体" w:cs="宋体"/>
                <w:snapToGrid w:val="0"/>
                <w:color w:val="auto"/>
                <w:kern w:val="0"/>
                <w:sz w:val="21"/>
                <w:szCs w:val="22"/>
                <w:vertAlign w:val="baseline"/>
                <w:lang w:val="en-US" w:eastAsia="zh-CN" w:bidi="ar"/>
              </w:rPr>
              <w:t>掺抗裂纤维（0.9kg/m</w:t>
            </w:r>
            <w:r>
              <w:rPr>
                <w:rFonts w:hint="eastAsia" w:ascii="Times New Roman" w:hAnsi="Times New Roman" w:eastAsia="宋体" w:cs="宋体"/>
                <w:snapToGrid w:val="0"/>
                <w:color w:val="auto"/>
                <w:kern w:val="0"/>
                <w:sz w:val="21"/>
                <w:szCs w:val="22"/>
                <w:vertAlign w:val="superscript"/>
                <w:lang w:val="en-US" w:eastAsia="zh-CN" w:bidi="ar"/>
              </w:rPr>
              <w:t>3</w:t>
            </w:r>
            <w:r>
              <w:rPr>
                <w:rFonts w:hint="eastAsia" w:ascii="Times New Roman" w:hAnsi="Times New Roman" w:eastAsia="宋体" w:cs="宋体"/>
                <w:snapToGrid w:val="0"/>
                <w:color w:val="auto"/>
                <w:kern w:val="0"/>
                <w:sz w:val="21"/>
                <w:szCs w:val="22"/>
                <w:vertAlign w:val="baseline"/>
                <w:lang w:val="en-US" w:eastAsia="zh-CN" w:bidi="ar"/>
              </w:rPr>
              <w:t>），限制氯离子含量</w:t>
            </w:r>
            <w:r>
              <w:rPr>
                <w:rFonts w:hint="default" w:ascii="Times New Roman" w:hAnsi="Times New Roman" w:eastAsia="宋体" w:cs="Times New Roman"/>
                <w:snapToGrid w:val="0"/>
                <w:color w:val="auto"/>
                <w:kern w:val="0"/>
                <w:sz w:val="21"/>
                <w:szCs w:val="22"/>
                <w:vertAlign w:val="baseline"/>
                <w:lang w:val="en-US" w:eastAsia="zh-CN" w:bidi="ar"/>
              </w:rPr>
              <w:t>≤</w:t>
            </w:r>
            <w:r>
              <w:rPr>
                <w:rFonts w:hint="eastAsia" w:ascii="Times New Roman" w:hAnsi="Times New Roman" w:eastAsia="宋体" w:cs="宋体"/>
                <w:snapToGrid w:val="0"/>
                <w:color w:val="auto"/>
                <w:kern w:val="0"/>
                <w:sz w:val="21"/>
                <w:szCs w:val="22"/>
                <w:vertAlign w:val="baseline"/>
                <w:lang w:val="en-US" w:eastAsia="zh-CN" w:bidi="ar"/>
              </w:rPr>
              <w:t>0.06%。</w:t>
            </w:r>
          </w:p>
        </w:tc>
      </w:tr>
      <w:tr w14:paraId="45D5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7" w:type="dxa"/>
            <w:vAlign w:val="center"/>
          </w:tcPr>
          <w:p w14:paraId="3DA7038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2"/>
                <w:vertAlign w:val="baseline"/>
                <w:lang w:val="en-US" w:eastAsia="zh-CN" w:bidi="ar"/>
              </w:rPr>
            </w:pPr>
            <w:r>
              <w:rPr>
                <w:rFonts w:hint="eastAsia" w:ascii="Times New Roman" w:hAnsi="Times New Roman" w:eastAsia="宋体" w:cs="宋体"/>
                <w:snapToGrid w:val="0"/>
                <w:color w:val="auto"/>
                <w:kern w:val="0"/>
                <w:sz w:val="21"/>
                <w:szCs w:val="22"/>
                <w:vertAlign w:val="baseline"/>
                <w:lang w:val="en-US" w:eastAsia="zh-CN" w:bidi="ar"/>
              </w:rPr>
              <w:t>混凝土</w:t>
            </w:r>
          </w:p>
        </w:tc>
        <w:tc>
          <w:tcPr>
            <w:tcW w:w="3510" w:type="dxa"/>
            <w:vAlign w:val="center"/>
          </w:tcPr>
          <w:p w14:paraId="5E496A4B">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2"/>
                <w:vertAlign w:val="baseline"/>
                <w:lang w:val="en-US" w:eastAsia="zh-CN" w:bidi="ar"/>
              </w:rPr>
            </w:pPr>
            <w:r>
              <w:rPr>
                <w:rFonts w:hint="eastAsia" w:ascii="Times New Roman" w:hAnsi="Times New Roman" w:eastAsia="宋体" w:cs="宋体"/>
                <w:snapToGrid w:val="0"/>
                <w:color w:val="auto"/>
                <w:kern w:val="0"/>
                <w:sz w:val="21"/>
                <w:szCs w:val="22"/>
                <w:vertAlign w:val="baseline"/>
                <w:lang w:val="en-US" w:eastAsia="zh-CN" w:bidi="ar"/>
              </w:rPr>
              <w:t>HRB400级螺纹钢</w:t>
            </w:r>
          </w:p>
        </w:tc>
        <w:tc>
          <w:tcPr>
            <w:tcW w:w="2975" w:type="dxa"/>
            <w:vAlign w:val="center"/>
          </w:tcPr>
          <w:p w14:paraId="39D85AD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2"/>
                <w:vertAlign w:val="baseline"/>
                <w:lang w:val="en-US" w:eastAsia="zh-CN" w:bidi="ar"/>
              </w:rPr>
            </w:pPr>
            <w:r>
              <w:rPr>
                <w:rFonts w:hint="eastAsia" w:ascii="Times New Roman" w:hAnsi="Times New Roman" w:eastAsia="宋体" w:cs="宋体"/>
                <w:snapToGrid w:val="0"/>
                <w:color w:val="auto"/>
                <w:kern w:val="0"/>
                <w:sz w:val="21"/>
                <w:szCs w:val="22"/>
                <w:vertAlign w:val="baseline"/>
                <w:lang w:val="en-US" w:eastAsia="zh-CN" w:bidi="ar"/>
              </w:rPr>
              <w:t>保护层厚度：池壁40mm，底板50mm。</w:t>
            </w:r>
          </w:p>
        </w:tc>
      </w:tr>
      <w:tr w14:paraId="504A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7" w:type="dxa"/>
            <w:vAlign w:val="center"/>
          </w:tcPr>
          <w:p w14:paraId="2AD40BF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2"/>
                <w:vertAlign w:val="baseline"/>
                <w:lang w:val="en-US" w:eastAsia="zh-CN" w:bidi="ar"/>
              </w:rPr>
            </w:pPr>
            <w:r>
              <w:rPr>
                <w:rFonts w:hint="eastAsia" w:ascii="Times New Roman" w:hAnsi="Times New Roman" w:eastAsia="宋体" w:cs="宋体"/>
                <w:snapToGrid w:val="0"/>
                <w:color w:val="auto"/>
                <w:kern w:val="0"/>
                <w:sz w:val="21"/>
                <w:szCs w:val="22"/>
                <w:vertAlign w:val="baseline"/>
                <w:lang w:val="en-US" w:eastAsia="zh-CN" w:bidi="ar"/>
              </w:rPr>
              <w:t>止水带</w:t>
            </w:r>
          </w:p>
        </w:tc>
        <w:tc>
          <w:tcPr>
            <w:tcW w:w="3510" w:type="dxa"/>
            <w:vAlign w:val="center"/>
          </w:tcPr>
          <w:p w14:paraId="22F9253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2"/>
                <w:vertAlign w:val="baseline"/>
                <w:lang w:val="en-US" w:eastAsia="zh-CN" w:bidi="ar"/>
              </w:rPr>
            </w:pPr>
            <w:r>
              <w:rPr>
                <w:rFonts w:hint="eastAsia" w:ascii="Times New Roman" w:hAnsi="Times New Roman" w:eastAsia="宋体" w:cs="宋体"/>
                <w:snapToGrid w:val="0"/>
                <w:color w:val="auto"/>
                <w:kern w:val="0"/>
                <w:sz w:val="21"/>
                <w:szCs w:val="22"/>
                <w:vertAlign w:val="baseline"/>
                <w:lang w:val="en-US" w:eastAsia="zh-CN" w:bidi="ar"/>
              </w:rPr>
              <w:t>橡胶止水带（宽</w:t>
            </w:r>
            <w:r>
              <w:rPr>
                <w:rFonts w:hint="default" w:ascii="Times New Roman" w:hAnsi="Times New Roman" w:eastAsia="宋体" w:cs="Times New Roman"/>
                <w:snapToGrid w:val="0"/>
                <w:color w:val="auto"/>
                <w:kern w:val="0"/>
                <w:sz w:val="21"/>
                <w:szCs w:val="22"/>
                <w:vertAlign w:val="baseline"/>
                <w:lang w:val="en-US" w:eastAsia="zh-CN" w:bidi="ar"/>
              </w:rPr>
              <w:t>≥</w:t>
            </w:r>
            <w:r>
              <w:rPr>
                <w:rFonts w:hint="eastAsia" w:ascii="Times New Roman" w:hAnsi="Times New Roman" w:eastAsia="宋体" w:cs="宋体"/>
                <w:snapToGrid w:val="0"/>
                <w:color w:val="auto"/>
                <w:kern w:val="0"/>
                <w:sz w:val="21"/>
                <w:szCs w:val="22"/>
                <w:vertAlign w:val="baseline"/>
                <w:lang w:val="en-US" w:eastAsia="zh-CN" w:bidi="ar"/>
              </w:rPr>
              <w:t>300mm）</w:t>
            </w:r>
          </w:p>
        </w:tc>
        <w:tc>
          <w:tcPr>
            <w:tcW w:w="2975" w:type="dxa"/>
            <w:vAlign w:val="center"/>
          </w:tcPr>
          <w:p w14:paraId="53D1912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2"/>
                <w:vertAlign w:val="baseline"/>
                <w:lang w:val="en-US" w:eastAsia="zh-CN" w:bidi="ar"/>
              </w:rPr>
            </w:pPr>
            <w:r>
              <w:rPr>
                <w:rFonts w:hint="eastAsia" w:ascii="Times New Roman" w:hAnsi="Times New Roman" w:eastAsia="宋体" w:cs="宋体"/>
                <w:snapToGrid w:val="0"/>
                <w:color w:val="auto"/>
                <w:kern w:val="0"/>
                <w:sz w:val="21"/>
                <w:szCs w:val="22"/>
                <w:vertAlign w:val="baseline"/>
                <w:lang w:val="en-US" w:eastAsia="zh-CN" w:bidi="ar"/>
              </w:rPr>
              <w:t>接头热熔焊接。</w:t>
            </w:r>
          </w:p>
        </w:tc>
      </w:tr>
      <w:tr w14:paraId="644E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7" w:type="dxa"/>
            <w:vAlign w:val="center"/>
          </w:tcPr>
          <w:p w14:paraId="659E349A">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2"/>
                <w:vertAlign w:val="baseline"/>
                <w:lang w:val="en-US" w:eastAsia="zh-CN" w:bidi="ar"/>
              </w:rPr>
            </w:pPr>
            <w:r>
              <w:rPr>
                <w:rFonts w:hint="eastAsia" w:ascii="Times New Roman" w:hAnsi="Times New Roman" w:eastAsia="宋体" w:cs="宋体"/>
                <w:snapToGrid w:val="0"/>
                <w:color w:val="auto"/>
                <w:kern w:val="0"/>
                <w:sz w:val="21"/>
                <w:szCs w:val="22"/>
                <w:vertAlign w:val="baseline"/>
                <w:lang w:val="en-US" w:eastAsia="zh-CN" w:bidi="ar"/>
              </w:rPr>
              <w:t>HDPE黑膜</w:t>
            </w:r>
          </w:p>
        </w:tc>
        <w:tc>
          <w:tcPr>
            <w:tcW w:w="3510" w:type="dxa"/>
            <w:vAlign w:val="center"/>
          </w:tcPr>
          <w:p w14:paraId="4D439098">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2"/>
                <w:vertAlign w:val="baseline"/>
                <w:lang w:val="en-US" w:eastAsia="zh-CN" w:bidi="ar"/>
              </w:rPr>
            </w:pPr>
            <w:r>
              <w:rPr>
                <w:rFonts w:hint="eastAsia" w:ascii="Times New Roman" w:hAnsi="Times New Roman" w:eastAsia="宋体" w:cs="宋体"/>
                <w:snapToGrid w:val="0"/>
                <w:color w:val="auto"/>
                <w:kern w:val="0"/>
                <w:sz w:val="21"/>
                <w:szCs w:val="22"/>
                <w:vertAlign w:val="baseline"/>
                <w:lang w:val="en-US" w:eastAsia="zh-CN" w:bidi="ar"/>
              </w:rPr>
              <w:t>厚度</w:t>
            </w:r>
            <w:r>
              <w:rPr>
                <w:rFonts w:hint="default" w:ascii="Times New Roman" w:hAnsi="Times New Roman" w:eastAsia="宋体" w:cs="Times New Roman"/>
                <w:snapToGrid w:val="0"/>
                <w:color w:val="auto"/>
                <w:kern w:val="0"/>
                <w:sz w:val="21"/>
                <w:szCs w:val="22"/>
                <w:vertAlign w:val="baseline"/>
                <w:lang w:val="en-US" w:eastAsia="zh-CN" w:bidi="ar"/>
              </w:rPr>
              <w:t>≥</w:t>
            </w:r>
            <w:r>
              <w:rPr>
                <w:rFonts w:hint="eastAsia" w:ascii="Times New Roman" w:hAnsi="Times New Roman" w:eastAsia="宋体" w:cs="宋体"/>
                <w:snapToGrid w:val="0"/>
                <w:color w:val="auto"/>
                <w:kern w:val="0"/>
                <w:sz w:val="21"/>
                <w:szCs w:val="22"/>
                <w:vertAlign w:val="baseline"/>
                <w:lang w:val="en-US" w:eastAsia="zh-CN" w:bidi="ar"/>
              </w:rPr>
              <w:t>1.5mm，双糙面</w:t>
            </w:r>
          </w:p>
        </w:tc>
        <w:tc>
          <w:tcPr>
            <w:tcW w:w="2975" w:type="dxa"/>
            <w:vAlign w:val="center"/>
          </w:tcPr>
          <w:p w14:paraId="1CEB776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宋体"/>
                <w:snapToGrid w:val="0"/>
                <w:color w:val="auto"/>
                <w:kern w:val="0"/>
                <w:sz w:val="21"/>
                <w:szCs w:val="22"/>
                <w:vertAlign w:val="baseline"/>
                <w:lang w:val="en-US" w:eastAsia="zh-CN" w:bidi="ar"/>
              </w:rPr>
            </w:pPr>
            <w:r>
              <w:rPr>
                <w:rFonts w:hint="eastAsia" w:ascii="Times New Roman" w:hAnsi="Times New Roman" w:eastAsia="宋体" w:cs="宋体"/>
                <w:snapToGrid w:val="0"/>
                <w:color w:val="auto"/>
                <w:kern w:val="0"/>
                <w:sz w:val="21"/>
                <w:szCs w:val="22"/>
                <w:vertAlign w:val="baseline"/>
                <w:lang w:val="en-US" w:eastAsia="zh-CN" w:bidi="ar"/>
              </w:rPr>
              <w:t>抗紫外、抗化学腐蚀、焊接强度</w:t>
            </w:r>
            <w:r>
              <w:rPr>
                <w:rFonts w:hint="default" w:ascii="Times New Roman" w:hAnsi="Times New Roman" w:eastAsia="宋体" w:cs="Times New Roman"/>
                <w:snapToGrid w:val="0"/>
                <w:color w:val="auto"/>
                <w:kern w:val="0"/>
                <w:sz w:val="21"/>
                <w:szCs w:val="22"/>
                <w:vertAlign w:val="baseline"/>
                <w:lang w:val="en-US" w:eastAsia="zh-CN" w:bidi="ar"/>
              </w:rPr>
              <w:t>≥</w:t>
            </w:r>
            <w:r>
              <w:rPr>
                <w:rFonts w:hint="eastAsia" w:ascii="Times New Roman" w:hAnsi="Times New Roman" w:eastAsia="宋体" w:cs="宋体"/>
                <w:snapToGrid w:val="0"/>
                <w:color w:val="auto"/>
                <w:kern w:val="0"/>
                <w:sz w:val="21"/>
                <w:szCs w:val="22"/>
                <w:vertAlign w:val="baseline"/>
                <w:lang w:val="en-US" w:eastAsia="zh-CN" w:bidi="ar"/>
              </w:rPr>
              <w:t>母材80%。</w:t>
            </w:r>
          </w:p>
        </w:tc>
      </w:tr>
    </w:tbl>
    <w:p w14:paraId="42461F60">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ascii="Times New Roman" w:hAnsi="Times New Roman" w:eastAsia="宋体" w:cs="宋体"/>
          <w:color w:val="auto"/>
          <w:sz w:val="24"/>
        </w:rPr>
      </w:pPr>
      <w:r>
        <w:rPr>
          <w:rFonts w:hint="eastAsia" w:ascii="Times New Roman" w:hAnsi="Times New Roman" w:eastAsia="宋体" w:cs="宋体"/>
          <w:b/>
          <w:color w:val="auto"/>
          <w:sz w:val="24"/>
          <w:lang w:val="en-US" w:eastAsia="zh-CN"/>
        </w:rPr>
        <w:t>13.2.4、</w:t>
      </w:r>
      <w:r>
        <w:rPr>
          <w:rFonts w:hint="eastAsia" w:ascii="Times New Roman" w:hAnsi="Times New Roman" w:eastAsia="宋体" w:cs="宋体"/>
          <w:b/>
          <w:bCs/>
          <w:snapToGrid w:val="0"/>
          <w:color w:val="auto"/>
          <w:kern w:val="0"/>
          <w:sz w:val="24"/>
          <w:szCs w:val="28"/>
          <w:lang w:val="en-US" w:eastAsia="zh-CN" w:bidi="ar"/>
        </w:rPr>
        <w:t>绿色建筑结构设计</w:t>
      </w:r>
    </w:p>
    <w:p w14:paraId="5098215C">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宋体"/>
          <w:snapToGrid w:val="0"/>
          <w:color w:val="auto"/>
          <w:kern w:val="0"/>
          <w:sz w:val="24"/>
          <w:szCs w:val="28"/>
          <w:lang w:val="en-US" w:eastAsia="zh-CN" w:bidi="ar"/>
        </w:rPr>
      </w:pPr>
      <w:r>
        <w:rPr>
          <w:rFonts w:hint="eastAsia" w:ascii="Times New Roman" w:hAnsi="Times New Roman" w:eastAsia="宋体" w:cs="宋体"/>
          <w:snapToGrid w:val="0"/>
          <w:color w:val="auto"/>
          <w:kern w:val="0"/>
          <w:sz w:val="24"/>
          <w:szCs w:val="28"/>
          <w:lang w:val="en-US" w:eastAsia="zh-CN" w:bidi="ar"/>
        </w:rPr>
        <w:t>（1）安全耐久</w:t>
      </w:r>
    </w:p>
    <w:p w14:paraId="44132E50">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宋体"/>
          <w:snapToGrid w:val="0"/>
          <w:color w:val="auto"/>
          <w:kern w:val="0"/>
          <w:sz w:val="24"/>
          <w:szCs w:val="28"/>
          <w:lang w:val="en-US" w:eastAsia="zh-CN" w:bidi="ar"/>
        </w:rPr>
      </w:pPr>
      <w:r>
        <w:rPr>
          <w:rFonts w:hint="eastAsia" w:ascii="Times New Roman" w:hAnsi="Times New Roman" w:eastAsia="宋体" w:cs="宋体"/>
          <w:snapToGrid w:val="0"/>
          <w:color w:val="auto"/>
          <w:kern w:val="0"/>
          <w:sz w:val="24"/>
          <w:szCs w:val="28"/>
          <w:lang w:val="en-US" w:eastAsia="zh-CN" w:bidi="ar"/>
        </w:rPr>
        <w:t>未采用国家和甘肃省禁止和限制使用的建筑材料及制品。不考虑冬季施工。结构中梁、柱纵向受力普通钢筋应采用不低于</w:t>
      </w:r>
      <w:r>
        <w:rPr>
          <w:rFonts w:hint="default" w:ascii="Times New Roman" w:hAnsi="Times New Roman" w:eastAsia="宋体" w:cs="宋体"/>
          <w:snapToGrid w:val="0"/>
          <w:color w:val="auto"/>
          <w:kern w:val="0"/>
          <w:sz w:val="24"/>
          <w:szCs w:val="28"/>
          <w:lang w:val="en-US" w:eastAsia="zh-CN" w:bidi="ar"/>
        </w:rPr>
        <w:t>400MPa</w:t>
      </w:r>
      <w:r>
        <w:rPr>
          <w:rFonts w:hint="eastAsia" w:ascii="Times New Roman" w:hAnsi="Times New Roman" w:eastAsia="宋体" w:cs="宋体"/>
          <w:snapToGrid w:val="0"/>
          <w:color w:val="auto"/>
          <w:kern w:val="0"/>
          <w:sz w:val="24"/>
          <w:szCs w:val="28"/>
          <w:lang w:val="en-US" w:eastAsia="zh-CN" w:bidi="ar"/>
        </w:rPr>
        <w:t>级的热轧带肋钢筋。建筑造型要素应简约，且无大量装饰性构件。</w:t>
      </w:r>
    </w:p>
    <w:p w14:paraId="1CCACF0F">
      <w:pPr>
        <w:keepNext w:val="0"/>
        <w:keepLines w:val="0"/>
        <w:pageBreakBefore w:val="0"/>
        <w:widowControl w:val="0"/>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宋体"/>
          <w:snapToGrid w:val="0"/>
          <w:color w:val="auto"/>
          <w:kern w:val="0"/>
          <w:sz w:val="24"/>
          <w:szCs w:val="28"/>
          <w:lang w:val="en-US" w:eastAsia="zh-CN" w:bidi="ar"/>
        </w:rPr>
      </w:pPr>
      <w:r>
        <w:rPr>
          <w:rFonts w:hint="eastAsia" w:ascii="Times New Roman" w:hAnsi="Times New Roman" w:eastAsia="宋体" w:cs="宋体"/>
          <w:snapToGrid w:val="0"/>
          <w:color w:val="auto"/>
          <w:kern w:val="0"/>
          <w:sz w:val="24"/>
          <w:szCs w:val="28"/>
          <w:lang w:val="en-US" w:eastAsia="zh-CN" w:bidi="ar"/>
        </w:rPr>
        <w:t>（2）资源节约</w:t>
      </w:r>
    </w:p>
    <w:p w14:paraId="60E719FC">
      <w:pPr>
        <w:keepNext w:val="0"/>
        <w:keepLines w:val="0"/>
        <w:pageBreakBefore w:val="0"/>
        <w:widowControl w:val="0"/>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28"/>
          <w:lang w:val="en-US" w:eastAsia="zh-CN" w:bidi="ar"/>
        </w:rPr>
        <w:t>本项目均进行土建与装修一体化设计，采用耐久性好、易维护的装饰装修建筑材料。</w:t>
      </w:r>
    </w:p>
    <w:p w14:paraId="5E077FD0">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sz w:val="24"/>
        </w:rPr>
      </w:pPr>
      <w:r>
        <w:rPr>
          <w:rFonts w:hint="eastAsia" w:ascii="Times New Roman" w:hAnsi="Times New Roman" w:eastAsia="宋体" w:cs="宋体"/>
          <w:snapToGrid w:val="0"/>
          <w:color w:val="auto"/>
          <w:kern w:val="0"/>
          <w:sz w:val="24"/>
          <w:szCs w:val="28"/>
          <w:lang w:val="en-US" w:eastAsia="zh-CN" w:bidi="ar"/>
        </w:rPr>
        <w:t>选用本地生产的建筑材料，建筑砂浆采用预拌砂浆比例达到</w:t>
      </w:r>
      <w:r>
        <w:rPr>
          <w:rFonts w:hint="default" w:ascii="Times New Roman" w:hAnsi="Times New Roman" w:eastAsia="宋体" w:cs="宋体"/>
          <w:snapToGrid w:val="0"/>
          <w:color w:val="auto"/>
          <w:kern w:val="0"/>
          <w:sz w:val="24"/>
          <w:szCs w:val="28"/>
          <w:lang w:val="en-US" w:eastAsia="zh-CN" w:bidi="ar"/>
        </w:rPr>
        <w:t>100%</w:t>
      </w:r>
      <w:r>
        <w:rPr>
          <w:rFonts w:hint="eastAsia" w:ascii="Times New Roman" w:hAnsi="Times New Roman" w:eastAsia="宋体" w:cs="宋体"/>
          <w:snapToGrid w:val="0"/>
          <w:color w:val="auto"/>
          <w:kern w:val="0"/>
          <w:sz w:val="24"/>
          <w:szCs w:val="28"/>
          <w:lang w:val="en-US" w:eastAsia="zh-CN" w:bidi="ar"/>
        </w:rPr>
        <w:t>。</w:t>
      </w:r>
    </w:p>
    <w:p w14:paraId="26D37124">
      <w:pPr>
        <w:keepNext w:val="0"/>
        <w:keepLines w:val="0"/>
        <w:pageBreakBefore w:val="0"/>
        <w:widowControl w:val="0"/>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ascii="Times New Roman" w:hAnsi="Times New Roman" w:eastAsia="宋体" w:cs="宋体"/>
          <w:color w:val="auto"/>
        </w:rPr>
      </w:pPr>
      <w:r>
        <w:rPr>
          <w:rFonts w:hint="eastAsia" w:ascii="Times New Roman" w:hAnsi="Times New Roman" w:eastAsia="宋体" w:cs="宋体"/>
          <w:snapToGrid w:val="0"/>
          <w:color w:val="auto"/>
          <w:kern w:val="0"/>
          <w:sz w:val="24"/>
          <w:szCs w:val="28"/>
          <w:lang w:val="en-US" w:eastAsia="zh-CN" w:bidi="ar"/>
        </w:rPr>
        <w:t>受力普通钢筋的比例达到</w:t>
      </w:r>
      <w:r>
        <w:rPr>
          <w:rFonts w:hint="default" w:ascii="Times New Roman" w:hAnsi="Times New Roman" w:eastAsia="宋体" w:cs="宋体"/>
          <w:snapToGrid w:val="0"/>
          <w:color w:val="auto"/>
          <w:kern w:val="0"/>
          <w:sz w:val="24"/>
          <w:szCs w:val="28"/>
          <w:lang w:val="en-US" w:eastAsia="zh-CN" w:bidi="ar"/>
        </w:rPr>
        <w:t>85%</w:t>
      </w:r>
      <w:r>
        <w:rPr>
          <w:rFonts w:hint="eastAsia" w:ascii="Times New Roman" w:hAnsi="Times New Roman" w:eastAsia="宋体" w:cs="宋体"/>
          <w:snapToGrid w:val="0"/>
          <w:color w:val="auto"/>
          <w:kern w:val="0"/>
          <w:sz w:val="24"/>
          <w:szCs w:val="28"/>
          <w:lang w:val="en-US" w:eastAsia="zh-CN" w:bidi="ar"/>
        </w:rPr>
        <w:t>以上，抗冻耐久性达到</w:t>
      </w:r>
      <w:r>
        <w:rPr>
          <w:rFonts w:hint="default" w:ascii="Times New Roman" w:hAnsi="Times New Roman" w:eastAsia="宋体" w:cs="宋体"/>
          <w:snapToGrid w:val="0"/>
          <w:color w:val="auto"/>
          <w:kern w:val="0"/>
          <w:sz w:val="24"/>
          <w:szCs w:val="28"/>
          <w:lang w:val="en-US" w:eastAsia="zh-CN" w:bidi="ar"/>
        </w:rPr>
        <w:t>F100</w:t>
      </w:r>
      <w:r>
        <w:rPr>
          <w:rFonts w:hint="eastAsia" w:ascii="Times New Roman" w:hAnsi="Times New Roman" w:eastAsia="宋体" w:cs="宋体"/>
          <w:snapToGrid w:val="0"/>
          <w:color w:val="auto"/>
          <w:kern w:val="0"/>
          <w:sz w:val="24"/>
          <w:szCs w:val="28"/>
          <w:lang w:val="en-US" w:eastAsia="zh-CN" w:bidi="ar"/>
        </w:rPr>
        <w:t>。</w:t>
      </w:r>
    </w:p>
    <w:p w14:paraId="60FA205F">
      <w:pPr>
        <w:rPr>
          <w:rFonts w:hint="eastAsia" w:ascii="Times New Roman" w:hAnsi="Times New Roman" w:eastAsia="宋体" w:cs="宋体"/>
          <w:color w:val="auto"/>
          <w:lang w:val="en-US" w:eastAsia="zh-CN"/>
        </w:rPr>
      </w:pPr>
    </w:p>
    <w:p w14:paraId="5B028C8A">
      <w:pPr>
        <w:rPr>
          <w:rFonts w:hint="eastAsia" w:ascii="Times New Roman" w:hAnsi="Times New Roman" w:eastAsia="宋体" w:cs="宋体"/>
          <w:color w:val="auto"/>
          <w:sz w:val="24"/>
          <w:szCs w:val="24"/>
          <w:lang w:val="en-US" w:eastAsia="zh-CN"/>
        </w:rPr>
        <w:sectPr>
          <w:headerReference r:id="rId15" w:type="default"/>
          <w:footerReference r:id="rId16"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6DA5E793">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right="0"/>
        <w:jc w:val="center"/>
        <w:textAlignment w:val="baseline"/>
        <w:rPr>
          <w:rFonts w:hint="default" w:ascii="Times New Roman" w:hAnsi="Times New Roman" w:eastAsia="宋体" w:cs="宋体"/>
          <w:b/>
          <w:color w:val="auto"/>
          <w:sz w:val="30"/>
          <w:szCs w:val="30"/>
          <w:lang w:val="en-US" w:eastAsia="zh-CN"/>
        </w:rPr>
      </w:pPr>
      <w:bookmarkStart w:id="139" w:name="_Toc32341"/>
      <w:bookmarkStart w:id="140" w:name="_Toc128"/>
      <w:r>
        <w:rPr>
          <w:rFonts w:hint="eastAsia" w:ascii="Times New Roman" w:hAnsi="Times New Roman" w:eastAsia="宋体" w:cs="宋体"/>
          <w:color w:val="auto"/>
          <w:sz w:val="30"/>
          <w:szCs w:val="30"/>
          <w:lang w:val="en-US" w:eastAsia="zh-CN"/>
        </w:rPr>
        <w:t xml:space="preserve">第十四章 </w:t>
      </w:r>
      <w:r>
        <w:rPr>
          <w:rFonts w:hint="eastAsia" w:ascii="Times New Roman" w:hAnsi="Times New Roman" w:eastAsia="宋体" w:cs="宋体"/>
          <w:b/>
          <w:color w:val="auto"/>
          <w:sz w:val="30"/>
          <w:szCs w:val="30"/>
          <w:lang w:val="en-US" w:eastAsia="zh-CN"/>
        </w:rPr>
        <w:t>项目实施进度计划</w:t>
      </w:r>
      <w:bookmarkEnd w:id="139"/>
    </w:p>
    <w:p w14:paraId="2BB80551">
      <w:pPr>
        <w:pStyle w:val="12"/>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Times New Roman" w:hAnsi="Times New Roman" w:eastAsia="宋体" w:cs="宋体"/>
          <w:color w:val="auto"/>
          <w:sz w:val="24"/>
          <w:szCs w:val="20"/>
        </w:rPr>
      </w:pPr>
      <w:r>
        <w:rPr>
          <w:rFonts w:hint="eastAsia" w:ascii="Times New Roman" w:hAnsi="Times New Roman" w:eastAsia="宋体" w:cs="宋体"/>
          <w:color w:val="auto"/>
          <w:sz w:val="24"/>
          <w:szCs w:val="20"/>
        </w:rPr>
        <w:t>根据项目区气候条件和项目建设的具体实际与特点，统筹安排项目土建工程和设备仪器采购等工作，科学规划，分步实施，以缩短项目建设工期，据此确定项目建设期限、实施进度计划。</w:t>
      </w:r>
    </w:p>
    <w:p w14:paraId="176F2AD3">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eastAsia" w:ascii="Times New Roman" w:hAnsi="Times New Roman" w:eastAsia="宋体" w:cs="宋体"/>
          <w:b/>
          <w:bCs/>
          <w:color w:val="auto"/>
          <w:sz w:val="28"/>
          <w:szCs w:val="28"/>
          <w:lang w:val="en-US" w:eastAsia="zh-CN"/>
        </w:rPr>
      </w:pPr>
      <w:bookmarkStart w:id="141" w:name="_Toc32014"/>
      <w:bookmarkStart w:id="142" w:name="_Toc26226"/>
      <w:bookmarkStart w:id="143" w:name="_Toc27992"/>
      <w:bookmarkStart w:id="144" w:name="_Toc14476"/>
      <w:r>
        <w:rPr>
          <w:rFonts w:hint="eastAsia" w:ascii="Times New Roman" w:hAnsi="Times New Roman" w:eastAsia="宋体" w:cs="宋体"/>
          <w:b/>
          <w:bCs/>
          <w:color w:val="auto"/>
          <w:sz w:val="28"/>
          <w:szCs w:val="28"/>
          <w:lang w:val="en-US" w:eastAsia="zh-CN"/>
        </w:rPr>
        <w:t>1</w:t>
      </w:r>
      <w:r>
        <w:rPr>
          <w:rFonts w:hint="eastAsia" w:ascii="Times New Roman" w:hAnsi="Times New Roman" w:cs="宋体"/>
          <w:b/>
          <w:bCs/>
          <w:color w:val="auto"/>
          <w:sz w:val="28"/>
          <w:szCs w:val="28"/>
          <w:lang w:val="en-US" w:eastAsia="zh-CN"/>
        </w:rPr>
        <w:t>4</w:t>
      </w:r>
      <w:r>
        <w:rPr>
          <w:rFonts w:hint="eastAsia" w:ascii="Times New Roman" w:hAnsi="Times New Roman" w:eastAsia="宋体" w:cs="宋体"/>
          <w:b/>
          <w:bCs/>
          <w:color w:val="auto"/>
          <w:sz w:val="28"/>
          <w:szCs w:val="28"/>
          <w:lang w:val="en-US" w:eastAsia="zh-CN"/>
        </w:rPr>
        <w:t>.1、项目建设期限</w:t>
      </w:r>
      <w:bookmarkEnd w:id="141"/>
      <w:bookmarkEnd w:id="142"/>
      <w:bookmarkEnd w:id="143"/>
      <w:bookmarkEnd w:id="144"/>
    </w:p>
    <w:p w14:paraId="431998E1">
      <w:pPr>
        <w:keepNext w:val="0"/>
        <w:keepLines w:val="0"/>
        <w:pageBreakBefore w:val="0"/>
        <w:widowControl/>
        <w:tabs>
          <w:tab w:val="left" w:pos="1050"/>
        </w:tabs>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本项目</w:t>
      </w:r>
      <w:r>
        <w:rPr>
          <w:rFonts w:hint="eastAsia" w:ascii="Times New Roman" w:hAnsi="Times New Roman" w:eastAsia="宋体" w:cs="宋体"/>
          <w:color w:val="auto"/>
          <w:sz w:val="24"/>
          <w:szCs w:val="24"/>
          <w:lang w:val="en-US" w:eastAsia="zh-CN"/>
        </w:rPr>
        <w:t>计划</w:t>
      </w:r>
      <w:r>
        <w:rPr>
          <w:rFonts w:hint="eastAsia" w:ascii="Times New Roman" w:hAnsi="Times New Roman" w:eastAsia="宋体" w:cs="宋体"/>
          <w:color w:val="auto"/>
          <w:sz w:val="24"/>
          <w:szCs w:val="24"/>
        </w:rPr>
        <w:t>建设</w:t>
      </w:r>
      <w:r>
        <w:rPr>
          <w:rFonts w:hint="eastAsia" w:ascii="Times New Roman" w:hAnsi="Times New Roman" w:eastAsia="宋体" w:cs="宋体"/>
          <w:color w:val="auto"/>
          <w:sz w:val="24"/>
          <w:szCs w:val="24"/>
          <w:lang w:val="en-US" w:eastAsia="zh-CN"/>
        </w:rPr>
        <w:t>时间为2025年6月-2026年1月</w:t>
      </w:r>
      <w:r>
        <w:rPr>
          <w:rFonts w:hint="eastAsia" w:ascii="Times New Roman" w:hAnsi="Times New Roman" w:eastAsia="宋体" w:cs="宋体"/>
          <w:color w:val="auto"/>
          <w:sz w:val="24"/>
          <w:szCs w:val="24"/>
        </w:rPr>
        <w:t>。建议项目单位抓紧前期施工准备工作，确保整个项目土建、设备安装施工任务按计划完成。</w:t>
      </w:r>
    </w:p>
    <w:p w14:paraId="77BF114E">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eastAsia" w:ascii="Times New Roman" w:hAnsi="Times New Roman" w:eastAsia="宋体" w:cs="宋体"/>
          <w:b/>
          <w:bCs/>
          <w:color w:val="auto"/>
          <w:sz w:val="28"/>
          <w:szCs w:val="28"/>
          <w:lang w:val="en-US" w:eastAsia="zh-CN"/>
        </w:rPr>
      </w:pPr>
      <w:bookmarkStart w:id="145" w:name="_Toc6597"/>
      <w:bookmarkStart w:id="146" w:name="_Toc16473"/>
      <w:bookmarkStart w:id="147" w:name="_Toc24335"/>
      <w:bookmarkStart w:id="148" w:name="_Toc32618"/>
      <w:r>
        <w:rPr>
          <w:rFonts w:hint="eastAsia" w:ascii="Times New Roman" w:hAnsi="Times New Roman" w:eastAsia="宋体" w:cs="宋体"/>
          <w:b/>
          <w:bCs/>
          <w:color w:val="auto"/>
          <w:sz w:val="28"/>
          <w:szCs w:val="28"/>
          <w:lang w:val="en-US" w:eastAsia="zh-CN"/>
        </w:rPr>
        <w:t>1</w:t>
      </w:r>
      <w:r>
        <w:rPr>
          <w:rFonts w:hint="eastAsia" w:ascii="Times New Roman" w:hAnsi="Times New Roman" w:cs="宋体"/>
          <w:b/>
          <w:bCs/>
          <w:color w:val="auto"/>
          <w:sz w:val="28"/>
          <w:szCs w:val="28"/>
          <w:lang w:val="en-US" w:eastAsia="zh-CN"/>
        </w:rPr>
        <w:t>4</w:t>
      </w:r>
      <w:r>
        <w:rPr>
          <w:rFonts w:hint="eastAsia" w:ascii="Times New Roman" w:hAnsi="Times New Roman" w:eastAsia="宋体" w:cs="宋体"/>
          <w:b/>
          <w:bCs/>
          <w:color w:val="auto"/>
          <w:sz w:val="28"/>
          <w:szCs w:val="28"/>
          <w:lang w:val="en-US" w:eastAsia="zh-CN"/>
        </w:rPr>
        <w:t>.2、项目实施进度安排</w:t>
      </w:r>
      <w:bookmarkEnd w:id="145"/>
      <w:bookmarkEnd w:id="146"/>
      <w:bookmarkEnd w:id="147"/>
      <w:bookmarkEnd w:id="148"/>
    </w:p>
    <w:p w14:paraId="760A187F">
      <w:pPr>
        <w:pStyle w:val="12"/>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2个月完成项目前期工作；</w:t>
      </w:r>
    </w:p>
    <w:p w14:paraId="3D524818">
      <w:pPr>
        <w:pStyle w:val="12"/>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2个月完成项目初步设计、审定及</w:t>
      </w:r>
      <w:r>
        <w:rPr>
          <w:rFonts w:hint="eastAsia" w:ascii="Times New Roman" w:hAnsi="Times New Roman" w:eastAsia="宋体" w:cs="宋体"/>
          <w:color w:val="auto"/>
          <w:sz w:val="24"/>
          <w:szCs w:val="24"/>
          <w:lang w:eastAsia="zh-CN"/>
        </w:rPr>
        <w:t>批复</w:t>
      </w:r>
      <w:r>
        <w:rPr>
          <w:rFonts w:hint="eastAsia" w:ascii="Times New Roman" w:hAnsi="Times New Roman" w:eastAsia="宋体" w:cs="宋体"/>
          <w:color w:val="auto"/>
          <w:sz w:val="24"/>
          <w:szCs w:val="24"/>
        </w:rPr>
        <w:t>；</w:t>
      </w:r>
    </w:p>
    <w:p w14:paraId="71205C57">
      <w:pPr>
        <w:pStyle w:val="12"/>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Times New Roman" w:hAnsi="Times New Roman" w:eastAsia="宋体" w:cs="宋体"/>
          <w:color w:val="auto"/>
          <w:sz w:val="24"/>
          <w:szCs w:val="24"/>
        </w:rPr>
      </w:pPr>
      <w:bookmarkStart w:id="149" w:name="_Toc20843"/>
      <w:r>
        <w:rPr>
          <w:rFonts w:hint="eastAsia" w:ascii="Times New Roman" w:hAnsi="Times New Roman" w:eastAsia="宋体" w:cs="宋体"/>
          <w:color w:val="auto"/>
          <w:sz w:val="24"/>
          <w:szCs w:val="24"/>
          <w:lang w:val="en-US" w:eastAsia="zh-CN"/>
        </w:rPr>
        <w:t>3</w:t>
      </w:r>
      <w:r>
        <w:rPr>
          <w:rFonts w:hint="eastAsia" w:ascii="Times New Roman" w:hAnsi="Times New Roman" w:eastAsia="宋体" w:cs="宋体"/>
          <w:color w:val="auto"/>
          <w:sz w:val="24"/>
          <w:szCs w:val="24"/>
        </w:rPr>
        <w:t>个月完成建筑工程；</w:t>
      </w:r>
      <w:bookmarkEnd w:id="149"/>
    </w:p>
    <w:p w14:paraId="6F4B9213">
      <w:pPr>
        <w:pStyle w:val="12"/>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Times New Roman" w:hAnsi="Times New Roman" w:eastAsia="宋体" w:cs="宋体"/>
          <w:color w:val="auto"/>
          <w:sz w:val="24"/>
          <w:szCs w:val="24"/>
        </w:rPr>
      </w:pPr>
      <w:bookmarkStart w:id="150" w:name="_Toc9899"/>
      <w:r>
        <w:rPr>
          <w:rFonts w:hint="eastAsia" w:ascii="Times New Roman" w:hAnsi="Times New Roman" w:eastAsia="宋体" w:cs="宋体"/>
          <w:color w:val="auto"/>
          <w:sz w:val="24"/>
          <w:szCs w:val="24"/>
          <w:lang w:val="en-US" w:eastAsia="zh-CN"/>
        </w:rPr>
        <w:t>2</w:t>
      </w:r>
      <w:r>
        <w:rPr>
          <w:rFonts w:hint="eastAsia" w:ascii="Times New Roman" w:hAnsi="Times New Roman" w:eastAsia="宋体" w:cs="宋体"/>
          <w:color w:val="auto"/>
          <w:sz w:val="24"/>
          <w:szCs w:val="24"/>
        </w:rPr>
        <w:t>个月完成设备仪器购置；</w:t>
      </w:r>
      <w:bookmarkEnd w:id="150"/>
    </w:p>
    <w:p w14:paraId="7AB2A424">
      <w:pPr>
        <w:pStyle w:val="12"/>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Times New Roman" w:hAnsi="Times New Roman" w:eastAsia="宋体" w:cs="宋体"/>
          <w:color w:val="auto"/>
          <w:sz w:val="24"/>
          <w:szCs w:val="24"/>
        </w:rPr>
      </w:pPr>
      <w:bookmarkStart w:id="151" w:name="_Toc9219"/>
      <w:r>
        <w:rPr>
          <w:rFonts w:hint="eastAsia" w:ascii="Times New Roman" w:hAnsi="Times New Roman" w:eastAsia="宋体" w:cs="宋体"/>
          <w:color w:val="auto"/>
          <w:sz w:val="24"/>
          <w:szCs w:val="24"/>
          <w:lang w:val="en-US" w:eastAsia="zh-CN"/>
        </w:rPr>
        <w:t>1</w:t>
      </w:r>
      <w:r>
        <w:rPr>
          <w:rFonts w:hint="eastAsia" w:ascii="Times New Roman" w:hAnsi="Times New Roman" w:eastAsia="宋体" w:cs="宋体"/>
          <w:color w:val="auto"/>
          <w:sz w:val="24"/>
          <w:szCs w:val="24"/>
        </w:rPr>
        <w:t>个月完成人员培训；</w:t>
      </w:r>
      <w:bookmarkEnd w:id="151"/>
    </w:p>
    <w:p w14:paraId="28EA72C4">
      <w:pPr>
        <w:pStyle w:val="12"/>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Times New Roman" w:hAnsi="Times New Roman" w:eastAsia="宋体" w:cs="宋体"/>
          <w:color w:val="auto"/>
          <w:sz w:val="24"/>
          <w:szCs w:val="24"/>
        </w:rPr>
      </w:pPr>
      <w:bookmarkStart w:id="152" w:name="_Toc30692"/>
      <w:r>
        <w:rPr>
          <w:rFonts w:hint="eastAsia" w:ascii="Times New Roman" w:hAnsi="Times New Roman" w:eastAsia="宋体" w:cs="宋体"/>
          <w:color w:val="auto"/>
          <w:sz w:val="24"/>
          <w:szCs w:val="24"/>
        </w:rPr>
        <w:t>项目竣工验收、全面投入运行。</w:t>
      </w:r>
      <w:bookmarkEnd w:id="152"/>
    </w:p>
    <w:p w14:paraId="64ECBEE0">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eastAsia" w:ascii="Times New Roman" w:hAnsi="Times New Roman" w:eastAsia="宋体" w:cs="宋体"/>
          <w:b/>
          <w:bCs/>
          <w:color w:val="auto"/>
          <w:sz w:val="28"/>
          <w:szCs w:val="28"/>
          <w:lang w:val="en-US" w:eastAsia="zh-CN"/>
        </w:rPr>
      </w:pPr>
      <w:bookmarkStart w:id="153" w:name="_Toc8134"/>
      <w:bookmarkStart w:id="154" w:name="_Toc23012"/>
      <w:bookmarkStart w:id="155" w:name="_Toc8673"/>
      <w:bookmarkStart w:id="156" w:name="_Toc19851"/>
      <w:r>
        <w:rPr>
          <w:rFonts w:hint="eastAsia" w:ascii="Times New Roman" w:hAnsi="Times New Roman" w:cs="宋体"/>
          <w:b/>
          <w:bCs/>
          <w:color w:val="auto"/>
          <w:sz w:val="28"/>
          <w:szCs w:val="28"/>
          <w:lang w:val="en-US" w:eastAsia="zh-CN"/>
        </w:rPr>
        <w:t>14</w:t>
      </w:r>
      <w:r>
        <w:rPr>
          <w:rFonts w:hint="eastAsia" w:ascii="Times New Roman" w:hAnsi="Times New Roman" w:eastAsia="宋体" w:cs="宋体"/>
          <w:b/>
          <w:bCs/>
          <w:color w:val="auto"/>
          <w:sz w:val="28"/>
          <w:szCs w:val="28"/>
          <w:lang w:val="en-US" w:eastAsia="zh-CN"/>
        </w:rPr>
        <w:t>.3、项目实施进度安排</w:t>
      </w:r>
      <w:bookmarkEnd w:id="153"/>
      <w:bookmarkEnd w:id="154"/>
      <w:bookmarkEnd w:id="155"/>
      <w:bookmarkEnd w:id="156"/>
    </w:p>
    <w:p w14:paraId="15E0B12C">
      <w:pPr>
        <w:pStyle w:val="12"/>
        <w:ind w:left="420" w:leftChars="200" w:right="106" w:firstLine="268" w:firstLineChars="116"/>
        <w:jc w:val="center"/>
        <w:rPr>
          <w:rFonts w:hint="eastAsia" w:ascii="Times New Roman" w:hAnsi="Times New Roman" w:eastAsia="宋体" w:cs="宋体"/>
          <w:b/>
          <w:color w:val="auto"/>
          <w:spacing w:val="-5"/>
          <w:kern w:val="0"/>
          <w:sz w:val="24"/>
          <w:szCs w:val="24"/>
          <w:lang w:val="en-US" w:eastAsia="zh-CN"/>
        </w:rPr>
      </w:pPr>
      <w:bookmarkStart w:id="157" w:name="_Toc3827"/>
      <w:r>
        <w:rPr>
          <w:rFonts w:hint="eastAsia" w:ascii="Times New Roman" w:hAnsi="Times New Roman" w:eastAsia="宋体" w:cs="宋体"/>
          <w:b/>
          <w:color w:val="auto"/>
          <w:spacing w:val="-5"/>
          <w:kern w:val="0"/>
          <w:sz w:val="24"/>
          <w:szCs w:val="24"/>
          <w:lang w:val="en-US" w:eastAsia="zh-CN"/>
        </w:rPr>
        <w:t xml:space="preserve">表14-1   </w:t>
      </w:r>
      <w:r>
        <w:rPr>
          <w:rFonts w:hint="eastAsia" w:ascii="Times New Roman" w:hAnsi="Times New Roman" w:eastAsia="宋体" w:cs="宋体"/>
          <w:b/>
          <w:color w:val="auto"/>
          <w:spacing w:val="-5"/>
          <w:kern w:val="0"/>
          <w:sz w:val="24"/>
          <w:szCs w:val="24"/>
        </w:rPr>
        <w:t>项目实施进度</w:t>
      </w:r>
      <w:bookmarkEnd w:id="157"/>
      <w:r>
        <w:rPr>
          <w:rFonts w:hint="eastAsia" w:ascii="Times New Roman" w:hAnsi="Times New Roman" w:eastAsia="宋体" w:cs="宋体"/>
          <w:b/>
          <w:color w:val="auto"/>
          <w:spacing w:val="-5"/>
          <w:kern w:val="0"/>
          <w:sz w:val="24"/>
          <w:szCs w:val="24"/>
          <w:lang w:val="en-US" w:eastAsia="zh-CN"/>
        </w:rPr>
        <w:t>表</w:t>
      </w:r>
    </w:p>
    <w:tbl>
      <w:tblPr>
        <w:tblStyle w:val="21"/>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2"/>
        <w:gridCol w:w="2391"/>
        <w:gridCol w:w="443"/>
        <w:gridCol w:w="443"/>
        <w:gridCol w:w="443"/>
        <w:gridCol w:w="445"/>
        <w:gridCol w:w="445"/>
        <w:gridCol w:w="445"/>
        <w:gridCol w:w="445"/>
        <w:gridCol w:w="445"/>
        <w:gridCol w:w="445"/>
        <w:gridCol w:w="446"/>
        <w:gridCol w:w="446"/>
        <w:gridCol w:w="479"/>
      </w:tblGrid>
      <w:tr w14:paraId="4C6B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343" w:type="pct"/>
            <w:vMerge w:val="restart"/>
            <w:noWrap w:val="0"/>
            <w:vAlign w:val="center"/>
          </w:tcPr>
          <w:p w14:paraId="5463852F">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b/>
                <w:color w:val="auto"/>
              </w:rPr>
            </w:pPr>
            <w:r>
              <w:rPr>
                <w:rFonts w:hint="eastAsia" w:ascii="Times New Roman" w:hAnsi="Times New Roman" w:eastAsia="宋体" w:cs="宋体"/>
                <w:b/>
                <w:color w:val="auto"/>
              </w:rPr>
              <w:t>序号</w:t>
            </w:r>
          </w:p>
        </w:tc>
        <w:tc>
          <w:tcPr>
            <w:tcW w:w="1434" w:type="pct"/>
            <w:vMerge w:val="restart"/>
            <w:tcBorders>
              <w:tl2br w:val="single" w:color="auto" w:sz="4" w:space="0"/>
            </w:tcBorders>
            <w:noWrap w:val="0"/>
            <w:vAlign w:val="center"/>
          </w:tcPr>
          <w:p w14:paraId="2CEABB5D">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b/>
                <w:color w:val="auto"/>
                <w:lang w:val="en-US" w:eastAsia="zh-CN"/>
              </w:rPr>
            </w:pPr>
            <w:r>
              <w:rPr>
                <w:rFonts w:hint="eastAsia" w:ascii="Times New Roman" w:hAnsi="Times New Roman" w:eastAsia="宋体" w:cs="宋体"/>
                <w:b/>
                <w:color w:val="auto"/>
                <w:lang w:val="en-US" w:eastAsia="zh-CN"/>
              </w:rPr>
              <w:t>时间</w:t>
            </w:r>
          </w:p>
          <w:p w14:paraId="398A6C13">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default" w:ascii="Times New Roman" w:hAnsi="Times New Roman" w:eastAsia="宋体" w:cs="宋体"/>
                <w:b/>
                <w:color w:val="auto"/>
                <w:lang w:val="en-US" w:eastAsia="zh-CN"/>
              </w:rPr>
            </w:pPr>
            <w:r>
              <w:rPr>
                <w:rFonts w:hint="eastAsia" w:ascii="Times New Roman" w:hAnsi="Times New Roman" w:eastAsia="宋体" w:cs="宋体"/>
                <w:b/>
                <w:color w:val="auto"/>
                <w:lang w:val="en-US" w:eastAsia="zh-CN"/>
              </w:rPr>
              <w:t>项目</w:t>
            </w:r>
          </w:p>
        </w:tc>
        <w:tc>
          <w:tcPr>
            <w:tcW w:w="3221" w:type="pct"/>
            <w:gridSpan w:val="12"/>
            <w:noWrap w:val="0"/>
            <w:vAlign w:val="center"/>
          </w:tcPr>
          <w:p w14:paraId="5E494724">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b/>
                <w:color w:val="auto"/>
              </w:rPr>
            </w:pPr>
            <w:r>
              <w:rPr>
                <w:rFonts w:hint="eastAsia" w:ascii="Times New Roman" w:hAnsi="Times New Roman" w:eastAsia="宋体" w:cs="宋体"/>
                <w:b/>
                <w:color w:val="auto"/>
              </w:rPr>
              <w:t>进度所用月数</w:t>
            </w:r>
          </w:p>
        </w:tc>
      </w:tr>
      <w:tr w14:paraId="20C2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43" w:type="pct"/>
            <w:vMerge w:val="continue"/>
            <w:noWrap w:val="0"/>
            <w:vAlign w:val="center"/>
          </w:tcPr>
          <w:p w14:paraId="0EC2807A">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
                <w:szCs w:val="2"/>
              </w:rPr>
            </w:pPr>
          </w:p>
        </w:tc>
        <w:tc>
          <w:tcPr>
            <w:tcW w:w="1434" w:type="pct"/>
            <w:vMerge w:val="continue"/>
            <w:noWrap w:val="0"/>
            <w:vAlign w:val="center"/>
          </w:tcPr>
          <w:p w14:paraId="63CE87CA">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
                <w:szCs w:val="2"/>
              </w:rPr>
            </w:pPr>
          </w:p>
        </w:tc>
        <w:tc>
          <w:tcPr>
            <w:tcW w:w="266" w:type="pct"/>
            <w:noWrap w:val="0"/>
            <w:vAlign w:val="center"/>
          </w:tcPr>
          <w:p w14:paraId="51C66ED5">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b/>
                <w:color w:val="auto"/>
                <w:lang w:val="en-US" w:eastAsia="zh-CN"/>
              </w:rPr>
            </w:pPr>
            <w:r>
              <w:rPr>
                <w:rFonts w:hint="eastAsia" w:eastAsia="宋体" w:cs="宋体"/>
                <w:b/>
                <w:color w:val="auto"/>
                <w:lang w:val="en-US" w:eastAsia="zh-CN"/>
              </w:rPr>
              <w:t>6</w:t>
            </w:r>
          </w:p>
        </w:tc>
        <w:tc>
          <w:tcPr>
            <w:tcW w:w="266" w:type="pct"/>
            <w:noWrap w:val="0"/>
            <w:vAlign w:val="center"/>
          </w:tcPr>
          <w:p w14:paraId="7929304F">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b/>
                <w:color w:val="auto"/>
                <w:lang w:val="en-US" w:eastAsia="zh-CN"/>
              </w:rPr>
            </w:pPr>
            <w:r>
              <w:rPr>
                <w:rFonts w:hint="eastAsia" w:eastAsia="宋体" w:cs="宋体"/>
                <w:b/>
                <w:color w:val="auto"/>
                <w:lang w:val="en-US" w:eastAsia="zh-CN"/>
              </w:rPr>
              <w:t>7</w:t>
            </w:r>
          </w:p>
        </w:tc>
        <w:tc>
          <w:tcPr>
            <w:tcW w:w="266" w:type="pct"/>
            <w:noWrap w:val="0"/>
            <w:vAlign w:val="center"/>
          </w:tcPr>
          <w:p w14:paraId="599249A8">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b/>
                <w:color w:val="auto"/>
                <w:lang w:val="en-US" w:eastAsia="zh-CN"/>
              </w:rPr>
            </w:pPr>
            <w:r>
              <w:rPr>
                <w:rFonts w:hint="eastAsia" w:eastAsia="宋体" w:cs="宋体"/>
                <w:b/>
                <w:color w:val="auto"/>
                <w:lang w:val="en-US" w:eastAsia="zh-CN"/>
              </w:rPr>
              <w:t>8</w:t>
            </w:r>
          </w:p>
        </w:tc>
        <w:tc>
          <w:tcPr>
            <w:tcW w:w="267" w:type="pct"/>
            <w:noWrap w:val="0"/>
            <w:vAlign w:val="center"/>
          </w:tcPr>
          <w:p w14:paraId="074CA547">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b/>
                <w:color w:val="auto"/>
                <w:lang w:val="en-US" w:eastAsia="zh-CN"/>
              </w:rPr>
            </w:pPr>
            <w:r>
              <w:rPr>
                <w:rFonts w:hint="eastAsia" w:eastAsia="宋体" w:cs="宋体"/>
                <w:b/>
                <w:color w:val="auto"/>
                <w:lang w:val="en-US" w:eastAsia="zh-CN"/>
              </w:rPr>
              <w:t>9</w:t>
            </w:r>
          </w:p>
        </w:tc>
        <w:tc>
          <w:tcPr>
            <w:tcW w:w="267" w:type="pct"/>
            <w:noWrap w:val="0"/>
            <w:vAlign w:val="center"/>
          </w:tcPr>
          <w:p w14:paraId="1BD823FB">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default" w:ascii="Times New Roman" w:hAnsi="Times New Roman" w:eastAsia="宋体" w:cs="宋体"/>
                <w:b/>
                <w:color w:val="auto"/>
                <w:lang w:val="en-US" w:eastAsia="zh-CN"/>
              </w:rPr>
            </w:pPr>
            <w:r>
              <w:rPr>
                <w:rFonts w:hint="eastAsia" w:eastAsia="宋体" w:cs="宋体"/>
                <w:b/>
                <w:color w:val="auto"/>
                <w:lang w:val="en-US" w:eastAsia="zh-CN"/>
              </w:rPr>
              <w:t>10</w:t>
            </w:r>
          </w:p>
        </w:tc>
        <w:tc>
          <w:tcPr>
            <w:tcW w:w="267" w:type="pct"/>
            <w:noWrap w:val="0"/>
            <w:vAlign w:val="center"/>
          </w:tcPr>
          <w:p w14:paraId="728FB972">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default" w:ascii="Times New Roman" w:hAnsi="Times New Roman" w:eastAsia="宋体" w:cs="宋体"/>
                <w:b/>
                <w:color w:val="auto"/>
                <w:lang w:val="en-US" w:eastAsia="zh-CN"/>
              </w:rPr>
            </w:pPr>
            <w:r>
              <w:rPr>
                <w:rFonts w:hint="eastAsia" w:eastAsia="宋体" w:cs="宋体"/>
                <w:b/>
                <w:color w:val="auto"/>
                <w:lang w:val="en-US" w:eastAsia="zh-CN"/>
              </w:rPr>
              <w:t>11</w:t>
            </w:r>
          </w:p>
        </w:tc>
        <w:tc>
          <w:tcPr>
            <w:tcW w:w="267" w:type="pct"/>
            <w:noWrap w:val="0"/>
            <w:vAlign w:val="center"/>
          </w:tcPr>
          <w:p w14:paraId="4B521E46">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default" w:ascii="Times New Roman" w:hAnsi="Times New Roman" w:eastAsia="宋体" w:cs="宋体"/>
                <w:b/>
                <w:color w:val="auto"/>
                <w:lang w:val="en-US" w:eastAsia="zh-CN"/>
              </w:rPr>
            </w:pPr>
            <w:r>
              <w:rPr>
                <w:rFonts w:hint="eastAsia" w:eastAsia="宋体" w:cs="宋体"/>
                <w:b/>
                <w:color w:val="auto"/>
                <w:lang w:val="en-US" w:eastAsia="zh-CN"/>
              </w:rPr>
              <w:t>12</w:t>
            </w:r>
          </w:p>
        </w:tc>
        <w:tc>
          <w:tcPr>
            <w:tcW w:w="267" w:type="pct"/>
            <w:noWrap w:val="0"/>
            <w:vAlign w:val="center"/>
          </w:tcPr>
          <w:p w14:paraId="6B26698F">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default" w:ascii="Times New Roman" w:hAnsi="Times New Roman" w:eastAsia="宋体" w:cs="宋体"/>
                <w:b/>
                <w:color w:val="auto"/>
                <w:lang w:val="en-US" w:eastAsia="zh-CN"/>
              </w:rPr>
            </w:pPr>
            <w:r>
              <w:rPr>
                <w:rFonts w:hint="eastAsia" w:eastAsia="宋体" w:cs="宋体"/>
                <w:b/>
                <w:color w:val="auto"/>
                <w:lang w:val="en-US" w:eastAsia="zh-CN"/>
              </w:rPr>
              <w:t>1</w:t>
            </w:r>
          </w:p>
        </w:tc>
        <w:tc>
          <w:tcPr>
            <w:tcW w:w="267" w:type="pct"/>
            <w:noWrap w:val="0"/>
            <w:vAlign w:val="center"/>
          </w:tcPr>
          <w:p w14:paraId="12ADA1C3">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b/>
                <w:color w:val="auto"/>
                <w:lang w:val="en-US" w:eastAsia="zh-CN"/>
              </w:rPr>
            </w:pPr>
            <w:r>
              <w:rPr>
                <w:rFonts w:hint="eastAsia" w:eastAsia="宋体" w:cs="宋体"/>
                <w:b/>
                <w:color w:val="auto"/>
                <w:lang w:val="en-US" w:eastAsia="zh-CN"/>
              </w:rPr>
              <w:t>2</w:t>
            </w:r>
          </w:p>
        </w:tc>
        <w:tc>
          <w:tcPr>
            <w:tcW w:w="267" w:type="pct"/>
            <w:noWrap w:val="0"/>
            <w:vAlign w:val="center"/>
          </w:tcPr>
          <w:p w14:paraId="37698F22">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b/>
                <w:color w:val="auto"/>
                <w:lang w:val="en-US" w:eastAsia="zh-CN"/>
              </w:rPr>
            </w:pPr>
            <w:r>
              <w:rPr>
                <w:rFonts w:hint="eastAsia" w:eastAsia="宋体" w:cs="宋体"/>
                <w:b/>
                <w:color w:val="auto"/>
                <w:lang w:val="en-US" w:eastAsia="zh-CN"/>
              </w:rPr>
              <w:t>3</w:t>
            </w:r>
          </w:p>
        </w:tc>
        <w:tc>
          <w:tcPr>
            <w:tcW w:w="267" w:type="pct"/>
            <w:noWrap w:val="0"/>
            <w:vAlign w:val="center"/>
          </w:tcPr>
          <w:p w14:paraId="72F29B87">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b/>
                <w:color w:val="auto"/>
                <w:lang w:val="en-US" w:eastAsia="zh-CN"/>
              </w:rPr>
            </w:pPr>
            <w:r>
              <w:rPr>
                <w:rFonts w:hint="eastAsia" w:eastAsia="宋体" w:cs="宋体"/>
                <w:b/>
                <w:color w:val="auto"/>
                <w:lang w:val="en-US" w:eastAsia="zh-CN"/>
              </w:rPr>
              <w:t>4</w:t>
            </w:r>
          </w:p>
        </w:tc>
        <w:tc>
          <w:tcPr>
            <w:tcW w:w="282" w:type="pct"/>
            <w:noWrap w:val="0"/>
            <w:vAlign w:val="center"/>
          </w:tcPr>
          <w:p w14:paraId="32871711">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b/>
                <w:color w:val="auto"/>
                <w:lang w:val="en-US" w:eastAsia="zh-CN"/>
              </w:rPr>
            </w:pPr>
            <w:r>
              <w:rPr>
                <w:rFonts w:hint="eastAsia" w:eastAsia="宋体" w:cs="宋体"/>
                <w:b/>
                <w:color w:val="auto"/>
                <w:lang w:val="en-US" w:eastAsia="zh-CN"/>
              </w:rPr>
              <w:t>5</w:t>
            </w:r>
          </w:p>
        </w:tc>
      </w:tr>
      <w:tr w14:paraId="4D48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343" w:type="pct"/>
            <w:noWrap w:val="0"/>
            <w:vAlign w:val="center"/>
          </w:tcPr>
          <w:p w14:paraId="7908B5D7">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rPr>
            </w:pPr>
            <w:r>
              <w:rPr>
                <w:rFonts w:hint="eastAsia" w:ascii="Times New Roman" w:hAnsi="Times New Roman" w:eastAsia="宋体" w:cs="宋体"/>
                <w:color w:val="auto"/>
                <w:w w:val="99"/>
              </w:rPr>
              <w:t>1</w:t>
            </w:r>
          </w:p>
        </w:tc>
        <w:tc>
          <w:tcPr>
            <w:tcW w:w="1434" w:type="pct"/>
            <w:noWrap w:val="0"/>
            <w:vAlign w:val="center"/>
          </w:tcPr>
          <w:p w14:paraId="4FA90BEC">
            <w:pPr>
              <w:pStyle w:val="33"/>
              <w:keepNext w:val="0"/>
              <w:keepLines w:val="0"/>
              <w:pageBreakBefore w:val="0"/>
              <w:widowControl/>
              <w:kinsoku w:val="0"/>
              <w:wordWrap/>
              <w:overflowPunct/>
              <w:topLinePunct w:val="0"/>
              <w:autoSpaceDE w:val="0"/>
              <w:autoSpaceDN w:val="0"/>
              <w:bidi w:val="0"/>
              <w:adjustRightInd w:val="0"/>
              <w:snapToGrid w:val="0"/>
              <w:spacing w:line="258" w:lineRule="exact"/>
              <w:ind w:left="0" w:right="0"/>
              <w:jc w:val="center"/>
              <w:textAlignment w:val="baseline"/>
              <w:rPr>
                <w:rFonts w:hint="eastAsia" w:ascii="Times New Roman" w:hAnsi="Times New Roman" w:eastAsia="宋体" w:cs="宋体"/>
                <w:color w:val="auto"/>
              </w:rPr>
            </w:pPr>
            <w:r>
              <w:rPr>
                <w:rFonts w:hint="eastAsia" w:ascii="Times New Roman" w:hAnsi="Times New Roman" w:eastAsia="宋体" w:cs="宋体"/>
                <w:color w:val="auto"/>
              </w:rPr>
              <w:t>完成项目前期工作</w:t>
            </w:r>
          </w:p>
        </w:tc>
        <w:tc>
          <w:tcPr>
            <w:tcW w:w="266" w:type="pct"/>
            <w:noWrap w:val="0"/>
            <w:vAlign w:val="center"/>
          </w:tcPr>
          <w:p w14:paraId="60EECD8F">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4"/>
                <w:u w:val="thick"/>
              </w:rPr>
            </w:pPr>
            <w:r>
              <w:rPr>
                <w:rFonts w:hint="eastAsia" w:ascii="Times New Roman" w:hAnsi="Times New Roman" w:eastAsia="宋体" w:cs="宋体"/>
                <w:color w:val="auto"/>
                <w:sz w:val="11"/>
                <w:szCs w:val="11"/>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57785</wp:posOffset>
                      </wp:positionV>
                      <wp:extent cx="589280" cy="6350"/>
                      <wp:effectExtent l="635" t="31750" r="635" b="38100"/>
                      <wp:wrapNone/>
                      <wp:docPr id="1" name="直接连接符 1"/>
                      <wp:cNvGraphicFramePr/>
                      <a:graphic xmlns:a="http://schemas.openxmlformats.org/drawingml/2006/main">
                        <a:graphicData uri="http://schemas.microsoft.com/office/word/2010/wordprocessingShape">
                          <wps:wsp>
                            <wps:cNvCnPr/>
                            <wps:spPr>
                              <a:xfrm>
                                <a:off x="0" y="0"/>
                                <a:ext cx="589280" cy="6350"/>
                              </a:xfrm>
                              <a:prstGeom prst="line">
                                <a:avLst/>
                              </a:prstGeom>
                              <a:ln w="635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75pt;margin-top:4.55pt;height:0.5pt;width:46.4pt;z-index:251659264;mso-width-relative:page;mso-height-relative:page;" filled="f" stroked="t" coordsize="21600,21600" o:gfxdata="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5uv2bRAAAABQEAAA8AAAAAAAAAAQAgAAAAIgAAAGRycy9kb3ducmV2LnhtbFBLAQIUABQAAAAI&#10;AIdO4kCHMmNL9AEAAOcDAAAOAAAAAAAAAAEAIAAAACABAABkcnMvZTJvRG9jLnhtbFBLBQYAAAAA&#10;BgAGAFkBAACGBQAAAAA=&#10;">
                      <v:fill on="f" focussize="0,0"/>
                      <v:stroke weight="5pt" color="#000000" joinstyle="round"/>
                      <v:imagedata o:title=""/>
                      <o:lock v:ext="edit" aspectratio="f"/>
                    </v:line>
                  </w:pict>
                </mc:Fallback>
              </mc:AlternateContent>
            </w:r>
          </w:p>
        </w:tc>
        <w:tc>
          <w:tcPr>
            <w:tcW w:w="266" w:type="pct"/>
            <w:noWrap w:val="0"/>
            <w:vAlign w:val="center"/>
          </w:tcPr>
          <w:p w14:paraId="3C571335">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u w:val="thick"/>
              </w:rPr>
            </w:pPr>
          </w:p>
        </w:tc>
        <w:tc>
          <w:tcPr>
            <w:tcW w:w="266" w:type="pct"/>
            <w:noWrap w:val="0"/>
            <w:vAlign w:val="center"/>
          </w:tcPr>
          <w:p w14:paraId="0865827E">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0EEA9101">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737EEBF1">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35EB3CA6">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6AFF21DA">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58CFC7D9">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580205DD">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13437F86">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25347243">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82" w:type="pct"/>
            <w:noWrap w:val="0"/>
            <w:vAlign w:val="center"/>
          </w:tcPr>
          <w:p w14:paraId="2618F6F0">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r>
      <w:tr w14:paraId="6244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343" w:type="pct"/>
            <w:noWrap w:val="0"/>
            <w:vAlign w:val="center"/>
          </w:tcPr>
          <w:p w14:paraId="14CB97B3">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rPr>
            </w:pPr>
            <w:r>
              <w:rPr>
                <w:rFonts w:hint="eastAsia" w:ascii="Times New Roman" w:hAnsi="Times New Roman" w:eastAsia="宋体" w:cs="宋体"/>
                <w:color w:val="auto"/>
                <w:w w:val="99"/>
              </w:rPr>
              <w:t>2</w:t>
            </w:r>
          </w:p>
        </w:tc>
        <w:tc>
          <w:tcPr>
            <w:tcW w:w="1434" w:type="pct"/>
            <w:noWrap w:val="0"/>
            <w:vAlign w:val="center"/>
          </w:tcPr>
          <w:p w14:paraId="73CA853A">
            <w:pPr>
              <w:pStyle w:val="33"/>
              <w:keepNext w:val="0"/>
              <w:keepLines w:val="0"/>
              <w:pageBreakBefore w:val="0"/>
              <w:widowControl/>
              <w:kinsoku w:val="0"/>
              <w:wordWrap/>
              <w:overflowPunct/>
              <w:topLinePunct w:val="0"/>
              <w:autoSpaceDE w:val="0"/>
              <w:autoSpaceDN w:val="0"/>
              <w:bidi w:val="0"/>
              <w:adjustRightInd w:val="0"/>
              <w:snapToGrid w:val="0"/>
              <w:spacing w:line="260" w:lineRule="exact"/>
              <w:ind w:left="0" w:right="0"/>
              <w:jc w:val="center"/>
              <w:textAlignment w:val="baseline"/>
              <w:rPr>
                <w:rFonts w:hint="default" w:ascii="Times New Roman" w:hAnsi="Times New Roman" w:eastAsia="宋体" w:cs="宋体"/>
                <w:color w:val="auto"/>
                <w:lang w:val="en-US" w:eastAsia="zh-CN"/>
              </w:rPr>
            </w:pPr>
            <w:r>
              <w:rPr>
                <w:rFonts w:hint="eastAsia" w:ascii="Times New Roman" w:hAnsi="Times New Roman" w:eastAsia="宋体" w:cs="宋体"/>
                <w:color w:val="auto"/>
              </w:rPr>
              <w:t>初步设计</w:t>
            </w:r>
            <w:r>
              <w:rPr>
                <w:rFonts w:hint="eastAsia" w:ascii="Times New Roman" w:hAnsi="Times New Roman" w:eastAsia="宋体" w:cs="宋体"/>
                <w:color w:val="auto"/>
                <w:lang w:eastAsia="zh-CN"/>
              </w:rPr>
              <w:t>、</w:t>
            </w:r>
            <w:r>
              <w:rPr>
                <w:rFonts w:hint="eastAsia" w:ascii="Times New Roman" w:hAnsi="Times New Roman" w:eastAsia="宋体" w:cs="宋体"/>
                <w:color w:val="auto"/>
                <w:lang w:val="en-US" w:eastAsia="zh-CN"/>
              </w:rPr>
              <w:t>审定及批复</w:t>
            </w:r>
          </w:p>
        </w:tc>
        <w:tc>
          <w:tcPr>
            <w:tcW w:w="266" w:type="pct"/>
            <w:noWrap w:val="0"/>
            <w:vAlign w:val="center"/>
          </w:tcPr>
          <w:p w14:paraId="57C23141">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6" w:type="pct"/>
            <w:noWrap w:val="0"/>
            <w:vAlign w:val="center"/>
          </w:tcPr>
          <w:p w14:paraId="6973EE75">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4"/>
              </w:rPr>
            </w:pPr>
          </w:p>
        </w:tc>
        <w:tc>
          <w:tcPr>
            <w:tcW w:w="266" w:type="pct"/>
            <w:noWrap w:val="0"/>
            <w:vAlign w:val="center"/>
          </w:tcPr>
          <w:p w14:paraId="33EFC88F">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r>
              <w:rPr>
                <w:rFonts w:hint="eastAsia" w:ascii="Times New Roman" w:hAnsi="Times New Roman" w:eastAsia="宋体" w:cs="宋体"/>
                <w:color w:val="auto"/>
                <w:sz w:val="11"/>
                <w:szCs w:val="11"/>
              </w:rPr>
              <mc:AlternateContent>
                <mc:Choice Requires="wps">
                  <w:drawing>
                    <wp:anchor distT="0" distB="0" distL="114300" distR="114300" simplePos="0" relativeHeight="251665408" behindDoc="0" locked="0" layoutInCell="1" allowOverlap="1">
                      <wp:simplePos x="0" y="0"/>
                      <wp:positionH relativeFrom="column">
                        <wp:posOffset>7620</wp:posOffset>
                      </wp:positionH>
                      <wp:positionV relativeFrom="paragraph">
                        <wp:posOffset>85090</wp:posOffset>
                      </wp:positionV>
                      <wp:extent cx="554355" cy="6350"/>
                      <wp:effectExtent l="635" t="31750" r="16510" b="38100"/>
                      <wp:wrapNone/>
                      <wp:docPr id="12" name="直接连接符 12"/>
                      <wp:cNvGraphicFramePr/>
                      <a:graphic xmlns:a="http://schemas.openxmlformats.org/drawingml/2006/main">
                        <a:graphicData uri="http://schemas.microsoft.com/office/word/2010/wordprocessingShape">
                          <wps:wsp>
                            <wps:cNvCnPr/>
                            <wps:spPr>
                              <a:xfrm>
                                <a:off x="0" y="0"/>
                                <a:ext cx="554355" cy="6350"/>
                              </a:xfrm>
                              <a:prstGeom prst="line">
                                <a:avLst/>
                              </a:prstGeom>
                              <a:ln w="635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6pt;margin-top:6.7pt;height:0.5pt;width:43.65pt;z-index:251665408;mso-width-relative:page;mso-height-relative:page;" filled="f" stroked="t" coordsize="21600,21600" o:gfxdata="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KWThv0gAAAAYBAAAPAAAAAAAAAAEAIAAAACIAAABkcnMvZG93bnJldi54bWxQSwECFAAU&#10;AAAACACHTuJA3u9LXfcBAADpAwAADgAAAAAAAAABACAAAAAhAQAAZHJzL2Uyb0RvYy54bWxQSwUG&#10;AAAAAAYABgBZAQAAigUAAAAA&#10;">
                      <v:fill on="f" focussize="0,0"/>
                      <v:stroke weight="5pt" color="#000000" joinstyle="round"/>
                      <v:imagedata o:title=""/>
                      <o:lock v:ext="edit" aspectratio="f"/>
                    </v:line>
                  </w:pict>
                </mc:Fallback>
              </mc:AlternateContent>
            </w:r>
          </w:p>
        </w:tc>
        <w:tc>
          <w:tcPr>
            <w:tcW w:w="267" w:type="pct"/>
            <w:noWrap w:val="0"/>
            <w:vAlign w:val="center"/>
          </w:tcPr>
          <w:p w14:paraId="638B1DBA">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4904A4B0">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36378AAD">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7CF6F3FE">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59103928">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244EBB27">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46E80287">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5948A3E1">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82" w:type="pct"/>
            <w:noWrap w:val="0"/>
            <w:vAlign w:val="center"/>
          </w:tcPr>
          <w:p w14:paraId="388321A3">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r>
      <w:tr w14:paraId="51DB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343" w:type="pct"/>
            <w:noWrap w:val="0"/>
            <w:vAlign w:val="center"/>
          </w:tcPr>
          <w:p w14:paraId="169F8029">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rPr>
            </w:pPr>
            <w:r>
              <w:rPr>
                <w:rFonts w:hint="eastAsia" w:ascii="Times New Roman" w:hAnsi="Times New Roman" w:eastAsia="宋体" w:cs="宋体"/>
                <w:color w:val="auto"/>
                <w:w w:val="99"/>
              </w:rPr>
              <w:t>3</w:t>
            </w:r>
          </w:p>
        </w:tc>
        <w:tc>
          <w:tcPr>
            <w:tcW w:w="1434" w:type="pct"/>
            <w:noWrap w:val="0"/>
            <w:vAlign w:val="center"/>
          </w:tcPr>
          <w:p w14:paraId="73BB315E">
            <w:pPr>
              <w:pStyle w:val="33"/>
              <w:keepNext w:val="0"/>
              <w:keepLines w:val="0"/>
              <w:pageBreakBefore w:val="0"/>
              <w:widowControl/>
              <w:kinsoku w:val="0"/>
              <w:wordWrap/>
              <w:overflowPunct/>
              <w:topLinePunct w:val="0"/>
              <w:autoSpaceDE w:val="0"/>
              <w:autoSpaceDN w:val="0"/>
              <w:bidi w:val="0"/>
              <w:adjustRightInd w:val="0"/>
              <w:snapToGrid w:val="0"/>
              <w:spacing w:line="258" w:lineRule="exact"/>
              <w:ind w:left="0" w:right="0"/>
              <w:jc w:val="center"/>
              <w:textAlignment w:val="baseline"/>
              <w:rPr>
                <w:rFonts w:hint="eastAsia" w:ascii="Times New Roman" w:hAnsi="Times New Roman" w:eastAsia="宋体" w:cs="宋体"/>
                <w:color w:val="auto"/>
              </w:rPr>
            </w:pPr>
            <w:r>
              <w:rPr>
                <w:rFonts w:hint="eastAsia" w:ascii="Times New Roman" w:hAnsi="Times New Roman" w:eastAsia="宋体" w:cs="宋体"/>
                <w:color w:val="auto"/>
              </w:rPr>
              <w:t>建筑工程</w:t>
            </w:r>
          </w:p>
        </w:tc>
        <w:tc>
          <w:tcPr>
            <w:tcW w:w="266" w:type="pct"/>
            <w:noWrap w:val="0"/>
            <w:vAlign w:val="center"/>
          </w:tcPr>
          <w:p w14:paraId="2569F5DD">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6" w:type="pct"/>
            <w:noWrap w:val="0"/>
            <w:vAlign w:val="center"/>
          </w:tcPr>
          <w:p w14:paraId="206379B4">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6" w:type="pct"/>
            <w:noWrap w:val="0"/>
            <w:vAlign w:val="center"/>
          </w:tcPr>
          <w:p w14:paraId="259CF627">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
              </w:rPr>
            </w:pPr>
          </w:p>
        </w:tc>
        <w:tc>
          <w:tcPr>
            <w:tcW w:w="267" w:type="pct"/>
            <w:noWrap w:val="0"/>
            <w:vAlign w:val="center"/>
          </w:tcPr>
          <w:p w14:paraId="544E8411">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
              </w:rPr>
            </w:pPr>
          </w:p>
        </w:tc>
        <w:tc>
          <w:tcPr>
            <w:tcW w:w="267" w:type="pct"/>
            <w:noWrap w:val="0"/>
            <w:vAlign w:val="center"/>
          </w:tcPr>
          <w:p w14:paraId="663FF71D">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
              </w:rPr>
            </w:pPr>
            <w:r>
              <w:rPr>
                <w:rFonts w:hint="eastAsia" w:ascii="Times New Roman" w:hAnsi="Times New Roman" w:eastAsia="宋体" w:cs="宋体"/>
                <w:color w:val="auto"/>
                <w:sz w:val="20"/>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96520</wp:posOffset>
                      </wp:positionV>
                      <wp:extent cx="838835" cy="8255"/>
                      <wp:effectExtent l="0" t="13970" r="18415" b="34925"/>
                      <wp:wrapNone/>
                      <wp:docPr id="3" name="直接连接符 3"/>
                      <wp:cNvGraphicFramePr/>
                      <a:graphic xmlns:a="http://schemas.openxmlformats.org/drawingml/2006/main">
                        <a:graphicData uri="http://schemas.microsoft.com/office/word/2010/wordprocessingShape">
                          <wps:wsp>
                            <wps:cNvCnPr/>
                            <wps:spPr>
                              <a:xfrm flipV="1">
                                <a:off x="0" y="0"/>
                                <a:ext cx="838835" cy="8255"/>
                              </a:xfrm>
                              <a:prstGeom prst="line">
                                <a:avLst/>
                              </a:prstGeom>
                              <a:ln w="635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25pt;margin-top:7.6pt;height:0.65pt;width:66.05pt;z-index:251660288;mso-width-relative:page;mso-height-relative:page;" filled="f" stroked="t" coordsize="21600,21600" o:gfxdata="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Vl5Z1wAAAAcBAAAPAAAAAAAAAAEAIAAAACIAAABkcnMvZG93bnJl&#10;di54bWxQSwECFAAUAAAACACHTuJAe3inPf4BAADxAwAADgAAAAAAAAABACAAAAAmAQAAZHJzL2Uy&#10;b0RvYy54bWxQSwUGAAAAAAYABgBZAQAAlgUAAAAA&#10;">
                      <v:fill on="f" focussize="0,0"/>
                      <v:stroke weight="5pt" color="#000000" joinstyle="round"/>
                      <v:imagedata o:title=""/>
                      <o:lock v:ext="edit" aspectratio="f"/>
                    </v:line>
                  </w:pict>
                </mc:Fallback>
              </mc:AlternateContent>
            </w:r>
          </w:p>
        </w:tc>
        <w:tc>
          <w:tcPr>
            <w:tcW w:w="267" w:type="pct"/>
            <w:noWrap w:val="0"/>
            <w:vAlign w:val="center"/>
          </w:tcPr>
          <w:p w14:paraId="16670E15">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
              </w:rPr>
            </w:pPr>
          </w:p>
        </w:tc>
        <w:tc>
          <w:tcPr>
            <w:tcW w:w="267" w:type="pct"/>
            <w:noWrap w:val="0"/>
            <w:vAlign w:val="center"/>
          </w:tcPr>
          <w:p w14:paraId="3C5FF5D2">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
              </w:rPr>
            </w:pPr>
          </w:p>
        </w:tc>
        <w:tc>
          <w:tcPr>
            <w:tcW w:w="267" w:type="pct"/>
            <w:noWrap w:val="0"/>
            <w:vAlign w:val="center"/>
          </w:tcPr>
          <w:p w14:paraId="0223C421">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
              </w:rPr>
            </w:pPr>
          </w:p>
        </w:tc>
        <w:tc>
          <w:tcPr>
            <w:tcW w:w="267" w:type="pct"/>
            <w:noWrap w:val="0"/>
            <w:vAlign w:val="center"/>
          </w:tcPr>
          <w:p w14:paraId="2E773BBE">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2C296404">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18BB1D7E">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82" w:type="pct"/>
            <w:noWrap w:val="0"/>
            <w:vAlign w:val="center"/>
          </w:tcPr>
          <w:p w14:paraId="505F10D2">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r>
      <w:tr w14:paraId="03B8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trPr>
        <w:tc>
          <w:tcPr>
            <w:tcW w:w="343" w:type="pct"/>
            <w:noWrap w:val="0"/>
            <w:vAlign w:val="center"/>
          </w:tcPr>
          <w:p w14:paraId="35553D39">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rPr>
            </w:pPr>
            <w:r>
              <w:rPr>
                <w:rFonts w:hint="eastAsia" w:ascii="Times New Roman" w:hAnsi="Times New Roman" w:eastAsia="宋体" w:cs="宋体"/>
                <w:color w:val="auto"/>
                <w:w w:val="99"/>
              </w:rPr>
              <w:t>4</w:t>
            </w:r>
          </w:p>
        </w:tc>
        <w:tc>
          <w:tcPr>
            <w:tcW w:w="1434" w:type="pct"/>
            <w:noWrap w:val="0"/>
            <w:vAlign w:val="center"/>
          </w:tcPr>
          <w:p w14:paraId="1E1E21C7">
            <w:pPr>
              <w:pStyle w:val="33"/>
              <w:keepNext w:val="0"/>
              <w:keepLines w:val="0"/>
              <w:pageBreakBefore w:val="0"/>
              <w:widowControl/>
              <w:kinsoku w:val="0"/>
              <w:wordWrap/>
              <w:overflowPunct/>
              <w:topLinePunct w:val="0"/>
              <w:autoSpaceDE w:val="0"/>
              <w:autoSpaceDN w:val="0"/>
              <w:bidi w:val="0"/>
              <w:adjustRightInd w:val="0"/>
              <w:snapToGrid w:val="0"/>
              <w:spacing w:line="260" w:lineRule="exact"/>
              <w:ind w:left="0" w:right="0"/>
              <w:jc w:val="center"/>
              <w:textAlignment w:val="baseline"/>
              <w:rPr>
                <w:rFonts w:hint="eastAsia" w:ascii="Times New Roman" w:hAnsi="Times New Roman" w:eastAsia="宋体" w:cs="宋体"/>
                <w:color w:val="auto"/>
              </w:rPr>
            </w:pPr>
            <w:r>
              <w:rPr>
                <w:rFonts w:hint="eastAsia" w:ascii="Times New Roman" w:hAnsi="Times New Roman" w:eastAsia="宋体" w:cs="宋体"/>
                <w:color w:val="auto"/>
              </w:rPr>
              <w:t>设备购置及安装</w:t>
            </w:r>
          </w:p>
        </w:tc>
        <w:tc>
          <w:tcPr>
            <w:tcW w:w="266" w:type="pct"/>
            <w:noWrap w:val="0"/>
            <w:vAlign w:val="center"/>
          </w:tcPr>
          <w:p w14:paraId="609113B9">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6" w:type="pct"/>
            <w:noWrap w:val="0"/>
            <w:vAlign w:val="center"/>
          </w:tcPr>
          <w:p w14:paraId="2A30A09A">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6" w:type="pct"/>
            <w:noWrap w:val="0"/>
            <w:vAlign w:val="center"/>
          </w:tcPr>
          <w:p w14:paraId="173CF30E">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65B9E9CA">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0792815E">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6E7EFCAB">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r>
              <w:rPr>
                <w:rFonts w:hint="eastAsia" w:ascii="Times New Roman" w:hAnsi="Times New Roman" w:eastAsia="宋体" w:cs="宋体"/>
                <w:color w:val="auto"/>
                <w:sz w:val="20"/>
              </w:rPr>
              <mc:AlternateContent>
                <mc:Choice Requires="wps">
                  <w:drawing>
                    <wp:anchor distT="0" distB="0" distL="114300" distR="114300" simplePos="0" relativeHeight="251664384" behindDoc="0" locked="0" layoutInCell="1" allowOverlap="1">
                      <wp:simplePos x="0" y="0"/>
                      <wp:positionH relativeFrom="column">
                        <wp:posOffset>272415</wp:posOffset>
                      </wp:positionH>
                      <wp:positionV relativeFrom="paragraph">
                        <wp:posOffset>99060</wp:posOffset>
                      </wp:positionV>
                      <wp:extent cx="568960" cy="0"/>
                      <wp:effectExtent l="0" t="31750" r="2540" b="44450"/>
                      <wp:wrapNone/>
                      <wp:docPr id="8" name="直接连接符 8"/>
                      <wp:cNvGraphicFramePr/>
                      <a:graphic xmlns:a="http://schemas.openxmlformats.org/drawingml/2006/main">
                        <a:graphicData uri="http://schemas.microsoft.com/office/word/2010/wordprocessingShape">
                          <wps:wsp>
                            <wps:cNvCnPr/>
                            <wps:spPr>
                              <a:xfrm>
                                <a:off x="0" y="0"/>
                                <a:ext cx="568960" cy="0"/>
                              </a:xfrm>
                              <a:prstGeom prst="line">
                                <a:avLst/>
                              </a:prstGeom>
                              <a:ln w="635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45pt;margin-top:7.8pt;height:0pt;width:44.8pt;z-index:251664384;mso-width-relative:page;mso-height-relative:page;" filled="f" stroked="t" coordsize="21600,21600" o:gfxdata="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b6hZdMAAAAIAQAADwAAAAAAAAABACAAAAAiAAAAZHJzL2Rvd25yZXYueG1sUEsBAhQAFAAA&#10;AAgAh07iQDnTlib0AQAA5AMAAA4AAAAAAAAAAQAgAAAAIgEAAGRycy9lMm9Eb2MueG1sUEsFBgAA&#10;AAAGAAYAWQEAAIgFAAAAAA==&#10;">
                      <v:fill on="f" focussize="0,0"/>
                      <v:stroke weight="5pt" color="#000000" joinstyle="round"/>
                      <v:imagedata o:title=""/>
                      <o:lock v:ext="edit" aspectratio="f"/>
                    </v:line>
                  </w:pict>
                </mc:Fallback>
              </mc:AlternateContent>
            </w:r>
          </w:p>
        </w:tc>
        <w:tc>
          <w:tcPr>
            <w:tcW w:w="267" w:type="pct"/>
            <w:noWrap w:val="0"/>
            <w:vAlign w:val="center"/>
          </w:tcPr>
          <w:p w14:paraId="6F1735EC">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4F89123D">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6"/>
              </w:rPr>
            </w:pPr>
          </w:p>
        </w:tc>
        <w:tc>
          <w:tcPr>
            <w:tcW w:w="267" w:type="pct"/>
            <w:noWrap w:val="0"/>
            <w:vAlign w:val="center"/>
          </w:tcPr>
          <w:p w14:paraId="28132319">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6"/>
              </w:rPr>
            </w:pPr>
          </w:p>
        </w:tc>
        <w:tc>
          <w:tcPr>
            <w:tcW w:w="267" w:type="pct"/>
            <w:noWrap w:val="0"/>
            <w:vAlign w:val="center"/>
          </w:tcPr>
          <w:p w14:paraId="3C399DA3">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6"/>
              </w:rPr>
            </w:pPr>
          </w:p>
        </w:tc>
        <w:tc>
          <w:tcPr>
            <w:tcW w:w="267" w:type="pct"/>
            <w:noWrap w:val="0"/>
            <w:vAlign w:val="center"/>
          </w:tcPr>
          <w:p w14:paraId="43C5019F">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82" w:type="pct"/>
            <w:noWrap w:val="0"/>
            <w:vAlign w:val="center"/>
          </w:tcPr>
          <w:p w14:paraId="363151C7">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r>
      <w:tr w14:paraId="7550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343" w:type="pct"/>
            <w:noWrap w:val="0"/>
            <w:vAlign w:val="center"/>
          </w:tcPr>
          <w:p w14:paraId="6D2DE051">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rPr>
            </w:pPr>
            <w:r>
              <w:rPr>
                <w:rFonts w:hint="eastAsia" w:ascii="Times New Roman" w:hAnsi="Times New Roman" w:eastAsia="宋体" w:cs="宋体"/>
                <w:color w:val="auto"/>
                <w:w w:val="99"/>
              </w:rPr>
              <w:t>5</w:t>
            </w:r>
          </w:p>
        </w:tc>
        <w:tc>
          <w:tcPr>
            <w:tcW w:w="1434" w:type="pct"/>
            <w:noWrap w:val="0"/>
            <w:vAlign w:val="center"/>
          </w:tcPr>
          <w:p w14:paraId="10E23EDA">
            <w:pPr>
              <w:pStyle w:val="33"/>
              <w:keepNext w:val="0"/>
              <w:keepLines w:val="0"/>
              <w:pageBreakBefore w:val="0"/>
              <w:widowControl/>
              <w:kinsoku w:val="0"/>
              <w:wordWrap/>
              <w:overflowPunct/>
              <w:topLinePunct w:val="0"/>
              <w:autoSpaceDE w:val="0"/>
              <w:autoSpaceDN w:val="0"/>
              <w:bidi w:val="0"/>
              <w:adjustRightInd w:val="0"/>
              <w:snapToGrid w:val="0"/>
              <w:spacing w:line="258" w:lineRule="exact"/>
              <w:ind w:left="0" w:right="0"/>
              <w:jc w:val="center"/>
              <w:textAlignment w:val="baseline"/>
              <w:rPr>
                <w:rFonts w:hint="eastAsia" w:ascii="Times New Roman" w:hAnsi="Times New Roman" w:eastAsia="宋体" w:cs="宋体"/>
                <w:color w:val="auto"/>
              </w:rPr>
            </w:pPr>
            <w:r>
              <w:rPr>
                <w:rFonts w:hint="eastAsia" w:ascii="Times New Roman" w:hAnsi="Times New Roman" w:eastAsia="宋体" w:cs="宋体"/>
                <w:color w:val="auto"/>
              </w:rPr>
              <w:t>人员培训</w:t>
            </w:r>
          </w:p>
        </w:tc>
        <w:tc>
          <w:tcPr>
            <w:tcW w:w="266" w:type="pct"/>
            <w:noWrap w:val="0"/>
            <w:vAlign w:val="center"/>
          </w:tcPr>
          <w:p w14:paraId="3F868406">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6" w:type="pct"/>
            <w:noWrap w:val="0"/>
            <w:vAlign w:val="center"/>
          </w:tcPr>
          <w:p w14:paraId="7A5BA6E8">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6" w:type="pct"/>
            <w:noWrap w:val="0"/>
            <w:vAlign w:val="center"/>
          </w:tcPr>
          <w:p w14:paraId="107EDEC5">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13904B68">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24A9D826">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3D1B79EC">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6BED33A4">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2C1980B0">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r>
              <w:rPr>
                <w:rFonts w:hint="eastAsia" w:ascii="Times New Roman" w:hAnsi="Times New Roman" w:eastAsia="宋体" w:cs="宋体"/>
                <w:color w:val="auto"/>
                <w:sz w:val="20"/>
              </w:rPr>
              <mc:AlternateContent>
                <mc:Choice Requires="wps">
                  <w:drawing>
                    <wp:anchor distT="0" distB="0" distL="114300" distR="114300" simplePos="0" relativeHeight="251662336" behindDoc="0" locked="0" layoutInCell="1" allowOverlap="1">
                      <wp:simplePos x="0" y="0"/>
                      <wp:positionH relativeFrom="column">
                        <wp:posOffset>276860</wp:posOffset>
                      </wp:positionH>
                      <wp:positionV relativeFrom="paragraph">
                        <wp:posOffset>76200</wp:posOffset>
                      </wp:positionV>
                      <wp:extent cx="251460" cy="8255"/>
                      <wp:effectExtent l="1270" t="13970" r="13970" b="34925"/>
                      <wp:wrapNone/>
                      <wp:docPr id="7" name="直接连接符 7"/>
                      <wp:cNvGraphicFramePr/>
                      <a:graphic xmlns:a="http://schemas.openxmlformats.org/drawingml/2006/main">
                        <a:graphicData uri="http://schemas.microsoft.com/office/word/2010/wordprocessingShape">
                          <wps:wsp>
                            <wps:cNvCnPr/>
                            <wps:spPr>
                              <a:xfrm flipV="1">
                                <a:off x="0" y="0"/>
                                <a:ext cx="251460" cy="8255"/>
                              </a:xfrm>
                              <a:prstGeom prst="line">
                                <a:avLst/>
                              </a:prstGeom>
                              <a:ln w="635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1.8pt;margin-top:6pt;height:0.65pt;width:19.8pt;z-index:251662336;mso-width-relative:page;mso-height-relative:page;" filled="f" stroked="t" coordsize="21600,21600" o:gfxdata="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YKIRtYAAAAHAQAADwAAAAAAAAABACAAAAAiAAAAZHJzL2Rvd25yZXYu&#10;eG1sUEsBAhQAFAAAAAgAh07iQARqDQP9AQAA8QMAAA4AAAAAAAAAAQAgAAAAJQEAAGRycy9lMm9E&#10;b2MueG1sUEsFBgAAAAAGAAYAWQEAAJQFAAAAAA==&#10;">
                      <v:fill on="f" focussize="0,0"/>
                      <v:stroke weight="5pt" color="#000000" joinstyle="round"/>
                      <v:imagedata o:title=""/>
                      <o:lock v:ext="edit" aspectratio="f"/>
                    </v:line>
                  </w:pict>
                </mc:Fallback>
              </mc:AlternateContent>
            </w:r>
          </w:p>
        </w:tc>
        <w:tc>
          <w:tcPr>
            <w:tcW w:w="267" w:type="pct"/>
            <w:noWrap w:val="0"/>
            <w:vAlign w:val="center"/>
          </w:tcPr>
          <w:p w14:paraId="50CC62BF">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1AAF0C2F">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4"/>
              </w:rPr>
            </w:pPr>
          </w:p>
        </w:tc>
        <w:tc>
          <w:tcPr>
            <w:tcW w:w="267" w:type="pct"/>
            <w:noWrap w:val="0"/>
            <w:vAlign w:val="center"/>
          </w:tcPr>
          <w:p w14:paraId="14A15FD9">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4"/>
              </w:rPr>
            </w:pPr>
          </w:p>
        </w:tc>
        <w:tc>
          <w:tcPr>
            <w:tcW w:w="282" w:type="pct"/>
            <w:noWrap w:val="0"/>
            <w:vAlign w:val="center"/>
          </w:tcPr>
          <w:p w14:paraId="1575F7B0">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r>
      <w:tr w14:paraId="7DC4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trPr>
        <w:tc>
          <w:tcPr>
            <w:tcW w:w="343" w:type="pct"/>
            <w:noWrap w:val="0"/>
            <w:vAlign w:val="center"/>
          </w:tcPr>
          <w:p w14:paraId="72A12012">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rPr>
            </w:pPr>
            <w:r>
              <w:rPr>
                <w:rFonts w:hint="eastAsia" w:ascii="Times New Roman" w:hAnsi="Times New Roman" w:eastAsia="宋体" w:cs="宋体"/>
                <w:color w:val="auto"/>
                <w:w w:val="99"/>
              </w:rPr>
              <w:t>6</w:t>
            </w:r>
          </w:p>
        </w:tc>
        <w:tc>
          <w:tcPr>
            <w:tcW w:w="1434" w:type="pct"/>
            <w:noWrap w:val="0"/>
            <w:vAlign w:val="center"/>
          </w:tcPr>
          <w:p w14:paraId="1F20643F">
            <w:pPr>
              <w:pStyle w:val="33"/>
              <w:keepNext w:val="0"/>
              <w:keepLines w:val="0"/>
              <w:pageBreakBefore w:val="0"/>
              <w:widowControl/>
              <w:kinsoku w:val="0"/>
              <w:wordWrap/>
              <w:overflowPunct/>
              <w:topLinePunct w:val="0"/>
              <w:autoSpaceDE w:val="0"/>
              <w:autoSpaceDN w:val="0"/>
              <w:bidi w:val="0"/>
              <w:adjustRightInd w:val="0"/>
              <w:snapToGrid w:val="0"/>
              <w:spacing w:line="259" w:lineRule="exact"/>
              <w:ind w:left="0" w:right="0"/>
              <w:jc w:val="center"/>
              <w:textAlignment w:val="baseline"/>
              <w:rPr>
                <w:rFonts w:hint="eastAsia" w:ascii="Times New Roman" w:hAnsi="Times New Roman" w:eastAsia="宋体" w:cs="宋体"/>
                <w:color w:val="auto"/>
              </w:rPr>
            </w:pPr>
            <w:r>
              <w:rPr>
                <w:rFonts w:hint="eastAsia" w:ascii="Times New Roman" w:hAnsi="Times New Roman" w:eastAsia="宋体" w:cs="宋体"/>
                <w:color w:val="auto"/>
              </w:rPr>
              <w:t>竣工验收并投入运行</w:t>
            </w:r>
          </w:p>
        </w:tc>
        <w:tc>
          <w:tcPr>
            <w:tcW w:w="266" w:type="pct"/>
            <w:noWrap w:val="0"/>
            <w:vAlign w:val="center"/>
          </w:tcPr>
          <w:p w14:paraId="16E77BAE">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6" w:type="pct"/>
            <w:noWrap w:val="0"/>
            <w:vAlign w:val="center"/>
          </w:tcPr>
          <w:p w14:paraId="206E50B1">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6" w:type="pct"/>
            <w:noWrap w:val="0"/>
            <w:vAlign w:val="center"/>
          </w:tcPr>
          <w:p w14:paraId="40E09551">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0109C04C">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4EFF7491">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559EA8BC">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780F3949">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0D63FF09">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11D1BC99">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r>
              <w:rPr>
                <w:rFonts w:hint="eastAsia" w:ascii="Times New Roman" w:hAnsi="Times New Roman" w:eastAsia="宋体" w:cs="宋体"/>
                <w:color w:val="auto"/>
                <w:sz w:val="20"/>
              </w:rPr>
              <mc:AlternateContent>
                <mc:Choice Requires="wps">
                  <w:drawing>
                    <wp:anchor distT="0" distB="0" distL="114300" distR="114300" simplePos="0" relativeHeight="251663360" behindDoc="0" locked="0" layoutInCell="1" allowOverlap="1">
                      <wp:simplePos x="0" y="0"/>
                      <wp:positionH relativeFrom="column">
                        <wp:posOffset>235585</wp:posOffset>
                      </wp:positionH>
                      <wp:positionV relativeFrom="paragraph">
                        <wp:posOffset>85090</wp:posOffset>
                      </wp:positionV>
                      <wp:extent cx="911860" cy="8890"/>
                      <wp:effectExtent l="0" t="13970" r="2540" b="34290"/>
                      <wp:wrapNone/>
                      <wp:docPr id="6" name="直接连接符 6"/>
                      <wp:cNvGraphicFramePr/>
                      <a:graphic xmlns:a="http://schemas.openxmlformats.org/drawingml/2006/main">
                        <a:graphicData uri="http://schemas.microsoft.com/office/word/2010/wordprocessingShape">
                          <wps:wsp>
                            <wps:cNvCnPr/>
                            <wps:spPr>
                              <a:xfrm flipV="1">
                                <a:off x="0" y="0"/>
                                <a:ext cx="911860" cy="8890"/>
                              </a:xfrm>
                              <a:prstGeom prst="line">
                                <a:avLst/>
                              </a:prstGeom>
                              <a:ln w="635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8.55pt;margin-top:6.7pt;height:0.7pt;width:71.8pt;z-index:251663360;mso-width-relative:page;mso-height-relative:page;" filled="f" stroked="t" coordsize="21600,21600" o:gfxdata="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Jq+r2QAAAAgBAAAPAAAAAAAAAAEAIAAAACIAAABkcnMvZG93&#10;bnJldi54bWxQSwECFAAUAAAACACHTuJACZC68/8BAADxAwAADgAAAAAAAAABACAAAAAoAQAAZHJz&#10;L2Uyb0RvYy54bWxQSwUGAAAAAAYABgBZAQAAmQUAAAAA&#10;">
                      <v:fill on="f" focussize="0,0"/>
                      <v:stroke weight="5pt" color="#000000" joinstyle="round"/>
                      <v:imagedata o:title=""/>
                      <o:lock v:ext="edit" aspectratio="f"/>
                    </v:line>
                  </w:pict>
                </mc:Fallback>
              </mc:AlternateContent>
            </w:r>
          </w:p>
        </w:tc>
        <w:tc>
          <w:tcPr>
            <w:tcW w:w="267" w:type="pct"/>
            <w:noWrap w:val="0"/>
            <w:vAlign w:val="center"/>
          </w:tcPr>
          <w:p w14:paraId="2E929F92">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67" w:type="pct"/>
            <w:noWrap w:val="0"/>
            <w:vAlign w:val="center"/>
          </w:tcPr>
          <w:p w14:paraId="71366431">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20"/>
              </w:rPr>
            </w:pPr>
          </w:p>
        </w:tc>
        <w:tc>
          <w:tcPr>
            <w:tcW w:w="282" w:type="pct"/>
            <w:noWrap w:val="0"/>
            <w:vAlign w:val="center"/>
          </w:tcPr>
          <w:p w14:paraId="118E08FE">
            <w:pPr>
              <w:pStyle w:val="33"/>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宋体"/>
                <w:color w:val="auto"/>
                <w:sz w:val="4"/>
              </w:rPr>
            </w:pPr>
          </w:p>
        </w:tc>
      </w:tr>
    </w:tbl>
    <w:p w14:paraId="32E67FD7">
      <w:pPr>
        <w:pStyle w:val="13"/>
        <w:rPr>
          <w:rFonts w:hint="eastAsia" w:ascii="Times New Roman" w:hAnsi="Times New Roman" w:eastAsia="宋体" w:cs="宋体"/>
          <w:color w:val="auto"/>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bookmarkEnd w:id="140"/>
    <w:p w14:paraId="485E4B7F">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right="0"/>
        <w:jc w:val="center"/>
        <w:textAlignment w:val="baseline"/>
        <w:rPr>
          <w:rFonts w:hint="default" w:ascii="Times New Roman" w:hAnsi="Times New Roman" w:eastAsia="宋体" w:cs="宋体"/>
          <w:b/>
          <w:color w:val="auto"/>
          <w:sz w:val="30"/>
          <w:szCs w:val="30"/>
          <w:lang w:val="en-US" w:eastAsia="zh-CN"/>
        </w:rPr>
      </w:pPr>
      <w:bookmarkStart w:id="158" w:name="_Toc3717"/>
      <w:r>
        <w:rPr>
          <w:rFonts w:hint="eastAsia" w:ascii="Times New Roman" w:hAnsi="Times New Roman" w:eastAsia="宋体" w:cs="宋体"/>
          <w:color w:val="auto"/>
          <w:sz w:val="30"/>
          <w:szCs w:val="30"/>
          <w:lang w:val="en-US" w:eastAsia="zh-CN"/>
        </w:rPr>
        <w:t>第十五章 投资估算与资金来源</w:t>
      </w:r>
      <w:bookmarkEnd w:id="158"/>
    </w:p>
    <w:p w14:paraId="21A396F9">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ascii="Times New Roman" w:hAnsi="Times New Roman" w:eastAsia="宋体" w:cs="宋体"/>
          <w:color w:val="auto"/>
        </w:rPr>
      </w:pPr>
      <w:bookmarkStart w:id="159" w:name="_Toc16482"/>
      <w:r>
        <w:rPr>
          <w:rFonts w:hint="eastAsia" w:ascii="Times New Roman" w:hAnsi="Times New Roman" w:eastAsia="宋体" w:cs="宋体"/>
          <w:b/>
          <w:bCs/>
          <w:color w:val="auto"/>
          <w:sz w:val="28"/>
          <w:szCs w:val="28"/>
          <w:lang w:val="en-US" w:eastAsia="zh-CN"/>
        </w:rPr>
        <w:t>15.1、投资估算依据</w:t>
      </w:r>
      <w:bookmarkEnd w:id="159"/>
    </w:p>
    <w:p w14:paraId="0B5E14FC">
      <w:pPr>
        <w:keepNext w:val="0"/>
        <w:keepLines w:val="0"/>
        <w:pageBreakBefore w:val="0"/>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（1）</w:t>
      </w:r>
      <w:r>
        <w:rPr>
          <w:rFonts w:hint="default" w:ascii="Times New Roman" w:hAnsi="Times New Roman" w:eastAsia="宋体" w:cs="宋体"/>
          <w:snapToGrid w:val="0"/>
          <w:color w:val="auto"/>
          <w:kern w:val="0"/>
          <w:sz w:val="24"/>
          <w:szCs w:val="24"/>
          <w:lang w:val="en-US" w:eastAsia="zh-CN" w:bidi="ar-SA"/>
        </w:rPr>
        <w:t>国家发展计划委员会计办投资〔2002〕15号文审定出版的《投资项目可行性研究指南（试用版）》；</w:t>
      </w:r>
    </w:p>
    <w:p w14:paraId="6523C84A">
      <w:pPr>
        <w:keepNext w:val="0"/>
        <w:keepLines w:val="0"/>
        <w:pageBreakBefore w:val="0"/>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（2）</w:t>
      </w:r>
      <w:r>
        <w:rPr>
          <w:rFonts w:hint="default" w:ascii="Times New Roman" w:hAnsi="Times New Roman" w:eastAsia="宋体" w:cs="宋体"/>
          <w:snapToGrid w:val="0"/>
          <w:color w:val="auto"/>
          <w:kern w:val="0"/>
          <w:sz w:val="24"/>
          <w:szCs w:val="24"/>
          <w:lang w:val="en-US" w:eastAsia="zh-CN" w:bidi="ar-SA"/>
        </w:rPr>
        <w:t>国家发改委、建设部</w:t>
      </w:r>
      <w:r>
        <w:rPr>
          <w:rFonts w:hint="eastAsia" w:ascii="Times New Roman" w:hAnsi="Times New Roman" w:eastAsia="宋体" w:cs="宋体"/>
          <w:snapToGrid w:val="0"/>
          <w:color w:val="auto"/>
          <w:kern w:val="0"/>
          <w:sz w:val="24"/>
          <w:szCs w:val="24"/>
          <w:lang w:val="en-US" w:eastAsia="zh-CN" w:bidi="ar-SA"/>
        </w:rPr>
        <w:t>编发</w:t>
      </w:r>
      <w:r>
        <w:rPr>
          <w:rFonts w:hint="default" w:ascii="Times New Roman" w:hAnsi="Times New Roman" w:eastAsia="宋体" w:cs="宋体"/>
          <w:snapToGrid w:val="0"/>
          <w:color w:val="auto"/>
          <w:kern w:val="0"/>
          <w:sz w:val="24"/>
          <w:szCs w:val="24"/>
          <w:lang w:val="en-US" w:eastAsia="zh-CN" w:bidi="ar-SA"/>
        </w:rPr>
        <w:t>《建设项目经济评价参数与方法》（第三版）；</w:t>
      </w:r>
    </w:p>
    <w:p w14:paraId="1175B390">
      <w:pPr>
        <w:keepNext w:val="0"/>
        <w:keepLines w:val="0"/>
        <w:pageBreakBefore w:val="0"/>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（3）</w:t>
      </w:r>
      <w:r>
        <w:rPr>
          <w:rFonts w:hint="default" w:ascii="Times New Roman" w:hAnsi="Times New Roman" w:eastAsia="宋体" w:cs="宋体"/>
          <w:snapToGrid w:val="0"/>
          <w:color w:val="auto"/>
          <w:kern w:val="0"/>
          <w:sz w:val="24"/>
          <w:szCs w:val="24"/>
          <w:lang w:val="en-US" w:eastAsia="zh-CN" w:bidi="ar-SA"/>
        </w:rPr>
        <w:t>《农业建设项目投资估算内容与方法》（NY/T1716-2009）；</w:t>
      </w:r>
    </w:p>
    <w:p w14:paraId="43678004">
      <w:pPr>
        <w:keepNext w:val="0"/>
        <w:keepLines w:val="0"/>
        <w:pageBreakBefore w:val="0"/>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（4）</w:t>
      </w:r>
      <w:r>
        <w:rPr>
          <w:rFonts w:hint="default" w:ascii="Times New Roman" w:hAnsi="Times New Roman" w:eastAsia="宋体" w:cs="宋体"/>
          <w:snapToGrid w:val="0"/>
          <w:color w:val="auto"/>
          <w:kern w:val="0"/>
          <w:sz w:val="24"/>
          <w:szCs w:val="24"/>
          <w:lang w:val="en-US" w:eastAsia="zh-CN" w:bidi="ar-SA"/>
        </w:rPr>
        <w:t>《甘肃省建筑工程概算定额》；</w:t>
      </w:r>
    </w:p>
    <w:p w14:paraId="0A8E2299">
      <w:pPr>
        <w:keepNext w:val="0"/>
        <w:keepLines w:val="0"/>
        <w:pageBreakBefore w:val="0"/>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（5）</w:t>
      </w:r>
      <w:r>
        <w:rPr>
          <w:rFonts w:hint="default" w:ascii="Times New Roman" w:hAnsi="Times New Roman" w:eastAsia="宋体" w:cs="宋体"/>
          <w:snapToGrid w:val="0"/>
          <w:color w:val="auto"/>
          <w:kern w:val="0"/>
          <w:sz w:val="24"/>
          <w:szCs w:val="24"/>
          <w:lang w:val="en-US" w:eastAsia="zh-CN" w:bidi="ar-SA"/>
        </w:rPr>
        <w:t>《甘肃省建设工程计价规则》；</w:t>
      </w:r>
    </w:p>
    <w:p w14:paraId="61675619">
      <w:pPr>
        <w:keepNext w:val="0"/>
        <w:keepLines w:val="0"/>
        <w:pageBreakBefore w:val="0"/>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（6）</w:t>
      </w:r>
      <w:r>
        <w:rPr>
          <w:rFonts w:hint="default" w:ascii="Times New Roman" w:hAnsi="Times New Roman" w:eastAsia="宋体" w:cs="宋体"/>
          <w:snapToGrid w:val="0"/>
          <w:color w:val="auto"/>
          <w:kern w:val="0"/>
          <w:sz w:val="24"/>
          <w:szCs w:val="24"/>
          <w:lang w:val="en-US" w:eastAsia="zh-CN" w:bidi="ar-SA"/>
        </w:rPr>
        <w:t>民乐地区现行建材、设备市场价；</w:t>
      </w:r>
    </w:p>
    <w:p w14:paraId="3562961C">
      <w:pPr>
        <w:keepNext w:val="0"/>
        <w:keepLines w:val="0"/>
        <w:pageBreakBefore w:val="0"/>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（7）</w:t>
      </w:r>
      <w:r>
        <w:rPr>
          <w:rFonts w:hint="default" w:ascii="Times New Roman" w:hAnsi="Times New Roman" w:eastAsia="宋体" w:cs="宋体"/>
          <w:snapToGrid w:val="0"/>
          <w:color w:val="auto"/>
          <w:kern w:val="0"/>
          <w:sz w:val="24"/>
          <w:szCs w:val="24"/>
          <w:lang w:val="en-US" w:eastAsia="zh-CN" w:bidi="ar-SA"/>
        </w:rPr>
        <w:t>地区内类似项目造价指标；</w:t>
      </w:r>
    </w:p>
    <w:p w14:paraId="344DBA47">
      <w:pPr>
        <w:keepNext w:val="0"/>
        <w:keepLines w:val="0"/>
        <w:pageBreakBefore w:val="0"/>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SA"/>
        </w:rPr>
      </w:pPr>
      <w:r>
        <w:rPr>
          <w:rFonts w:hint="eastAsia" w:ascii="Times New Roman" w:hAnsi="Times New Roman" w:eastAsia="宋体" w:cs="宋体"/>
          <w:snapToGrid w:val="0"/>
          <w:color w:val="auto"/>
          <w:kern w:val="0"/>
          <w:sz w:val="24"/>
          <w:szCs w:val="24"/>
          <w:lang w:val="en-US" w:eastAsia="zh-CN" w:bidi="ar-SA"/>
        </w:rPr>
        <w:t>（8）</w:t>
      </w:r>
      <w:r>
        <w:rPr>
          <w:rFonts w:hint="default" w:ascii="Times New Roman" w:hAnsi="Times New Roman" w:eastAsia="宋体" w:cs="宋体"/>
          <w:snapToGrid w:val="0"/>
          <w:color w:val="auto"/>
          <w:kern w:val="0"/>
          <w:sz w:val="24"/>
          <w:szCs w:val="24"/>
          <w:lang w:val="en-US" w:eastAsia="zh-CN" w:bidi="ar-SA"/>
        </w:rPr>
        <w:t>国家及地方其他有关投资估算的规定要求等。</w:t>
      </w:r>
    </w:p>
    <w:p w14:paraId="11EA6D90">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ascii="Times New Roman" w:hAnsi="Times New Roman" w:eastAsia="宋体" w:cs="宋体"/>
          <w:color w:val="auto"/>
        </w:rPr>
      </w:pPr>
      <w:bookmarkStart w:id="160" w:name="bookmark116"/>
      <w:bookmarkEnd w:id="160"/>
      <w:bookmarkStart w:id="161" w:name="bookmark115"/>
      <w:bookmarkEnd w:id="161"/>
      <w:bookmarkStart w:id="162" w:name="_Toc238"/>
      <w:r>
        <w:rPr>
          <w:rFonts w:hint="eastAsia" w:ascii="Times New Roman" w:hAnsi="Times New Roman" w:eastAsia="宋体" w:cs="宋体"/>
          <w:b/>
          <w:bCs/>
          <w:color w:val="auto"/>
          <w:sz w:val="28"/>
          <w:szCs w:val="28"/>
          <w:lang w:val="en-US" w:eastAsia="zh-CN"/>
        </w:rPr>
        <w:t>15.2、投资估算</w:t>
      </w:r>
      <w:bookmarkEnd w:id="162"/>
    </w:p>
    <w:p w14:paraId="55FC8A4D">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15.2.1、总投资</w:t>
      </w:r>
    </w:p>
    <w:p w14:paraId="322D89F5">
      <w:pPr>
        <w:keepNext w:val="0"/>
        <w:keepLines w:val="0"/>
        <w:pageBreakBefore w:val="0"/>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宋体"/>
          <w:snapToGrid w:val="0"/>
          <w:color w:val="auto"/>
          <w:kern w:val="0"/>
          <w:sz w:val="24"/>
          <w:szCs w:val="24"/>
          <w:highlight w:val="none"/>
          <w:lang w:val="en-US" w:eastAsia="zh-CN" w:bidi="ar-SA"/>
        </w:rPr>
      </w:pPr>
      <w:r>
        <w:rPr>
          <w:rFonts w:hint="default" w:ascii="Times New Roman" w:hAnsi="Times New Roman" w:eastAsia="宋体" w:cs="宋体"/>
          <w:snapToGrid w:val="0"/>
          <w:color w:val="auto"/>
          <w:kern w:val="0"/>
          <w:sz w:val="24"/>
          <w:szCs w:val="24"/>
          <w:lang w:val="en-US" w:eastAsia="zh-CN" w:bidi="ar-SA"/>
        </w:rPr>
        <w:t>项目总投资</w:t>
      </w:r>
      <w:r>
        <w:rPr>
          <w:rFonts w:hint="eastAsia" w:ascii="Times New Roman" w:hAnsi="Times New Roman" w:eastAsia="宋体" w:cs="宋体"/>
          <w:snapToGrid w:val="0"/>
          <w:color w:val="auto"/>
          <w:kern w:val="0"/>
          <w:sz w:val="24"/>
          <w:szCs w:val="24"/>
          <w:lang w:val="en-US" w:eastAsia="zh-CN" w:bidi="ar-SA"/>
        </w:rPr>
        <w:t>6169</w:t>
      </w:r>
      <w:r>
        <w:rPr>
          <w:rFonts w:hint="default" w:ascii="Times New Roman" w:hAnsi="Times New Roman" w:eastAsia="宋体" w:cs="宋体"/>
          <w:snapToGrid w:val="0"/>
          <w:color w:val="auto"/>
          <w:kern w:val="0"/>
          <w:sz w:val="24"/>
          <w:szCs w:val="24"/>
          <w:lang w:val="en-US" w:eastAsia="zh-CN" w:bidi="ar-SA"/>
        </w:rPr>
        <w:t>万元，</w:t>
      </w:r>
      <w:r>
        <w:rPr>
          <w:rFonts w:hint="eastAsia" w:ascii="Times New Roman" w:hAnsi="Times New Roman" w:eastAsia="宋体" w:cs="宋体"/>
          <w:snapToGrid w:val="0"/>
          <w:color w:val="auto"/>
          <w:kern w:val="0"/>
          <w:sz w:val="24"/>
          <w:szCs w:val="24"/>
          <w:lang w:val="en-US" w:eastAsia="zh-CN" w:bidi="ar-SA"/>
        </w:rPr>
        <w:t>建筑</w:t>
      </w:r>
      <w:r>
        <w:rPr>
          <w:rFonts w:hint="default" w:ascii="Times New Roman" w:hAnsi="Times New Roman" w:eastAsia="宋体" w:cs="宋体"/>
          <w:snapToGrid w:val="0"/>
          <w:color w:val="auto"/>
          <w:kern w:val="0"/>
          <w:sz w:val="24"/>
          <w:szCs w:val="24"/>
          <w:lang w:val="en-US" w:eastAsia="zh-CN" w:bidi="ar-SA"/>
        </w:rPr>
        <w:t>工程费用</w:t>
      </w:r>
      <w:r>
        <w:rPr>
          <w:rFonts w:hint="eastAsia" w:ascii="Times New Roman" w:hAnsi="Times New Roman" w:eastAsia="宋体" w:cs="宋体"/>
          <w:snapToGrid w:val="0"/>
          <w:color w:val="auto"/>
          <w:kern w:val="0"/>
          <w:sz w:val="24"/>
          <w:szCs w:val="24"/>
          <w:lang w:val="en-US" w:eastAsia="zh-CN" w:bidi="ar-SA"/>
        </w:rPr>
        <w:t>2300</w:t>
      </w:r>
      <w:r>
        <w:rPr>
          <w:rFonts w:hint="default" w:ascii="Times New Roman" w:hAnsi="Times New Roman" w:eastAsia="宋体" w:cs="宋体"/>
          <w:snapToGrid w:val="0"/>
          <w:color w:val="auto"/>
          <w:kern w:val="0"/>
          <w:sz w:val="24"/>
          <w:szCs w:val="24"/>
          <w:lang w:val="en-US" w:eastAsia="zh-CN" w:bidi="ar-SA"/>
        </w:rPr>
        <w:t>万元，</w:t>
      </w:r>
      <w:r>
        <w:rPr>
          <w:rFonts w:hint="eastAsia" w:ascii="Times New Roman" w:hAnsi="Times New Roman" w:eastAsia="宋体" w:cs="宋体"/>
          <w:snapToGrid w:val="0"/>
          <w:color w:val="auto"/>
          <w:kern w:val="0"/>
          <w:sz w:val="24"/>
          <w:szCs w:val="24"/>
          <w:lang w:val="en-US" w:eastAsia="zh-CN" w:bidi="ar-SA"/>
        </w:rPr>
        <w:t>设备购置费用1869万元</w:t>
      </w:r>
      <w:r>
        <w:rPr>
          <w:rFonts w:hint="default" w:ascii="Times New Roman" w:hAnsi="Times New Roman" w:eastAsia="宋体" w:cs="宋体"/>
          <w:snapToGrid w:val="0"/>
          <w:color w:val="auto"/>
          <w:kern w:val="0"/>
          <w:sz w:val="24"/>
          <w:szCs w:val="24"/>
          <w:lang w:val="en-US" w:eastAsia="zh-CN" w:bidi="ar-SA"/>
        </w:rPr>
        <w:t>，</w:t>
      </w:r>
      <w:r>
        <w:rPr>
          <w:rFonts w:hint="default" w:ascii="Times New Roman" w:hAnsi="Times New Roman" w:eastAsia="宋体" w:cs="宋体"/>
          <w:snapToGrid w:val="0"/>
          <w:color w:val="auto"/>
          <w:kern w:val="0"/>
          <w:sz w:val="24"/>
          <w:szCs w:val="24"/>
          <w:highlight w:val="none"/>
          <w:lang w:val="en-US" w:eastAsia="zh-CN" w:bidi="ar-SA"/>
        </w:rPr>
        <w:t>基本预备费</w:t>
      </w:r>
      <w:r>
        <w:rPr>
          <w:rFonts w:hint="eastAsia" w:ascii="Times New Roman" w:hAnsi="Times New Roman" w:eastAsia="宋体" w:cs="宋体"/>
          <w:snapToGrid w:val="0"/>
          <w:color w:val="auto"/>
          <w:kern w:val="0"/>
          <w:sz w:val="24"/>
          <w:szCs w:val="24"/>
          <w:highlight w:val="none"/>
          <w:lang w:val="en-US" w:eastAsia="zh-CN" w:bidi="ar-SA"/>
        </w:rPr>
        <w:t>128.13</w:t>
      </w:r>
      <w:r>
        <w:rPr>
          <w:rFonts w:hint="default" w:ascii="Times New Roman" w:hAnsi="Times New Roman" w:eastAsia="宋体" w:cs="宋体"/>
          <w:snapToGrid w:val="0"/>
          <w:color w:val="auto"/>
          <w:kern w:val="0"/>
          <w:sz w:val="24"/>
          <w:szCs w:val="24"/>
          <w:highlight w:val="none"/>
          <w:lang w:val="en-US" w:eastAsia="zh-CN" w:bidi="ar-SA"/>
        </w:rPr>
        <w:t>万元，</w:t>
      </w:r>
      <w:r>
        <w:rPr>
          <w:rFonts w:hint="eastAsia" w:ascii="Times New Roman" w:hAnsi="Times New Roman" w:eastAsia="宋体" w:cs="宋体"/>
          <w:snapToGrid w:val="0"/>
          <w:color w:val="auto"/>
          <w:kern w:val="0"/>
          <w:sz w:val="24"/>
          <w:szCs w:val="24"/>
          <w:highlight w:val="none"/>
          <w:lang w:val="en-US" w:eastAsia="zh-CN" w:bidi="ar-SA"/>
        </w:rPr>
        <w:t>铺底</w:t>
      </w:r>
      <w:r>
        <w:rPr>
          <w:rFonts w:hint="default" w:ascii="Times New Roman" w:hAnsi="Times New Roman" w:eastAsia="宋体" w:cs="宋体"/>
          <w:snapToGrid w:val="0"/>
          <w:color w:val="auto"/>
          <w:kern w:val="0"/>
          <w:sz w:val="24"/>
          <w:szCs w:val="24"/>
          <w:highlight w:val="none"/>
          <w:lang w:val="en-US" w:eastAsia="zh-CN" w:bidi="ar-SA"/>
        </w:rPr>
        <w:t>流动资金</w:t>
      </w:r>
      <w:r>
        <w:rPr>
          <w:rFonts w:hint="eastAsia" w:ascii="Times New Roman" w:hAnsi="Times New Roman" w:eastAsia="宋体" w:cs="宋体"/>
          <w:snapToGrid w:val="0"/>
          <w:color w:val="auto"/>
          <w:kern w:val="0"/>
          <w:sz w:val="24"/>
          <w:szCs w:val="24"/>
          <w:highlight w:val="none"/>
          <w:lang w:val="en-US" w:eastAsia="zh-CN" w:bidi="ar-SA"/>
        </w:rPr>
        <w:t>1609.24</w:t>
      </w:r>
      <w:r>
        <w:rPr>
          <w:rFonts w:hint="default" w:ascii="Times New Roman" w:hAnsi="Times New Roman" w:eastAsia="宋体" w:cs="宋体"/>
          <w:snapToGrid w:val="0"/>
          <w:color w:val="auto"/>
          <w:kern w:val="0"/>
          <w:sz w:val="24"/>
          <w:szCs w:val="24"/>
          <w:highlight w:val="none"/>
          <w:lang w:val="en-US" w:eastAsia="zh-CN" w:bidi="ar-SA"/>
        </w:rPr>
        <w:t>万元。</w:t>
      </w:r>
    </w:p>
    <w:p w14:paraId="245433DB">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ascii="Times New Roman" w:hAnsi="Times New Roman" w:eastAsia="宋体" w:cs="宋体"/>
          <w:color w:val="auto"/>
        </w:rPr>
      </w:pPr>
      <w:bookmarkStart w:id="163" w:name="bookmark118"/>
      <w:bookmarkEnd w:id="163"/>
      <w:bookmarkStart w:id="164" w:name="bookmark117"/>
      <w:bookmarkEnd w:id="164"/>
      <w:bookmarkStart w:id="165" w:name="_Toc2960"/>
      <w:r>
        <w:rPr>
          <w:rFonts w:hint="eastAsia" w:ascii="Times New Roman" w:hAnsi="Times New Roman" w:eastAsia="宋体" w:cs="宋体"/>
          <w:b/>
          <w:bCs/>
          <w:color w:val="auto"/>
          <w:sz w:val="28"/>
          <w:szCs w:val="28"/>
          <w:lang w:val="en-US" w:eastAsia="zh-CN"/>
        </w:rPr>
        <w:t>15.3、资金来源</w:t>
      </w:r>
      <w:bookmarkEnd w:id="165"/>
    </w:p>
    <w:p w14:paraId="49C0ADC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b/>
          <w:color w:val="auto"/>
          <w:sz w:val="30"/>
          <w:szCs w:val="30"/>
          <w:lang w:val="en-US" w:eastAsia="zh-CN"/>
        </w:rPr>
      </w:pPr>
      <w:r>
        <w:rPr>
          <w:rFonts w:hint="default" w:ascii="Times New Roman" w:hAnsi="Times New Roman" w:eastAsia="宋体" w:cs="宋体"/>
          <w:snapToGrid w:val="0"/>
          <w:color w:val="auto"/>
          <w:kern w:val="0"/>
          <w:sz w:val="24"/>
          <w:szCs w:val="24"/>
          <w:lang w:val="en-US" w:eastAsia="zh-CN" w:bidi="ar"/>
        </w:rPr>
        <w:t>项目资金来源全部为</w:t>
      </w:r>
      <w:r>
        <w:rPr>
          <w:rFonts w:hint="eastAsia" w:ascii="Times New Roman" w:hAnsi="Times New Roman" w:eastAsia="宋体" w:cs="宋体"/>
          <w:snapToGrid w:val="0"/>
          <w:color w:val="auto"/>
          <w:kern w:val="0"/>
          <w:sz w:val="24"/>
          <w:szCs w:val="24"/>
          <w:lang w:val="en-US" w:eastAsia="zh-CN" w:bidi="ar"/>
        </w:rPr>
        <w:t>企业</w:t>
      </w:r>
      <w:r>
        <w:rPr>
          <w:rFonts w:hint="default" w:ascii="Times New Roman" w:hAnsi="Times New Roman" w:eastAsia="宋体" w:cs="宋体"/>
          <w:snapToGrid w:val="0"/>
          <w:color w:val="auto"/>
          <w:kern w:val="0"/>
          <w:sz w:val="24"/>
          <w:szCs w:val="24"/>
          <w:lang w:val="en-US" w:eastAsia="zh-CN" w:bidi="ar"/>
        </w:rPr>
        <w:t>多渠道筹措。</w:t>
      </w:r>
    </w:p>
    <w:p w14:paraId="4CE63E65">
      <w:pPr>
        <w:rPr>
          <w:rFonts w:hint="eastAsia" w:ascii="Times New Roman" w:hAnsi="Times New Roman" w:eastAsia="宋体" w:cs="宋体"/>
          <w:b/>
          <w:color w:val="auto"/>
          <w:sz w:val="30"/>
          <w:szCs w:val="30"/>
          <w:lang w:val="en-US" w:eastAsia="zh-CN"/>
        </w:rPr>
      </w:pPr>
    </w:p>
    <w:p w14:paraId="1C821AB7">
      <w:pPr>
        <w:rPr>
          <w:rFonts w:hint="eastAsia" w:ascii="Times New Roman" w:hAnsi="Times New Roman" w:eastAsia="宋体" w:cs="宋体"/>
          <w:b/>
          <w:color w:val="auto"/>
          <w:sz w:val="30"/>
          <w:szCs w:val="30"/>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25476F38">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right="0"/>
        <w:jc w:val="center"/>
        <w:textAlignment w:val="baseline"/>
        <w:rPr>
          <w:rFonts w:hint="default" w:ascii="Times New Roman" w:hAnsi="Times New Roman" w:eastAsia="宋体" w:cs="宋体"/>
          <w:b/>
          <w:color w:val="auto"/>
          <w:sz w:val="30"/>
          <w:szCs w:val="30"/>
          <w:lang w:val="en-US" w:eastAsia="zh-CN"/>
        </w:rPr>
      </w:pPr>
      <w:bookmarkStart w:id="166" w:name="_Toc23245"/>
      <w:r>
        <w:rPr>
          <w:rFonts w:hint="eastAsia" w:ascii="Times New Roman" w:hAnsi="Times New Roman" w:eastAsia="宋体" w:cs="宋体"/>
          <w:color w:val="auto"/>
          <w:sz w:val="30"/>
          <w:szCs w:val="30"/>
          <w:lang w:val="en-US" w:eastAsia="zh-CN"/>
        </w:rPr>
        <w:t>第十六章 财务评价</w:t>
      </w:r>
      <w:bookmarkEnd w:id="166"/>
    </w:p>
    <w:p w14:paraId="3865E05F">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ascii="Times New Roman" w:hAnsi="Times New Roman" w:eastAsia="宋体" w:cs="宋体"/>
          <w:color w:val="auto"/>
        </w:rPr>
      </w:pPr>
      <w:bookmarkStart w:id="167" w:name="_Toc25563"/>
      <w:r>
        <w:rPr>
          <w:rFonts w:hint="eastAsia" w:ascii="Times New Roman" w:hAnsi="Times New Roman" w:eastAsia="宋体" w:cs="宋体"/>
          <w:b/>
          <w:bCs/>
          <w:color w:val="auto"/>
          <w:sz w:val="28"/>
          <w:szCs w:val="28"/>
          <w:lang w:val="en-US" w:eastAsia="zh-CN"/>
        </w:rPr>
        <w:t>16.1、投资估算依据</w:t>
      </w:r>
      <w:bookmarkEnd w:id="167"/>
    </w:p>
    <w:p w14:paraId="27C847B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（1）</w:t>
      </w:r>
      <w:r>
        <w:rPr>
          <w:rFonts w:hint="default" w:ascii="Times New Roman" w:hAnsi="Times New Roman" w:eastAsia="宋体" w:cs="宋体"/>
          <w:snapToGrid w:val="0"/>
          <w:color w:val="auto"/>
          <w:kern w:val="0"/>
          <w:sz w:val="24"/>
          <w:szCs w:val="24"/>
          <w:lang w:val="en-US" w:eastAsia="zh-CN" w:bidi="ar"/>
        </w:rPr>
        <w:t>项目建设期1年，运营期14年。</w:t>
      </w:r>
    </w:p>
    <w:p w14:paraId="145DCEE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（2）</w:t>
      </w:r>
      <w:r>
        <w:rPr>
          <w:rFonts w:hint="default" w:ascii="Times New Roman" w:hAnsi="Times New Roman" w:eastAsia="宋体" w:cs="宋体"/>
          <w:snapToGrid w:val="0"/>
          <w:color w:val="auto"/>
          <w:kern w:val="0"/>
          <w:sz w:val="24"/>
          <w:szCs w:val="24"/>
          <w:lang w:val="en-US" w:eastAsia="zh-CN" w:bidi="ar"/>
        </w:rPr>
        <w:t>项目财务基准收益率取12%；</w:t>
      </w:r>
    </w:p>
    <w:p w14:paraId="285FE09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（3）</w:t>
      </w:r>
      <w:r>
        <w:rPr>
          <w:rFonts w:hint="default" w:ascii="Times New Roman" w:hAnsi="Times New Roman" w:eastAsia="宋体" w:cs="宋体"/>
          <w:snapToGrid w:val="0"/>
          <w:color w:val="auto"/>
          <w:kern w:val="0"/>
          <w:sz w:val="24"/>
          <w:szCs w:val="24"/>
          <w:lang w:val="en-US" w:eastAsia="zh-CN" w:bidi="ar"/>
        </w:rPr>
        <w:t>固定资产折旧采用平均年限法，建筑工程费和固定资产</w:t>
      </w:r>
      <w:r>
        <w:rPr>
          <w:rFonts w:hint="eastAsia" w:ascii="Times New Roman" w:hAnsi="Times New Roman" w:eastAsia="宋体" w:cs="宋体"/>
          <w:snapToGrid w:val="0"/>
          <w:color w:val="auto"/>
          <w:kern w:val="0"/>
          <w:sz w:val="24"/>
          <w:szCs w:val="24"/>
          <w:lang w:val="en-US" w:eastAsia="zh-CN" w:bidi="ar"/>
        </w:rPr>
        <w:t>其他费用</w:t>
      </w:r>
      <w:r>
        <w:rPr>
          <w:rFonts w:hint="default" w:ascii="Times New Roman" w:hAnsi="Times New Roman" w:eastAsia="宋体" w:cs="宋体"/>
          <w:snapToGrid w:val="0"/>
          <w:color w:val="auto"/>
          <w:kern w:val="0"/>
          <w:sz w:val="24"/>
          <w:szCs w:val="24"/>
          <w:lang w:val="en-US" w:eastAsia="zh-CN" w:bidi="ar"/>
        </w:rPr>
        <w:t>按</w:t>
      </w:r>
      <w:r>
        <w:rPr>
          <w:rFonts w:hint="eastAsia" w:ascii="Times New Roman" w:hAnsi="Times New Roman" w:eastAsia="宋体" w:cs="宋体"/>
          <w:snapToGrid w:val="0"/>
          <w:color w:val="auto"/>
          <w:kern w:val="0"/>
          <w:sz w:val="24"/>
          <w:szCs w:val="24"/>
          <w:lang w:val="en-US" w:eastAsia="zh-CN" w:bidi="ar"/>
        </w:rPr>
        <w:t>5</w:t>
      </w:r>
      <w:r>
        <w:rPr>
          <w:rFonts w:hint="default" w:ascii="Times New Roman" w:hAnsi="Times New Roman" w:eastAsia="宋体" w:cs="宋体"/>
          <w:snapToGrid w:val="0"/>
          <w:color w:val="auto"/>
          <w:kern w:val="0"/>
          <w:sz w:val="24"/>
          <w:szCs w:val="24"/>
          <w:lang w:val="en-US" w:eastAsia="zh-CN" w:bidi="ar"/>
        </w:rPr>
        <w:t>0年折旧，设备（仪器）按30年折旧，残值率均取5%；</w:t>
      </w:r>
    </w:p>
    <w:p w14:paraId="3B7F647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（4）</w:t>
      </w:r>
      <w:r>
        <w:rPr>
          <w:rFonts w:hint="default" w:ascii="Times New Roman" w:hAnsi="Times New Roman" w:eastAsia="宋体" w:cs="宋体"/>
          <w:snapToGrid w:val="0"/>
          <w:color w:val="auto"/>
          <w:kern w:val="0"/>
          <w:sz w:val="24"/>
          <w:szCs w:val="24"/>
          <w:lang w:val="en-US" w:eastAsia="zh-CN" w:bidi="ar"/>
        </w:rPr>
        <w:t>根据新的《中华人民共和国企业所得税法》规定，所得税税率取25%；</w:t>
      </w:r>
    </w:p>
    <w:p w14:paraId="4CE32E4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（5）</w:t>
      </w:r>
      <w:r>
        <w:rPr>
          <w:rFonts w:hint="default" w:ascii="Times New Roman" w:hAnsi="Times New Roman" w:eastAsia="宋体" w:cs="宋体"/>
          <w:snapToGrid w:val="0"/>
          <w:color w:val="auto"/>
          <w:kern w:val="0"/>
          <w:sz w:val="24"/>
          <w:szCs w:val="24"/>
          <w:lang w:val="en-US" w:eastAsia="zh-CN" w:bidi="ar"/>
        </w:rPr>
        <w:t>以上年度投入物、产出物的产品市场平均价为基价，采用固定价格体系，按现有项目法人项目进行财务评价。</w:t>
      </w:r>
    </w:p>
    <w:p w14:paraId="3AAF02E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（6）</w:t>
      </w:r>
      <w:r>
        <w:rPr>
          <w:rFonts w:hint="default" w:ascii="Times New Roman" w:hAnsi="Times New Roman" w:eastAsia="宋体" w:cs="宋体"/>
          <w:snapToGrid w:val="0"/>
          <w:color w:val="auto"/>
          <w:kern w:val="0"/>
          <w:sz w:val="24"/>
          <w:szCs w:val="24"/>
          <w:lang w:val="en-US" w:eastAsia="zh-CN" w:bidi="ar"/>
        </w:rPr>
        <w:t>评价内容参照国家发改委、建设部颁布的《建设项目经济评价方法与参数》（第三版）有关规定。</w:t>
      </w:r>
    </w:p>
    <w:p w14:paraId="6AA7212F">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ascii="Times New Roman" w:hAnsi="Times New Roman" w:eastAsia="宋体" w:cs="宋体"/>
          <w:color w:val="auto"/>
        </w:rPr>
      </w:pPr>
      <w:bookmarkStart w:id="168" w:name="bookmark123"/>
      <w:bookmarkEnd w:id="168"/>
      <w:bookmarkStart w:id="169" w:name="bookmark124"/>
      <w:bookmarkEnd w:id="169"/>
      <w:bookmarkStart w:id="170" w:name="_Toc22479"/>
      <w:r>
        <w:rPr>
          <w:rFonts w:hint="eastAsia" w:ascii="Times New Roman" w:hAnsi="Times New Roman" w:eastAsia="宋体" w:cs="宋体"/>
          <w:b/>
          <w:bCs/>
          <w:color w:val="auto"/>
          <w:sz w:val="28"/>
          <w:szCs w:val="28"/>
          <w:lang w:val="en-US" w:eastAsia="zh-CN"/>
        </w:rPr>
        <w:t>16.2、营业收入、营业税金和附加估算</w:t>
      </w:r>
      <w:bookmarkEnd w:id="170"/>
    </w:p>
    <w:p w14:paraId="45000206">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16.2.1、营业收入</w:t>
      </w:r>
    </w:p>
    <w:p w14:paraId="728E223E">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ascii="Times New Roman" w:hAnsi="Times New Roman" w:eastAsia="宋体" w:cs="宋体"/>
          <w:b/>
          <w:bCs/>
          <w:color w:val="auto"/>
          <w:sz w:val="24"/>
          <w:szCs w:val="24"/>
        </w:rPr>
      </w:pPr>
      <w:r>
        <w:rPr>
          <w:rFonts w:ascii="Times New Roman" w:hAnsi="Times New Roman" w:eastAsia="宋体" w:cs="宋体"/>
          <w:b/>
          <w:bCs/>
          <w:color w:val="auto"/>
          <w:spacing w:val="-3"/>
          <w:sz w:val="24"/>
          <w:szCs w:val="24"/>
        </w:rPr>
        <w:t>表1</w:t>
      </w:r>
      <w:r>
        <w:rPr>
          <w:rFonts w:hint="eastAsia" w:ascii="Times New Roman" w:hAnsi="Times New Roman" w:eastAsia="宋体" w:cs="宋体"/>
          <w:b/>
          <w:bCs/>
          <w:color w:val="auto"/>
          <w:spacing w:val="-3"/>
          <w:sz w:val="24"/>
          <w:szCs w:val="24"/>
          <w:lang w:val="en-US" w:eastAsia="zh-CN"/>
        </w:rPr>
        <w:t>6</w:t>
      </w:r>
      <w:r>
        <w:rPr>
          <w:rFonts w:ascii="Times New Roman" w:hAnsi="Times New Roman" w:eastAsia="宋体" w:cs="宋体"/>
          <w:b/>
          <w:bCs/>
          <w:color w:val="auto"/>
          <w:spacing w:val="-3"/>
          <w:sz w:val="24"/>
          <w:szCs w:val="24"/>
        </w:rPr>
        <w:t>-1</w:t>
      </w:r>
      <w:r>
        <w:rPr>
          <w:rFonts w:hint="eastAsia" w:ascii="Times New Roman" w:hAnsi="Times New Roman" w:eastAsia="宋体" w:cs="宋体"/>
          <w:b/>
          <w:bCs/>
          <w:color w:val="auto"/>
          <w:spacing w:val="-3"/>
          <w:sz w:val="24"/>
          <w:szCs w:val="24"/>
          <w:lang w:val="en-US" w:eastAsia="zh-CN"/>
        </w:rPr>
        <w:t xml:space="preserve">   </w:t>
      </w:r>
      <w:r>
        <w:rPr>
          <w:rFonts w:ascii="Times New Roman" w:hAnsi="Times New Roman" w:eastAsia="宋体" w:cs="宋体"/>
          <w:b/>
          <w:bCs/>
          <w:color w:val="auto"/>
          <w:spacing w:val="-3"/>
          <w:sz w:val="24"/>
          <w:szCs w:val="24"/>
        </w:rPr>
        <w:t>项目销售收入估算表</w:t>
      </w:r>
    </w:p>
    <w:tbl>
      <w:tblPr>
        <w:tblStyle w:val="26"/>
        <w:tblW w:w="8369" w:type="dxa"/>
        <w:tblInd w:w="1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1919"/>
        <w:gridCol w:w="1054"/>
        <w:gridCol w:w="1080"/>
        <w:gridCol w:w="915"/>
        <w:gridCol w:w="1290"/>
        <w:gridCol w:w="1440"/>
      </w:tblGrid>
      <w:tr w14:paraId="5D58B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671" w:type="dxa"/>
            <w:noWrap w:val="0"/>
            <w:vAlign w:val="center"/>
          </w:tcPr>
          <w:p w14:paraId="2F9475B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rPr>
            </w:pPr>
            <w:r>
              <w:rPr>
                <w:rFonts w:hint="default" w:ascii="Times New Roman" w:hAnsi="Times New Roman" w:eastAsia="宋体" w:cs="宋体"/>
                <w:color w:val="auto"/>
                <w:spacing w:val="5"/>
                <w:sz w:val="19"/>
                <w:szCs w:val="19"/>
              </w:rPr>
              <w:t>序号</w:t>
            </w:r>
          </w:p>
        </w:tc>
        <w:tc>
          <w:tcPr>
            <w:tcW w:w="1919" w:type="dxa"/>
            <w:noWrap w:val="0"/>
            <w:vAlign w:val="center"/>
          </w:tcPr>
          <w:p w14:paraId="448D3E8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rPr>
            </w:pPr>
            <w:r>
              <w:rPr>
                <w:rFonts w:hint="default" w:ascii="Times New Roman" w:hAnsi="Times New Roman" w:eastAsia="宋体" w:cs="宋体"/>
                <w:color w:val="auto"/>
                <w:spacing w:val="7"/>
                <w:sz w:val="19"/>
                <w:szCs w:val="19"/>
              </w:rPr>
              <w:t>产品名称</w:t>
            </w:r>
          </w:p>
        </w:tc>
        <w:tc>
          <w:tcPr>
            <w:tcW w:w="1054" w:type="dxa"/>
            <w:noWrap w:val="0"/>
            <w:vAlign w:val="center"/>
          </w:tcPr>
          <w:p w14:paraId="6F4B23E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rPr>
            </w:pPr>
            <w:r>
              <w:rPr>
                <w:rFonts w:hint="default" w:ascii="Times New Roman" w:hAnsi="Times New Roman" w:eastAsia="宋体" w:cs="宋体"/>
                <w:color w:val="auto"/>
                <w:spacing w:val="4"/>
                <w:sz w:val="19"/>
                <w:szCs w:val="19"/>
              </w:rPr>
              <w:t>单位</w:t>
            </w:r>
          </w:p>
        </w:tc>
        <w:tc>
          <w:tcPr>
            <w:tcW w:w="1080" w:type="dxa"/>
            <w:noWrap w:val="0"/>
            <w:vAlign w:val="center"/>
          </w:tcPr>
          <w:p w14:paraId="258F190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rPr>
            </w:pPr>
            <w:r>
              <w:rPr>
                <w:rFonts w:hint="default" w:ascii="Times New Roman" w:hAnsi="Times New Roman" w:eastAsia="宋体" w:cs="宋体"/>
                <w:color w:val="auto"/>
                <w:spacing w:val="4"/>
                <w:sz w:val="19"/>
                <w:szCs w:val="19"/>
              </w:rPr>
              <w:t>数量</w:t>
            </w:r>
          </w:p>
        </w:tc>
        <w:tc>
          <w:tcPr>
            <w:tcW w:w="915" w:type="dxa"/>
            <w:noWrap w:val="0"/>
            <w:vAlign w:val="center"/>
          </w:tcPr>
          <w:p w14:paraId="022FDC1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pacing w:val="4"/>
                <w:sz w:val="19"/>
                <w:szCs w:val="19"/>
                <w:lang w:val="en-US" w:eastAsia="zh-CN"/>
              </w:rPr>
            </w:pPr>
            <w:r>
              <w:rPr>
                <w:rFonts w:hint="default" w:ascii="Times New Roman" w:hAnsi="Times New Roman" w:eastAsia="宋体" w:cs="宋体"/>
                <w:color w:val="auto"/>
                <w:spacing w:val="4"/>
                <w:sz w:val="19"/>
                <w:szCs w:val="19"/>
                <w:lang w:val="en-US" w:eastAsia="zh-CN"/>
              </w:rPr>
              <w:t>规格</w:t>
            </w:r>
          </w:p>
        </w:tc>
        <w:tc>
          <w:tcPr>
            <w:tcW w:w="1290" w:type="dxa"/>
            <w:noWrap w:val="0"/>
            <w:vAlign w:val="center"/>
          </w:tcPr>
          <w:p w14:paraId="314458E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rPr>
            </w:pPr>
            <w:r>
              <w:rPr>
                <w:rFonts w:hint="default" w:ascii="Times New Roman" w:hAnsi="Times New Roman" w:eastAsia="宋体" w:cs="宋体"/>
                <w:color w:val="auto"/>
                <w:spacing w:val="5"/>
                <w:sz w:val="19"/>
                <w:szCs w:val="19"/>
              </w:rPr>
              <w:t>单价（元）</w:t>
            </w:r>
          </w:p>
        </w:tc>
        <w:tc>
          <w:tcPr>
            <w:tcW w:w="1440" w:type="dxa"/>
            <w:noWrap w:val="0"/>
            <w:vAlign w:val="center"/>
          </w:tcPr>
          <w:p w14:paraId="05CE8FC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rPr>
            </w:pPr>
            <w:r>
              <w:rPr>
                <w:rFonts w:hint="default" w:ascii="Times New Roman" w:hAnsi="Times New Roman" w:eastAsia="宋体" w:cs="宋体"/>
                <w:color w:val="auto"/>
                <w:spacing w:val="5"/>
                <w:sz w:val="19"/>
                <w:szCs w:val="19"/>
              </w:rPr>
              <w:t>总价（万元）</w:t>
            </w:r>
          </w:p>
        </w:tc>
      </w:tr>
      <w:tr w14:paraId="2A851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671" w:type="dxa"/>
            <w:noWrap w:val="0"/>
            <w:vAlign w:val="center"/>
          </w:tcPr>
          <w:p w14:paraId="37BF8D6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rPr>
            </w:pPr>
            <w:r>
              <w:rPr>
                <w:rFonts w:hint="default" w:ascii="Times New Roman" w:hAnsi="Times New Roman" w:eastAsia="宋体" w:cs="宋体"/>
                <w:color w:val="auto"/>
                <w:sz w:val="19"/>
                <w:szCs w:val="19"/>
              </w:rPr>
              <w:t>1</w:t>
            </w:r>
          </w:p>
        </w:tc>
        <w:tc>
          <w:tcPr>
            <w:tcW w:w="1919" w:type="dxa"/>
            <w:noWrap w:val="0"/>
            <w:vAlign w:val="center"/>
          </w:tcPr>
          <w:p w14:paraId="3DC2AD8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rPr>
            </w:pPr>
            <w:r>
              <w:rPr>
                <w:rFonts w:hint="default" w:ascii="Times New Roman" w:hAnsi="Times New Roman" w:eastAsia="宋体" w:cs="宋体"/>
                <w:color w:val="auto"/>
                <w:spacing w:val="7"/>
                <w:sz w:val="19"/>
                <w:szCs w:val="19"/>
              </w:rPr>
              <w:t>马铃薯</w:t>
            </w:r>
            <w:r>
              <w:rPr>
                <w:rFonts w:hint="default" w:ascii="Times New Roman" w:hAnsi="Times New Roman" w:eastAsia="宋体" w:cs="宋体"/>
                <w:color w:val="auto"/>
                <w:spacing w:val="7"/>
                <w:sz w:val="19"/>
                <w:szCs w:val="19"/>
                <w:lang w:val="en-US" w:eastAsia="zh-CN"/>
              </w:rPr>
              <w:t>淀</w:t>
            </w:r>
            <w:r>
              <w:rPr>
                <w:rFonts w:hint="default" w:ascii="Times New Roman" w:hAnsi="Times New Roman" w:eastAsia="宋体" w:cs="宋体"/>
                <w:color w:val="auto"/>
                <w:spacing w:val="7"/>
                <w:sz w:val="19"/>
                <w:szCs w:val="19"/>
              </w:rPr>
              <w:t>粉</w:t>
            </w:r>
          </w:p>
        </w:tc>
        <w:tc>
          <w:tcPr>
            <w:tcW w:w="1054" w:type="dxa"/>
            <w:noWrap w:val="0"/>
            <w:vAlign w:val="center"/>
          </w:tcPr>
          <w:p w14:paraId="37A489C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rPr>
            </w:pPr>
            <w:r>
              <w:rPr>
                <w:rFonts w:hint="default" w:ascii="Times New Roman" w:hAnsi="Times New Roman" w:eastAsia="宋体" w:cs="宋体"/>
                <w:color w:val="auto"/>
                <w:spacing w:val="1"/>
                <w:sz w:val="19"/>
                <w:szCs w:val="19"/>
              </w:rPr>
              <w:t>吨/年</w:t>
            </w:r>
          </w:p>
        </w:tc>
        <w:tc>
          <w:tcPr>
            <w:tcW w:w="1080" w:type="dxa"/>
            <w:noWrap w:val="0"/>
            <w:vAlign w:val="center"/>
          </w:tcPr>
          <w:p w14:paraId="2864A96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lang w:val="en-US" w:eastAsia="zh-CN"/>
              </w:rPr>
            </w:pPr>
            <w:r>
              <w:rPr>
                <w:rFonts w:hint="default" w:ascii="Times New Roman" w:hAnsi="Times New Roman" w:eastAsia="宋体" w:cs="宋体"/>
                <w:color w:val="auto"/>
                <w:spacing w:val="3"/>
                <w:sz w:val="19"/>
                <w:szCs w:val="19"/>
                <w:lang w:val="en-US" w:eastAsia="zh-CN"/>
              </w:rPr>
              <w:t>10000</w:t>
            </w:r>
          </w:p>
        </w:tc>
        <w:tc>
          <w:tcPr>
            <w:tcW w:w="915" w:type="dxa"/>
            <w:noWrap w:val="0"/>
            <w:vAlign w:val="center"/>
          </w:tcPr>
          <w:p w14:paraId="5888268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pacing w:val="3"/>
                <w:sz w:val="19"/>
                <w:szCs w:val="19"/>
                <w:lang w:val="en-US" w:eastAsia="zh-CN"/>
              </w:rPr>
            </w:pPr>
            <w:r>
              <w:rPr>
                <w:rFonts w:hint="default" w:ascii="Times New Roman" w:hAnsi="Times New Roman" w:eastAsia="宋体" w:cs="宋体"/>
                <w:snapToGrid w:val="0"/>
                <w:color w:val="auto"/>
                <w:spacing w:val="0"/>
                <w:sz w:val="21"/>
                <w:szCs w:val="21"/>
              </w:rPr>
              <w:t>25kg/袋</w:t>
            </w:r>
          </w:p>
        </w:tc>
        <w:tc>
          <w:tcPr>
            <w:tcW w:w="1290" w:type="dxa"/>
            <w:noWrap w:val="0"/>
            <w:vAlign w:val="center"/>
          </w:tcPr>
          <w:p w14:paraId="11DA205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lang w:val="en-US" w:eastAsia="zh-CN"/>
              </w:rPr>
            </w:pPr>
            <w:r>
              <w:rPr>
                <w:rFonts w:hint="default" w:ascii="Times New Roman" w:hAnsi="Times New Roman" w:eastAsia="宋体" w:cs="宋体"/>
                <w:color w:val="auto"/>
                <w:sz w:val="19"/>
                <w:szCs w:val="19"/>
                <w:lang w:val="en-US" w:eastAsia="zh-CN"/>
              </w:rPr>
              <w:t>2</w:t>
            </w:r>
            <w:r>
              <w:rPr>
                <w:rFonts w:hint="eastAsia" w:ascii="Times New Roman" w:hAnsi="Times New Roman" w:eastAsia="宋体" w:cs="宋体"/>
                <w:color w:val="auto"/>
                <w:sz w:val="19"/>
                <w:szCs w:val="19"/>
                <w:lang w:val="en-US" w:eastAsia="zh-CN"/>
              </w:rPr>
              <w:t>80</w:t>
            </w:r>
          </w:p>
        </w:tc>
        <w:tc>
          <w:tcPr>
            <w:tcW w:w="1440" w:type="dxa"/>
            <w:noWrap w:val="0"/>
            <w:vAlign w:val="center"/>
          </w:tcPr>
          <w:p w14:paraId="2060EDF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lang w:val="en-US"/>
              </w:rPr>
            </w:pPr>
            <w:r>
              <w:rPr>
                <w:rFonts w:hint="eastAsia" w:ascii="Times New Roman" w:hAnsi="Times New Roman" w:eastAsia="宋体" w:cs="宋体"/>
                <w:color w:val="auto"/>
                <w:spacing w:val="3"/>
                <w:sz w:val="19"/>
                <w:szCs w:val="19"/>
                <w:lang w:val="en-US" w:eastAsia="zh-CN"/>
              </w:rPr>
              <w:t>11200</w:t>
            </w:r>
          </w:p>
        </w:tc>
      </w:tr>
      <w:tr w14:paraId="012B4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2590" w:type="dxa"/>
            <w:gridSpan w:val="2"/>
            <w:noWrap w:val="0"/>
            <w:vAlign w:val="center"/>
          </w:tcPr>
          <w:p w14:paraId="416EA81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rPr>
            </w:pPr>
            <w:r>
              <w:rPr>
                <w:rFonts w:hint="default" w:ascii="Times New Roman" w:hAnsi="Times New Roman" w:eastAsia="宋体" w:cs="宋体"/>
                <w:color w:val="auto"/>
                <w:spacing w:val="4"/>
                <w:sz w:val="19"/>
                <w:szCs w:val="19"/>
              </w:rPr>
              <w:t>合计</w:t>
            </w:r>
          </w:p>
        </w:tc>
        <w:tc>
          <w:tcPr>
            <w:tcW w:w="1054" w:type="dxa"/>
            <w:noWrap w:val="0"/>
            <w:vAlign w:val="center"/>
          </w:tcPr>
          <w:p w14:paraId="1CA6E5F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21"/>
              </w:rPr>
            </w:pPr>
          </w:p>
        </w:tc>
        <w:tc>
          <w:tcPr>
            <w:tcW w:w="1080" w:type="dxa"/>
            <w:noWrap w:val="0"/>
            <w:vAlign w:val="center"/>
          </w:tcPr>
          <w:p w14:paraId="627A99C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21"/>
              </w:rPr>
            </w:pPr>
            <w:r>
              <w:rPr>
                <w:rFonts w:hint="default" w:ascii="Times New Roman" w:hAnsi="Times New Roman" w:eastAsia="宋体" w:cs="宋体"/>
                <w:color w:val="auto"/>
                <w:spacing w:val="3"/>
                <w:sz w:val="19"/>
                <w:szCs w:val="19"/>
                <w:lang w:val="en-US" w:eastAsia="zh-CN"/>
              </w:rPr>
              <w:t>10000</w:t>
            </w:r>
          </w:p>
        </w:tc>
        <w:tc>
          <w:tcPr>
            <w:tcW w:w="915" w:type="dxa"/>
            <w:noWrap w:val="0"/>
            <w:vAlign w:val="center"/>
          </w:tcPr>
          <w:p w14:paraId="71CB0B4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21"/>
              </w:rPr>
            </w:pPr>
          </w:p>
        </w:tc>
        <w:tc>
          <w:tcPr>
            <w:tcW w:w="1290" w:type="dxa"/>
            <w:noWrap w:val="0"/>
            <w:vAlign w:val="center"/>
          </w:tcPr>
          <w:p w14:paraId="33249CB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21"/>
                <w:lang w:val="en-US" w:eastAsia="zh-CN"/>
              </w:rPr>
            </w:pPr>
            <w:r>
              <w:rPr>
                <w:rFonts w:hint="default" w:ascii="Times New Roman" w:hAnsi="Times New Roman" w:eastAsia="宋体" w:cs="宋体"/>
                <w:color w:val="auto"/>
                <w:sz w:val="21"/>
                <w:lang w:val="en-US" w:eastAsia="zh-CN"/>
              </w:rPr>
              <w:t>2</w:t>
            </w:r>
            <w:r>
              <w:rPr>
                <w:rFonts w:hint="eastAsia" w:ascii="Times New Roman" w:hAnsi="Times New Roman" w:eastAsia="宋体" w:cs="宋体"/>
                <w:color w:val="auto"/>
                <w:sz w:val="21"/>
                <w:lang w:val="en-US" w:eastAsia="zh-CN"/>
              </w:rPr>
              <w:t>80</w:t>
            </w:r>
          </w:p>
        </w:tc>
        <w:tc>
          <w:tcPr>
            <w:tcW w:w="1440" w:type="dxa"/>
            <w:noWrap w:val="0"/>
            <w:vAlign w:val="center"/>
          </w:tcPr>
          <w:p w14:paraId="0A8C653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lang w:val="en-US" w:eastAsia="zh-CN"/>
              </w:rPr>
            </w:pPr>
            <w:r>
              <w:rPr>
                <w:rFonts w:hint="eastAsia" w:ascii="Times New Roman" w:hAnsi="Times New Roman" w:eastAsia="宋体" w:cs="宋体"/>
                <w:color w:val="auto"/>
                <w:spacing w:val="3"/>
                <w:sz w:val="19"/>
                <w:szCs w:val="19"/>
                <w:lang w:val="en-US" w:eastAsia="zh-CN"/>
              </w:rPr>
              <w:t>11200</w:t>
            </w:r>
          </w:p>
        </w:tc>
      </w:tr>
    </w:tbl>
    <w:p w14:paraId="30DD73F6">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16.2.2、营业税金及附加</w:t>
      </w:r>
    </w:p>
    <w:p w14:paraId="0D73622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参照国内现行税费规定，项目实施后，企业年所得税</w:t>
      </w:r>
      <w:r>
        <w:rPr>
          <w:rFonts w:hint="eastAsia" w:ascii="Times New Roman" w:hAnsi="Times New Roman" w:eastAsia="宋体" w:cs="宋体"/>
          <w:snapToGrid w:val="0"/>
          <w:color w:val="auto"/>
          <w:kern w:val="0"/>
          <w:sz w:val="24"/>
          <w:szCs w:val="24"/>
          <w:lang w:val="en-US" w:eastAsia="zh-CN" w:bidi="ar"/>
        </w:rPr>
        <w:t>188.35</w:t>
      </w:r>
      <w:r>
        <w:rPr>
          <w:rFonts w:hint="default" w:ascii="Times New Roman" w:hAnsi="Times New Roman" w:eastAsia="宋体" w:cs="宋体"/>
          <w:snapToGrid w:val="0"/>
          <w:color w:val="auto"/>
          <w:kern w:val="0"/>
          <w:sz w:val="24"/>
          <w:szCs w:val="24"/>
          <w:lang w:val="en-US" w:eastAsia="zh-CN" w:bidi="ar"/>
        </w:rPr>
        <w:t>万元。</w:t>
      </w:r>
      <w:bookmarkStart w:id="171" w:name="bookmark126"/>
      <w:bookmarkEnd w:id="171"/>
      <w:bookmarkStart w:id="172" w:name="bookmark125"/>
      <w:bookmarkEnd w:id="172"/>
    </w:p>
    <w:p w14:paraId="4C61DEC4">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ascii="Times New Roman" w:hAnsi="Times New Roman" w:eastAsia="宋体" w:cs="宋体"/>
          <w:color w:val="auto"/>
        </w:rPr>
      </w:pPr>
      <w:bookmarkStart w:id="173" w:name="_Toc13386"/>
      <w:r>
        <w:rPr>
          <w:rFonts w:hint="eastAsia" w:ascii="Times New Roman" w:hAnsi="Times New Roman" w:eastAsia="宋体" w:cs="宋体"/>
          <w:b/>
          <w:bCs/>
          <w:color w:val="auto"/>
          <w:sz w:val="28"/>
          <w:szCs w:val="28"/>
          <w:lang w:val="en-US" w:eastAsia="zh-CN"/>
        </w:rPr>
        <w:t>16.3、总成本及经营成本估算</w:t>
      </w:r>
      <w:bookmarkEnd w:id="173"/>
    </w:p>
    <w:p w14:paraId="3920C76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总成本费用包括原材料、燃料及动力、工资及福利、修理费、折旧费、摊销费</w:t>
      </w:r>
      <w:r>
        <w:rPr>
          <w:rFonts w:hint="eastAsia" w:ascii="Times New Roman" w:hAnsi="Times New Roman" w:eastAsia="宋体" w:cs="宋体"/>
          <w:snapToGrid w:val="0"/>
          <w:color w:val="auto"/>
          <w:kern w:val="0"/>
          <w:sz w:val="24"/>
          <w:szCs w:val="24"/>
          <w:lang w:val="en-US" w:eastAsia="zh-CN" w:bidi="ar"/>
        </w:rPr>
        <w:t>及其他费用</w:t>
      </w:r>
      <w:r>
        <w:rPr>
          <w:rFonts w:hint="default" w:ascii="Times New Roman" w:hAnsi="Times New Roman" w:eastAsia="宋体" w:cs="宋体"/>
          <w:snapToGrid w:val="0"/>
          <w:color w:val="auto"/>
          <w:kern w:val="0"/>
          <w:sz w:val="24"/>
          <w:szCs w:val="24"/>
          <w:lang w:val="en-US" w:eastAsia="zh-CN" w:bidi="ar"/>
        </w:rPr>
        <w:t>等。</w:t>
      </w:r>
    </w:p>
    <w:p w14:paraId="185C9C4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各项费用估算说明如下：</w:t>
      </w:r>
    </w:p>
    <w:p w14:paraId="17387C4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（1）原材料：主要包括马铃薯和包装袋的购入。</w:t>
      </w:r>
    </w:p>
    <w:p w14:paraId="2AC5B12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70" w:firstLineChars="200"/>
        <w:jc w:val="center"/>
        <w:textAlignment w:val="baseline"/>
        <w:rPr>
          <w:rFonts w:hint="eastAsia" w:ascii="Times New Roman" w:hAnsi="Times New Roman" w:eastAsia="宋体" w:cs="宋体"/>
          <w:b/>
          <w:bCs/>
          <w:color w:val="auto"/>
          <w:spacing w:val="-3"/>
          <w:sz w:val="24"/>
          <w:szCs w:val="24"/>
          <w:lang w:val="en-US" w:eastAsia="zh-CN"/>
        </w:rPr>
      </w:pPr>
      <w:r>
        <w:rPr>
          <w:rFonts w:hint="default" w:ascii="Times New Roman" w:hAnsi="Times New Roman" w:eastAsia="宋体" w:cs="宋体"/>
          <w:b/>
          <w:bCs/>
          <w:color w:val="auto"/>
          <w:spacing w:val="-3"/>
          <w:sz w:val="24"/>
          <w:szCs w:val="24"/>
          <w:lang w:val="en-US" w:eastAsia="zh-CN"/>
        </w:rPr>
        <w:t>表</w:t>
      </w:r>
      <w:r>
        <w:rPr>
          <w:rFonts w:hint="eastAsia" w:ascii="Times New Roman" w:hAnsi="Times New Roman" w:eastAsia="宋体" w:cs="宋体"/>
          <w:b/>
          <w:bCs/>
          <w:color w:val="auto"/>
          <w:spacing w:val="-3"/>
          <w:sz w:val="24"/>
          <w:szCs w:val="24"/>
          <w:lang w:val="en-US" w:eastAsia="zh-CN"/>
        </w:rPr>
        <w:t>16-2   项目原材料消耗估算表</w:t>
      </w:r>
    </w:p>
    <w:tbl>
      <w:tblPr>
        <w:tblStyle w:val="26"/>
        <w:tblW w:w="851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2166"/>
        <w:gridCol w:w="1004"/>
        <w:gridCol w:w="1576"/>
        <w:gridCol w:w="1443"/>
        <w:gridCol w:w="1617"/>
      </w:tblGrid>
      <w:tr w14:paraId="059EB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710" w:type="dxa"/>
            <w:noWrap w:val="0"/>
            <w:vAlign w:val="center"/>
          </w:tcPr>
          <w:p w14:paraId="7A85821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pacing w:val="5"/>
                <w:sz w:val="19"/>
                <w:szCs w:val="19"/>
              </w:rPr>
              <w:t>序号</w:t>
            </w:r>
          </w:p>
        </w:tc>
        <w:tc>
          <w:tcPr>
            <w:tcW w:w="2166" w:type="dxa"/>
            <w:noWrap w:val="0"/>
            <w:vAlign w:val="center"/>
          </w:tcPr>
          <w:p w14:paraId="51EE2F5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pacing w:val="4"/>
                <w:sz w:val="19"/>
                <w:szCs w:val="19"/>
              </w:rPr>
              <w:t>名称</w:t>
            </w:r>
          </w:p>
        </w:tc>
        <w:tc>
          <w:tcPr>
            <w:tcW w:w="1004" w:type="dxa"/>
            <w:noWrap w:val="0"/>
            <w:vAlign w:val="center"/>
          </w:tcPr>
          <w:p w14:paraId="7856132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pacing w:val="4"/>
                <w:sz w:val="19"/>
                <w:szCs w:val="19"/>
              </w:rPr>
              <w:t>单位</w:t>
            </w:r>
          </w:p>
        </w:tc>
        <w:tc>
          <w:tcPr>
            <w:tcW w:w="1576" w:type="dxa"/>
            <w:noWrap w:val="0"/>
            <w:vAlign w:val="center"/>
          </w:tcPr>
          <w:p w14:paraId="499287F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pacing w:val="7"/>
                <w:sz w:val="19"/>
                <w:szCs w:val="19"/>
              </w:rPr>
              <w:t>年耗量</w:t>
            </w:r>
          </w:p>
        </w:tc>
        <w:tc>
          <w:tcPr>
            <w:tcW w:w="1443" w:type="dxa"/>
            <w:noWrap w:val="0"/>
            <w:vAlign w:val="center"/>
          </w:tcPr>
          <w:p w14:paraId="3FEFB7B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pacing w:val="5"/>
                <w:sz w:val="19"/>
                <w:szCs w:val="19"/>
              </w:rPr>
              <w:t>单价（元）</w:t>
            </w:r>
          </w:p>
        </w:tc>
        <w:tc>
          <w:tcPr>
            <w:tcW w:w="1617" w:type="dxa"/>
            <w:noWrap w:val="0"/>
            <w:vAlign w:val="center"/>
          </w:tcPr>
          <w:p w14:paraId="1E1BF94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pacing w:val="5"/>
                <w:sz w:val="19"/>
                <w:szCs w:val="19"/>
              </w:rPr>
              <w:t>总价（万元）</w:t>
            </w:r>
          </w:p>
        </w:tc>
      </w:tr>
      <w:tr w14:paraId="54A11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10" w:type="dxa"/>
            <w:noWrap w:val="0"/>
            <w:vAlign w:val="center"/>
          </w:tcPr>
          <w:p w14:paraId="04A5B90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z w:val="19"/>
                <w:szCs w:val="19"/>
              </w:rPr>
              <w:t>1</w:t>
            </w:r>
          </w:p>
        </w:tc>
        <w:tc>
          <w:tcPr>
            <w:tcW w:w="2166" w:type="dxa"/>
            <w:noWrap w:val="0"/>
            <w:vAlign w:val="center"/>
          </w:tcPr>
          <w:p w14:paraId="56B4531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pacing w:val="5"/>
                <w:sz w:val="19"/>
                <w:szCs w:val="19"/>
              </w:rPr>
              <w:t>马铃薯</w:t>
            </w:r>
          </w:p>
        </w:tc>
        <w:tc>
          <w:tcPr>
            <w:tcW w:w="1004" w:type="dxa"/>
            <w:noWrap w:val="0"/>
            <w:vAlign w:val="center"/>
          </w:tcPr>
          <w:p w14:paraId="187A07B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z w:val="19"/>
                <w:szCs w:val="19"/>
              </w:rPr>
              <w:t>吨</w:t>
            </w:r>
          </w:p>
        </w:tc>
        <w:tc>
          <w:tcPr>
            <w:tcW w:w="1576" w:type="dxa"/>
            <w:noWrap w:val="0"/>
            <w:vAlign w:val="center"/>
          </w:tcPr>
          <w:p w14:paraId="31024DD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lang w:val="en-US" w:eastAsia="zh-CN"/>
              </w:rPr>
            </w:pPr>
            <w:r>
              <w:rPr>
                <w:rFonts w:hint="eastAsia" w:ascii="Times New Roman" w:hAnsi="Times New Roman" w:eastAsia="宋体" w:cs="宋体"/>
                <w:color w:val="auto"/>
                <w:sz w:val="19"/>
                <w:szCs w:val="19"/>
                <w:lang w:val="en-US" w:eastAsia="zh-CN"/>
              </w:rPr>
              <w:t>50000</w:t>
            </w:r>
          </w:p>
        </w:tc>
        <w:tc>
          <w:tcPr>
            <w:tcW w:w="1443" w:type="dxa"/>
            <w:noWrap w:val="0"/>
            <w:vAlign w:val="center"/>
          </w:tcPr>
          <w:p w14:paraId="1AE4103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pacing w:val="1"/>
                <w:sz w:val="19"/>
                <w:szCs w:val="19"/>
              </w:rPr>
              <w:t>1700.00</w:t>
            </w:r>
          </w:p>
        </w:tc>
        <w:tc>
          <w:tcPr>
            <w:tcW w:w="1617" w:type="dxa"/>
            <w:noWrap w:val="0"/>
            <w:vAlign w:val="center"/>
          </w:tcPr>
          <w:p w14:paraId="2CB5A2F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lang w:val="en-US" w:eastAsia="zh-CN"/>
              </w:rPr>
            </w:pPr>
            <w:r>
              <w:rPr>
                <w:rFonts w:hint="eastAsia" w:ascii="Times New Roman" w:hAnsi="Times New Roman" w:eastAsia="宋体" w:cs="宋体"/>
                <w:color w:val="auto"/>
                <w:spacing w:val="3"/>
                <w:sz w:val="19"/>
                <w:szCs w:val="19"/>
                <w:lang w:val="en-US" w:eastAsia="zh-CN"/>
              </w:rPr>
              <w:t>8500</w:t>
            </w:r>
          </w:p>
        </w:tc>
      </w:tr>
      <w:tr w14:paraId="4FF66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10" w:type="dxa"/>
            <w:noWrap w:val="0"/>
            <w:vAlign w:val="center"/>
          </w:tcPr>
          <w:p w14:paraId="6C6F8E3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z w:val="19"/>
                <w:szCs w:val="19"/>
              </w:rPr>
              <w:t>2</w:t>
            </w:r>
          </w:p>
        </w:tc>
        <w:tc>
          <w:tcPr>
            <w:tcW w:w="2166" w:type="dxa"/>
            <w:noWrap w:val="0"/>
            <w:vAlign w:val="center"/>
          </w:tcPr>
          <w:p w14:paraId="76DEFAF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pacing w:val="6"/>
                <w:sz w:val="19"/>
                <w:szCs w:val="19"/>
              </w:rPr>
              <w:t>牛皮纸袋</w:t>
            </w:r>
          </w:p>
        </w:tc>
        <w:tc>
          <w:tcPr>
            <w:tcW w:w="1004" w:type="dxa"/>
            <w:noWrap w:val="0"/>
            <w:vAlign w:val="center"/>
          </w:tcPr>
          <w:p w14:paraId="19299A9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pacing w:val="2"/>
                <w:sz w:val="19"/>
                <w:szCs w:val="19"/>
              </w:rPr>
              <w:t>万只</w:t>
            </w:r>
          </w:p>
        </w:tc>
        <w:tc>
          <w:tcPr>
            <w:tcW w:w="1576" w:type="dxa"/>
            <w:noWrap w:val="0"/>
            <w:vAlign w:val="center"/>
          </w:tcPr>
          <w:p w14:paraId="1CB6B60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lang w:val="en-US" w:eastAsia="zh-CN"/>
              </w:rPr>
            </w:pPr>
            <w:r>
              <w:rPr>
                <w:rFonts w:hint="eastAsia" w:ascii="Times New Roman" w:hAnsi="Times New Roman" w:eastAsia="宋体" w:cs="宋体"/>
                <w:color w:val="auto"/>
                <w:sz w:val="19"/>
                <w:szCs w:val="19"/>
                <w:lang w:val="en-US" w:eastAsia="zh-CN"/>
              </w:rPr>
              <w:t>40</w:t>
            </w:r>
          </w:p>
        </w:tc>
        <w:tc>
          <w:tcPr>
            <w:tcW w:w="1443" w:type="dxa"/>
            <w:noWrap w:val="0"/>
            <w:vAlign w:val="center"/>
          </w:tcPr>
          <w:p w14:paraId="12A77B0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pacing w:val="3"/>
                <w:sz w:val="19"/>
                <w:szCs w:val="19"/>
              </w:rPr>
              <w:t>2.25</w:t>
            </w:r>
          </w:p>
        </w:tc>
        <w:tc>
          <w:tcPr>
            <w:tcW w:w="1617" w:type="dxa"/>
            <w:noWrap w:val="0"/>
            <w:vAlign w:val="center"/>
          </w:tcPr>
          <w:p w14:paraId="47B9297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lang w:val="en-US" w:eastAsia="zh-CN"/>
              </w:rPr>
            </w:pPr>
            <w:r>
              <w:rPr>
                <w:rFonts w:hint="eastAsia" w:ascii="Times New Roman" w:hAnsi="Times New Roman" w:eastAsia="宋体" w:cs="宋体"/>
                <w:color w:val="auto"/>
                <w:spacing w:val="2"/>
                <w:sz w:val="19"/>
                <w:szCs w:val="19"/>
                <w:lang w:val="en-US" w:eastAsia="zh-CN"/>
              </w:rPr>
              <w:t>90</w:t>
            </w:r>
          </w:p>
        </w:tc>
      </w:tr>
      <w:tr w14:paraId="4C353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6899" w:type="dxa"/>
            <w:gridSpan w:val="5"/>
            <w:noWrap w:val="0"/>
            <w:vAlign w:val="center"/>
          </w:tcPr>
          <w:p w14:paraId="1D0C580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pacing w:val="4"/>
                <w:sz w:val="19"/>
                <w:szCs w:val="19"/>
              </w:rPr>
              <w:t>合计</w:t>
            </w:r>
          </w:p>
        </w:tc>
        <w:tc>
          <w:tcPr>
            <w:tcW w:w="1617" w:type="dxa"/>
            <w:noWrap w:val="0"/>
            <w:vAlign w:val="center"/>
          </w:tcPr>
          <w:p w14:paraId="7FBFA60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19"/>
                <w:szCs w:val="19"/>
                <w:lang w:val="en-US" w:eastAsia="zh-CN"/>
              </w:rPr>
            </w:pPr>
            <w:r>
              <w:rPr>
                <w:rFonts w:hint="eastAsia" w:ascii="Times New Roman" w:hAnsi="Times New Roman" w:eastAsia="宋体" w:cs="宋体"/>
                <w:color w:val="auto"/>
                <w:spacing w:val="3"/>
                <w:sz w:val="19"/>
                <w:szCs w:val="19"/>
                <w:lang w:val="en-US" w:eastAsia="zh-CN"/>
              </w:rPr>
              <w:t>8590</w:t>
            </w:r>
          </w:p>
        </w:tc>
      </w:tr>
    </w:tbl>
    <w:p w14:paraId="36D9B9CC">
      <w:pPr>
        <w:numPr>
          <w:ilvl w:val="0"/>
          <w:numId w:val="5"/>
        </w:numPr>
        <w:spacing w:before="171" w:line="355" w:lineRule="auto"/>
        <w:ind w:left="2490" w:right="1612" w:hanging="1811"/>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外购燃料及动力：主要包括水、电，详述如下：</w:t>
      </w:r>
    </w:p>
    <w:p w14:paraId="3B8C72F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70" w:firstLineChars="200"/>
        <w:jc w:val="center"/>
        <w:textAlignment w:val="baseline"/>
        <w:rPr>
          <w:rFonts w:hint="default" w:ascii="Times New Roman" w:hAnsi="Times New Roman" w:eastAsia="宋体" w:cs="宋体"/>
          <w:b/>
          <w:bCs/>
          <w:color w:val="auto"/>
          <w:spacing w:val="-3"/>
          <w:sz w:val="24"/>
          <w:szCs w:val="24"/>
          <w:lang w:val="en-US" w:eastAsia="zh-CN"/>
        </w:rPr>
      </w:pPr>
      <w:r>
        <w:rPr>
          <w:rFonts w:hint="eastAsia" w:ascii="Times New Roman" w:hAnsi="Times New Roman" w:eastAsia="宋体" w:cs="宋体"/>
          <w:b/>
          <w:bCs/>
          <w:color w:val="auto"/>
          <w:spacing w:val="-3"/>
          <w:sz w:val="24"/>
          <w:szCs w:val="24"/>
          <w:lang w:val="en-US" w:eastAsia="zh-CN"/>
        </w:rPr>
        <w:t>表16-3   项</w:t>
      </w:r>
      <w:r>
        <w:rPr>
          <w:rFonts w:hint="default" w:ascii="Times New Roman" w:hAnsi="Times New Roman" w:eastAsia="宋体" w:cs="宋体"/>
          <w:b/>
          <w:bCs/>
          <w:color w:val="auto"/>
          <w:spacing w:val="-3"/>
          <w:sz w:val="24"/>
          <w:szCs w:val="24"/>
          <w:lang w:val="en-US" w:eastAsia="zh-CN"/>
        </w:rPr>
        <w:t>目燃料动力消耗估算表</w:t>
      </w:r>
    </w:p>
    <w:tbl>
      <w:tblPr>
        <w:tblStyle w:val="26"/>
        <w:tblW w:w="8282" w:type="dxa"/>
        <w:tblInd w:w="1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7"/>
        <w:gridCol w:w="2267"/>
        <w:gridCol w:w="850"/>
        <w:gridCol w:w="1558"/>
        <w:gridCol w:w="1416"/>
        <w:gridCol w:w="1564"/>
      </w:tblGrid>
      <w:tr w14:paraId="30491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627" w:type="dxa"/>
            <w:noWrap w:val="0"/>
            <w:vAlign w:val="top"/>
          </w:tcPr>
          <w:p w14:paraId="70D05290">
            <w:pPr>
              <w:spacing w:before="133" w:line="230" w:lineRule="auto"/>
              <w:ind w:left="117"/>
              <w:rPr>
                <w:rFonts w:ascii="Times New Roman" w:hAnsi="Times New Roman" w:eastAsia="宋体" w:cs="宋体"/>
                <w:color w:val="auto"/>
                <w:sz w:val="19"/>
                <w:szCs w:val="19"/>
              </w:rPr>
            </w:pPr>
            <w:r>
              <w:rPr>
                <w:rFonts w:ascii="Times New Roman" w:hAnsi="Times New Roman" w:eastAsia="宋体" w:cs="宋体"/>
                <w:color w:val="auto"/>
                <w:spacing w:val="5"/>
                <w:sz w:val="19"/>
                <w:szCs w:val="19"/>
              </w:rPr>
              <w:t>序号</w:t>
            </w:r>
          </w:p>
        </w:tc>
        <w:tc>
          <w:tcPr>
            <w:tcW w:w="2267" w:type="dxa"/>
            <w:noWrap w:val="0"/>
            <w:vAlign w:val="top"/>
          </w:tcPr>
          <w:p w14:paraId="4CD856D1">
            <w:pPr>
              <w:spacing w:before="134" w:line="230" w:lineRule="auto"/>
              <w:ind w:left="940"/>
              <w:rPr>
                <w:rFonts w:ascii="Times New Roman" w:hAnsi="Times New Roman" w:eastAsia="宋体" w:cs="宋体"/>
                <w:color w:val="auto"/>
                <w:sz w:val="19"/>
                <w:szCs w:val="19"/>
              </w:rPr>
            </w:pPr>
            <w:r>
              <w:rPr>
                <w:rFonts w:ascii="Times New Roman" w:hAnsi="Times New Roman" w:eastAsia="宋体" w:cs="宋体"/>
                <w:color w:val="auto"/>
                <w:spacing w:val="4"/>
                <w:sz w:val="19"/>
                <w:szCs w:val="19"/>
              </w:rPr>
              <w:t>名称</w:t>
            </w:r>
          </w:p>
        </w:tc>
        <w:tc>
          <w:tcPr>
            <w:tcW w:w="850" w:type="dxa"/>
            <w:noWrap w:val="0"/>
            <w:vAlign w:val="top"/>
          </w:tcPr>
          <w:p w14:paraId="6785F7AC">
            <w:pPr>
              <w:spacing w:before="133" w:line="229" w:lineRule="auto"/>
              <w:ind w:left="230"/>
              <w:rPr>
                <w:rFonts w:ascii="Times New Roman" w:hAnsi="Times New Roman" w:eastAsia="宋体" w:cs="宋体"/>
                <w:color w:val="auto"/>
                <w:sz w:val="19"/>
                <w:szCs w:val="19"/>
              </w:rPr>
            </w:pPr>
            <w:r>
              <w:rPr>
                <w:rFonts w:ascii="Times New Roman" w:hAnsi="Times New Roman" w:eastAsia="宋体" w:cs="宋体"/>
                <w:color w:val="auto"/>
                <w:spacing w:val="4"/>
                <w:sz w:val="19"/>
                <w:szCs w:val="19"/>
              </w:rPr>
              <w:t>单位</w:t>
            </w:r>
          </w:p>
        </w:tc>
        <w:tc>
          <w:tcPr>
            <w:tcW w:w="1558" w:type="dxa"/>
            <w:noWrap w:val="0"/>
            <w:vAlign w:val="top"/>
          </w:tcPr>
          <w:p w14:paraId="382B55FC">
            <w:pPr>
              <w:spacing w:before="133" w:line="228" w:lineRule="auto"/>
              <w:ind w:left="486"/>
              <w:rPr>
                <w:rFonts w:ascii="Times New Roman" w:hAnsi="Times New Roman" w:eastAsia="宋体" w:cs="宋体"/>
                <w:color w:val="auto"/>
                <w:sz w:val="19"/>
                <w:szCs w:val="19"/>
              </w:rPr>
            </w:pPr>
            <w:r>
              <w:rPr>
                <w:rFonts w:ascii="Times New Roman" w:hAnsi="Times New Roman" w:eastAsia="宋体" w:cs="宋体"/>
                <w:color w:val="auto"/>
                <w:spacing w:val="7"/>
                <w:sz w:val="19"/>
                <w:szCs w:val="19"/>
              </w:rPr>
              <w:t>年耗量</w:t>
            </w:r>
          </w:p>
        </w:tc>
        <w:tc>
          <w:tcPr>
            <w:tcW w:w="1416" w:type="dxa"/>
            <w:noWrap w:val="0"/>
            <w:vAlign w:val="top"/>
          </w:tcPr>
          <w:p w14:paraId="71899511">
            <w:pPr>
              <w:spacing w:before="133" w:line="227" w:lineRule="auto"/>
              <w:ind w:left="215"/>
              <w:rPr>
                <w:rFonts w:ascii="Times New Roman" w:hAnsi="Times New Roman" w:eastAsia="宋体" w:cs="宋体"/>
                <w:color w:val="auto"/>
                <w:sz w:val="19"/>
                <w:szCs w:val="19"/>
              </w:rPr>
            </w:pPr>
            <w:r>
              <w:rPr>
                <w:rFonts w:ascii="Times New Roman" w:hAnsi="Times New Roman" w:eastAsia="宋体" w:cs="宋体"/>
                <w:color w:val="auto"/>
                <w:spacing w:val="5"/>
                <w:sz w:val="19"/>
                <w:szCs w:val="19"/>
              </w:rPr>
              <w:t>单价（元）</w:t>
            </w:r>
          </w:p>
        </w:tc>
        <w:tc>
          <w:tcPr>
            <w:tcW w:w="1564" w:type="dxa"/>
            <w:noWrap w:val="0"/>
            <w:vAlign w:val="top"/>
          </w:tcPr>
          <w:p w14:paraId="6682E382">
            <w:pPr>
              <w:spacing w:before="133" w:line="227" w:lineRule="auto"/>
              <w:ind w:left="192"/>
              <w:rPr>
                <w:rFonts w:ascii="Times New Roman" w:hAnsi="Times New Roman" w:eastAsia="宋体" w:cs="宋体"/>
                <w:color w:val="auto"/>
                <w:sz w:val="19"/>
                <w:szCs w:val="19"/>
              </w:rPr>
            </w:pPr>
            <w:r>
              <w:rPr>
                <w:rFonts w:ascii="Times New Roman" w:hAnsi="Times New Roman" w:eastAsia="宋体" w:cs="宋体"/>
                <w:color w:val="auto"/>
                <w:spacing w:val="5"/>
                <w:sz w:val="19"/>
                <w:szCs w:val="19"/>
              </w:rPr>
              <w:t>总价（万元）</w:t>
            </w:r>
          </w:p>
        </w:tc>
      </w:tr>
      <w:tr w14:paraId="6BC47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27" w:type="dxa"/>
            <w:noWrap w:val="0"/>
            <w:vAlign w:val="top"/>
          </w:tcPr>
          <w:p w14:paraId="64A629B2">
            <w:pPr>
              <w:spacing w:before="164" w:line="195" w:lineRule="auto"/>
              <w:ind w:left="285"/>
              <w:rPr>
                <w:rFonts w:ascii="Times New Roman" w:hAnsi="Times New Roman" w:eastAsia="宋体" w:cs="宋体"/>
                <w:color w:val="auto"/>
                <w:sz w:val="19"/>
                <w:szCs w:val="19"/>
              </w:rPr>
            </w:pPr>
            <w:r>
              <w:rPr>
                <w:rFonts w:ascii="Times New Roman" w:hAnsi="Times New Roman" w:eastAsia="宋体" w:cs="宋体"/>
                <w:color w:val="auto"/>
                <w:sz w:val="19"/>
                <w:szCs w:val="19"/>
              </w:rPr>
              <w:t>1</w:t>
            </w:r>
          </w:p>
        </w:tc>
        <w:tc>
          <w:tcPr>
            <w:tcW w:w="2267" w:type="dxa"/>
            <w:noWrap w:val="0"/>
            <w:vAlign w:val="top"/>
          </w:tcPr>
          <w:p w14:paraId="49BB8187">
            <w:pPr>
              <w:spacing w:before="129" w:line="234" w:lineRule="auto"/>
              <w:ind w:left="1060"/>
              <w:rPr>
                <w:rFonts w:ascii="Times New Roman" w:hAnsi="Times New Roman" w:eastAsia="宋体" w:cs="宋体"/>
                <w:color w:val="auto"/>
                <w:sz w:val="19"/>
                <w:szCs w:val="19"/>
              </w:rPr>
            </w:pPr>
            <w:r>
              <w:rPr>
                <w:rFonts w:ascii="Times New Roman" w:hAnsi="Times New Roman" w:eastAsia="宋体" w:cs="宋体"/>
                <w:color w:val="auto"/>
                <w:sz w:val="19"/>
                <w:szCs w:val="19"/>
              </w:rPr>
              <w:t>电</w:t>
            </w:r>
          </w:p>
        </w:tc>
        <w:tc>
          <w:tcPr>
            <w:tcW w:w="850" w:type="dxa"/>
            <w:noWrap w:val="0"/>
            <w:vAlign w:val="center"/>
          </w:tcPr>
          <w:p w14:paraId="6F4B58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pacing w:val="31"/>
                <w:sz w:val="21"/>
                <w:szCs w:val="24"/>
              </w:rPr>
              <w:t>万</w:t>
            </w:r>
            <w:r>
              <w:rPr>
                <w:rFonts w:ascii="Times New Roman" w:hAnsi="Times New Roman" w:eastAsia="宋体" w:cs="宋体"/>
                <w:color w:val="auto"/>
                <w:sz w:val="21"/>
                <w:szCs w:val="24"/>
              </w:rPr>
              <w:t>kWh</w:t>
            </w:r>
          </w:p>
        </w:tc>
        <w:tc>
          <w:tcPr>
            <w:tcW w:w="1558" w:type="dxa"/>
            <w:noWrap w:val="0"/>
            <w:vAlign w:val="center"/>
          </w:tcPr>
          <w:p w14:paraId="5E57C5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宋体"/>
                <w:color w:val="auto"/>
                <w:sz w:val="19"/>
                <w:szCs w:val="19"/>
              </w:rPr>
            </w:pPr>
            <w:r>
              <w:rPr>
                <w:rFonts w:hint="eastAsia" w:ascii="Times New Roman" w:hAnsi="Times New Roman" w:eastAsia="宋体" w:cs="宋体"/>
                <w:color w:val="auto"/>
                <w:sz w:val="21"/>
                <w:szCs w:val="24"/>
                <w:lang w:val="en-US" w:eastAsia="zh-CN"/>
              </w:rPr>
              <w:t>251.83</w:t>
            </w:r>
          </w:p>
        </w:tc>
        <w:tc>
          <w:tcPr>
            <w:tcW w:w="1416" w:type="dxa"/>
            <w:noWrap w:val="0"/>
            <w:vAlign w:val="top"/>
          </w:tcPr>
          <w:p w14:paraId="5C3B42CA">
            <w:pPr>
              <w:spacing w:before="164" w:line="195" w:lineRule="auto"/>
              <w:ind w:left="539"/>
              <w:rPr>
                <w:rFonts w:ascii="Times New Roman" w:hAnsi="Times New Roman" w:eastAsia="宋体" w:cs="宋体"/>
                <w:color w:val="auto"/>
                <w:sz w:val="19"/>
                <w:szCs w:val="19"/>
              </w:rPr>
            </w:pPr>
            <w:r>
              <w:rPr>
                <w:rFonts w:ascii="Times New Roman" w:hAnsi="Times New Roman" w:eastAsia="宋体" w:cs="宋体"/>
                <w:color w:val="auto"/>
                <w:spacing w:val="2"/>
                <w:sz w:val="19"/>
                <w:szCs w:val="19"/>
              </w:rPr>
              <w:t>0.65</w:t>
            </w:r>
          </w:p>
        </w:tc>
        <w:tc>
          <w:tcPr>
            <w:tcW w:w="1564" w:type="dxa"/>
            <w:noWrap w:val="0"/>
            <w:vAlign w:val="top"/>
          </w:tcPr>
          <w:p w14:paraId="5D5DC5DD">
            <w:pPr>
              <w:spacing w:before="164" w:line="195" w:lineRule="auto"/>
              <w:ind w:left="527"/>
              <w:rPr>
                <w:rFonts w:hint="default" w:ascii="Times New Roman" w:hAnsi="Times New Roman" w:eastAsia="宋体" w:cs="宋体"/>
                <w:color w:val="auto"/>
                <w:sz w:val="19"/>
                <w:szCs w:val="19"/>
                <w:lang w:val="en-US" w:eastAsia="zh-CN"/>
              </w:rPr>
            </w:pPr>
            <w:r>
              <w:rPr>
                <w:rFonts w:hint="eastAsia" w:ascii="Times New Roman" w:hAnsi="Times New Roman" w:eastAsia="宋体" w:cs="宋体"/>
                <w:color w:val="auto"/>
                <w:sz w:val="19"/>
                <w:szCs w:val="19"/>
                <w:lang w:val="en-US" w:eastAsia="zh-CN"/>
              </w:rPr>
              <w:t>163.69</w:t>
            </w:r>
          </w:p>
        </w:tc>
      </w:tr>
      <w:tr w14:paraId="6B291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27" w:type="dxa"/>
            <w:noWrap w:val="0"/>
            <w:vAlign w:val="top"/>
          </w:tcPr>
          <w:p w14:paraId="2724E3DE">
            <w:pPr>
              <w:spacing w:before="164" w:line="195" w:lineRule="auto"/>
              <w:ind w:left="265"/>
              <w:rPr>
                <w:rFonts w:ascii="Times New Roman" w:hAnsi="Times New Roman" w:eastAsia="宋体" w:cs="宋体"/>
                <w:color w:val="auto"/>
                <w:sz w:val="19"/>
                <w:szCs w:val="19"/>
              </w:rPr>
            </w:pPr>
            <w:r>
              <w:rPr>
                <w:rFonts w:ascii="Times New Roman" w:hAnsi="Times New Roman" w:eastAsia="宋体" w:cs="宋体"/>
                <w:color w:val="auto"/>
                <w:sz w:val="19"/>
                <w:szCs w:val="19"/>
              </w:rPr>
              <w:t>2</w:t>
            </w:r>
          </w:p>
        </w:tc>
        <w:tc>
          <w:tcPr>
            <w:tcW w:w="2267" w:type="dxa"/>
            <w:noWrap w:val="0"/>
            <w:vAlign w:val="top"/>
          </w:tcPr>
          <w:p w14:paraId="4832671C">
            <w:pPr>
              <w:spacing w:before="130" w:line="228" w:lineRule="auto"/>
              <w:ind w:left="1039"/>
              <w:rPr>
                <w:rFonts w:ascii="Times New Roman" w:hAnsi="Times New Roman" w:eastAsia="宋体" w:cs="宋体"/>
                <w:color w:val="auto"/>
                <w:sz w:val="19"/>
                <w:szCs w:val="19"/>
              </w:rPr>
            </w:pPr>
            <w:r>
              <w:rPr>
                <w:rFonts w:ascii="Times New Roman" w:hAnsi="Times New Roman" w:eastAsia="宋体" w:cs="宋体"/>
                <w:color w:val="auto"/>
                <w:sz w:val="19"/>
                <w:szCs w:val="19"/>
              </w:rPr>
              <w:t>水</w:t>
            </w:r>
          </w:p>
        </w:tc>
        <w:tc>
          <w:tcPr>
            <w:tcW w:w="850" w:type="dxa"/>
            <w:noWrap w:val="0"/>
            <w:vAlign w:val="center"/>
          </w:tcPr>
          <w:p w14:paraId="2B7EEF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pacing w:val="-2"/>
                <w:sz w:val="21"/>
                <w:szCs w:val="24"/>
              </w:rPr>
              <w:t>m³</w:t>
            </w:r>
          </w:p>
        </w:tc>
        <w:tc>
          <w:tcPr>
            <w:tcW w:w="1558" w:type="dxa"/>
            <w:noWrap w:val="0"/>
            <w:vAlign w:val="center"/>
          </w:tcPr>
          <w:p w14:paraId="49D74C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宋体"/>
                <w:color w:val="auto"/>
                <w:sz w:val="19"/>
                <w:szCs w:val="19"/>
              </w:rPr>
            </w:pPr>
            <w:r>
              <w:rPr>
                <w:rFonts w:hint="eastAsia" w:ascii="Times New Roman" w:hAnsi="Times New Roman" w:eastAsia="宋体" w:cs="宋体"/>
                <w:color w:val="auto"/>
                <w:sz w:val="21"/>
                <w:szCs w:val="24"/>
                <w:lang w:val="en-US" w:eastAsia="zh-CN"/>
              </w:rPr>
              <w:t>85734</w:t>
            </w:r>
          </w:p>
        </w:tc>
        <w:tc>
          <w:tcPr>
            <w:tcW w:w="1416" w:type="dxa"/>
            <w:noWrap w:val="0"/>
            <w:vAlign w:val="top"/>
          </w:tcPr>
          <w:p w14:paraId="3D416453">
            <w:pPr>
              <w:spacing w:before="164" w:line="195" w:lineRule="auto"/>
              <w:ind w:left="539"/>
              <w:rPr>
                <w:rFonts w:ascii="Times New Roman" w:hAnsi="Times New Roman" w:eastAsia="宋体" w:cs="宋体"/>
                <w:color w:val="auto"/>
                <w:sz w:val="19"/>
                <w:szCs w:val="19"/>
              </w:rPr>
            </w:pPr>
            <w:r>
              <w:rPr>
                <w:rFonts w:ascii="Times New Roman" w:hAnsi="Times New Roman" w:eastAsia="宋体" w:cs="宋体"/>
                <w:color w:val="auto"/>
                <w:spacing w:val="2"/>
                <w:sz w:val="19"/>
                <w:szCs w:val="19"/>
              </w:rPr>
              <w:t>0.78</w:t>
            </w:r>
          </w:p>
        </w:tc>
        <w:tc>
          <w:tcPr>
            <w:tcW w:w="1564" w:type="dxa"/>
            <w:noWrap w:val="0"/>
            <w:vAlign w:val="top"/>
          </w:tcPr>
          <w:p w14:paraId="7CA75F49">
            <w:pPr>
              <w:spacing w:before="164" w:line="195" w:lineRule="auto"/>
              <w:jc w:val="center"/>
              <w:rPr>
                <w:rFonts w:hint="default" w:ascii="Times New Roman" w:hAnsi="Times New Roman" w:eastAsia="宋体" w:cs="宋体"/>
                <w:color w:val="auto"/>
                <w:sz w:val="19"/>
                <w:szCs w:val="19"/>
                <w:lang w:val="en-US" w:eastAsia="zh-CN"/>
              </w:rPr>
            </w:pPr>
            <w:r>
              <w:rPr>
                <w:rFonts w:hint="eastAsia" w:ascii="Times New Roman" w:hAnsi="Times New Roman" w:eastAsia="宋体" w:cs="宋体"/>
                <w:color w:val="auto"/>
                <w:sz w:val="19"/>
                <w:szCs w:val="19"/>
                <w:lang w:val="en-US" w:eastAsia="zh-CN"/>
              </w:rPr>
              <w:t>6.69</w:t>
            </w:r>
          </w:p>
        </w:tc>
      </w:tr>
      <w:tr w14:paraId="37CC7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27" w:type="dxa"/>
            <w:noWrap w:val="0"/>
            <w:vAlign w:val="top"/>
          </w:tcPr>
          <w:p w14:paraId="65C9756C">
            <w:pPr>
              <w:spacing w:before="167" w:line="195" w:lineRule="auto"/>
              <w:ind w:left="269"/>
              <w:rPr>
                <w:rFonts w:ascii="Times New Roman" w:hAnsi="Times New Roman" w:eastAsia="宋体" w:cs="宋体"/>
                <w:color w:val="auto"/>
                <w:sz w:val="19"/>
                <w:szCs w:val="19"/>
              </w:rPr>
            </w:pPr>
            <w:r>
              <w:rPr>
                <w:rFonts w:ascii="Times New Roman" w:hAnsi="Times New Roman" w:eastAsia="宋体" w:cs="宋体"/>
                <w:color w:val="auto"/>
                <w:sz w:val="19"/>
                <w:szCs w:val="19"/>
              </w:rPr>
              <w:t>3</w:t>
            </w:r>
          </w:p>
        </w:tc>
        <w:tc>
          <w:tcPr>
            <w:tcW w:w="2267" w:type="dxa"/>
            <w:noWrap w:val="0"/>
            <w:vAlign w:val="top"/>
          </w:tcPr>
          <w:p w14:paraId="58B678BC">
            <w:pPr>
              <w:spacing w:before="132" w:line="229" w:lineRule="auto"/>
              <w:jc w:val="center"/>
              <w:rPr>
                <w:rFonts w:hint="default" w:ascii="Times New Roman" w:hAnsi="Times New Roman" w:eastAsia="宋体" w:cs="宋体"/>
                <w:color w:val="auto"/>
                <w:sz w:val="19"/>
                <w:szCs w:val="19"/>
                <w:lang w:val="en-US" w:eastAsia="zh-CN"/>
              </w:rPr>
            </w:pPr>
            <w:r>
              <w:rPr>
                <w:rFonts w:hint="eastAsia" w:ascii="Times New Roman" w:hAnsi="Times New Roman" w:eastAsia="宋体" w:cs="宋体"/>
                <w:color w:val="auto"/>
                <w:sz w:val="19"/>
                <w:szCs w:val="19"/>
                <w:lang w:val="en-US" w:eastAsia="zh-CN"/>
              </w:rPr>
              <w:t>天然气</w:t>
            </w:r>
          </w:p>
        </w:tc>
        <w:tc>
          <w:tcPr>
            <w:tcW w:w="850" w:type="dxa"/>
            <w:noWrap w:val="0"/>
            <w:vAlign w:val="center"/>
          </w:tcPr>
          <w:p w14:paraId="4A06C6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宋体"/>
                <w:color w:val="auto"/>
                <w:sz w:val="19"/>
                <w:szCs w:val="19"/>
              </w:rPr>
            </w:pPr>
            <w:r>
              <w:rPr>
                <w:rFonts w:ascii="Times New Roman" w:hAnsi="Times New Roman" w:eastAsia="宋体" w:cs="宋体"/>
                <w:color w:val="auto"/>
                <w:spacing w:val="-2"/>
                <w:sz w:val="21"/>
                <w:szCs w:val="24"/>
              </w:rPr>
              <w:t>m³</w:t>
            </w:r>
          </w:p>
        </w:tc>
        <w:tc>
          <w:tcPr>
            <w:tcW w:w="1558" w:type="dxa"/>
            <w:noWrap w:val="0"/>
            <w:vAlign w:val="center"/>
          </w:tcPr>
          <w:p w14:paraId="7AD8780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宋体"/>
                <w:color w:val="auto"/>
                <w:sz w:val="19"/>
                <w:szCs w:val="19"/>
              </w:rPr>
            </w:pPr>
            <w:r>
              <w:rPr>
                <w:rFonts w:hint="eastAsia" w:ascii="Times New Roman" w:hAnsi="Times New Roman" w:eastAsia="宋体" w:cs="宋体"/>
                <w:color w:val="auto"/>
                <w:sz w:val="21"/>
                <w:szCs w:val="24"/>
                <w:lang w:val="en-US" w:eastAsia="zh-CN"/>
              </w:rPr>
              <w:t>2700000</w:t>
            </w:r>
          </w:p>
        </w:tc>
        <w:tc>
          <w:tcPr>
            <w:tcW w:w="1416" w:type="dxa"/>
            <w:noWrap w:val="0"/>
            <w:vAlign w:val="top"/>
          </w:tcPr>
          <w:p w14:paraId="681F714B">
            <w:pPr>
              <w:spacing w:before="167" w:line="195" w:lineRule="auto"/>
              <w:ind w:left="563"/>
              <w:rPr>
                <w:rFonts w:hint="default" w:ascii="Times New Roman" w:hAnsi="Times New Roman" w:eastAsia="宋体" w:cs="宋体"/>
                <w:color w:val="auto"/>
                <w:sz w:val="19"/>
                <w:szCs w:val="19"/>
                <w:lang w:val="en-US" w:eastAsia="zh-CN"/>
              </w:rPr>
            </w:pPr>
            <w:r>
              <w:rPr>
                <w:rFonts w:hint="eastAsia" w:ascii="Times New Roman" w:hAnsi="Times New Roman" w:eastAsia="宋体" w:cs="宋体"/>
                <w:color w:val="auto"/>
                <w:spacing w:val="2"/>
                <w:sz w:val="19"/>
                <w:szCs w:val="19"/>
                <w:lang w:val="en-US" w:eastAsia="zh-CN"/>
              </w:rPr>
              <w:t>3.00</w:t>
            </w:r>
          </w:p>
        </w:tc>
        <w:tc>
          <w:tcPr>
            <w:tcW w:w="1564" w:type="dxa"/>
            <w:noWrap w:val="0"/>
            <w:vAlign w:val="top"/>
          </w:tcPr>
          <w:p w14:paraId="53D7AA58">
            <w:pPr>
              <w:spacing w:before="167" w:line="195" w:lineRule="auto"/>
              <w:jc w:val="center"/>
              <w:rPr>
                <w:rFonts w:hint="default" w:ascii="Times New Roman" w:hAnsi="Times New Roman" w:eastAsia="宋体" w:cs="宋体"/>
                <w:color w:val="auto"/>
                <w:sz w:val="19"/>
                <w:szCs w:val="19"/>
                <w:lang w:val="en-US" w:eastAsia="zh-CN"/>
              </w:rPr>
            </w:pPr>
            <w:r>
              <w:rPr>
                <w:rFonts w:hint="eastAsia" w:ascii="Times New Roman" w:hAnsi="Times New Roman" w:eastAsia="宋体" w:cs="宋体"/>
                <w:color w:val="auto"/>
                <w:sz w:val="19"/>
                <w:szCs w:val="19"/>
                <w:lang w:val="en-US" w:eastAsia="zh-CN"/>
              </w:rPr>
              <w:t>810.0</w:t>
            </w:r>
          </w:p>
        </w:tc>
      </w:tr>
      <w:tr w14:paraId="27002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6718" w:type="dxa"/>
            <w:gridSpan w:val="5"/>
            <w:noWrap w:val="0"/>
            <w:vAlign w:val="top"/>
          </w:tcPr>
          <w:p w14:paraId="692CD94F">
            <w:pPr>
              <w:spacing w:before="132" w:line="230" w:lineRule="auto"/>
              <w:ind w:left="3167"/>
              <w:rPr>
                <w:rFonts w:ascii="Times New Roman" w:hAnsi="Times New Roman" w:eastAsia="宋体" w:cs="宋体"/>
                <w:color w:val="auto"/>
                <w:sz w:val="19"/>
                <w:szCs w:val="19"/>
              </w:rPr>
            </w:pPr>
            <w:r>
              <w:rPr>
                <w:rFonts w:ascii="Times New Roman" w:hAnsi="Times New Roman" w:eastAsia="宋体" w:cs="宋体"/>
                <w:color w:val="auto"/>
                <w:spacing w:val="4"/>
                <w:sz w:val="19"/>
                <w:szCs w:val="19"/>
              </w:rPr>
              <w:t>合计</w:t>
            </w:r>
          </w:p>
        </w:tc>
        <w:tc>
          <w:tcPr>
            <w:tcW w:w="1564" w:type="dxa"/>
            <w:noWrap w:val="0"/>
            <w:vAlign w:val="top"/>
          </w:tcPr>
          <w:p w14:paraId="7B2204C3">
            <w:pPr>
              <w:spacing w:before="167" w:line="195" w:lineRule="auto"/>
              <w:jc w:val="center"/>
              <w:rPr>
                <w:rFonts w:hint="default" w:ascii="Times New Roman" w:hAnsi="Times New Roman" w:eastAsia="宋体" w:cs="宋体"/>
                <w:color w:val="auto"/>
                <w:sz w:val="19"/>
                <w:szCs w:val="19"/>
                <w:lang w:val="en-US" w:eastAsia="zh-CN"/>
              </w:rPr>
            </w:pPr>
            <w:r>
              <w:rPr>
                <w:rFonts w:hint="eastAsia" w:ascii="Times New Roman" w:hAnsi="Times New Roman" w:eastAsia="宋体" w:cs="宋体"/>
                <w:color w:val="auto"/>
                <w:sz w:val="19"/>
                <w:szCs w:val="19"/>
                <w:lang w:val="en-US" w:eastAsia="zh-CN"/>
              </w:rPr>
              <w:t>980.38</w:t>
            </w:r>
          </w:p>
        </w:tc>
      </w:tr>
    </w:tbl>
    <w:p w14:paraId="49B0F6B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（3）</w:t>
      </w:r>
      <w:r>
        <w:rPr>
          <w:rFonts w:hint="default" w:ascii="Times New Roman" w:hAnsi="Times New Roman" w:eastAsia="宋体" w:cs="宋体"/>
          <w:snapToGrid w:val="0"/>
          <w:color w:val="auto"/>
          <w:kern w:val="0"/>
          <w:sz w:val="24"/>
          <w:szCs w:val="24"/>
          <w:lang w:val="en-US" w:eastAsia="zh-CN" w:bidi="ar"/>
        </w:rPr>
        <w:t>工资及福利：项目建成后新增劳动定员</w:t>
      </w:r>
      <w:r>
        <w:rPr>
          <w:rFonts w:hint="eastAsia" w:ascii="Times New Roman" w:hAnsi="Times New Roman" w:eastAsia="宋体" w:cs="宋体"/>
          <w:snapToGrid w:val="0"/>
          <w:color w:val="auto"/>
          <w:kern w:val="0"/>
          <w:sz w:val="24"/>
          <w:szCs w:val="24"/>
          <w:lang w:val="en-US" w:eastAsia="zh-CN" w:bidi="ar"/>
        </w:rPr>
        <w:t>20</w:t>
      </w:r>
      <w:r>
        <w:rPr>
          <w:rFonts w:hint="default" w:ascii="Times New Roman" w:hAnsi="Times New Roman" w:eastAsia="宋体" w:cs="宋体"/>
          <w:snapToGrid w:val="0"/>
          <w:color w:val="auto"/>
          <w:kern w:val="0"/>
          <w:sz w:val="24"/>
          <w:szCs w:val="24"/>
          <w:lang w:val="en-US" w:eastAsia="zh-CN" w:bidi="ar"/>
        </w:rPr>
        <w:t>名。工资发放标准参照当前养殖行业工资标准，福利费根据国家规定，经计算共计</w:t>
      </w:r>
      <w:r>
        <w:rPr>
          <w:rFonts w:hint="eastAsia" w:ascii="Times New Roman" w:hAnsi="Times New Roman" w:eastAsia="宋体" w:cs="宋体"/>
          <w:snapToGrid w:val="0"/>
          <w:color w:val="auto"/>
          <w:kern w:val="0"/>
          <w:sz w:val="24"/>
          <w:szCs w:val="24"/>
          <w:lang w:val="en-US" w:eastAsia="zh-CN" w:bidi="ar"/>
        </w:rPr>
        <w:t>153.6</w:t>
      </w:r>
      <w:r>
        <w:rPr>
          <w:rFonts w:hint="default" w:ascii="Times New Roman" w:hAnsi="Times New Roman" w:eastAsia="宋体" w:cs="宋体"/>
          <w:snapToGrid w:val="0"/>
          <w:color w:val="auto"/>
          <w:kern w:val="0"/>
          <w:sz w:val="24"/>
          <w:szCs w:val="24"/>
          <w:lang w:val="en-US" w:eastAsia="zh-CN" w:bidi="ar"/>
        </w:rPr>
        <w:t>万元。</w:t>
      </w:r>
    </w:p>
    <w:p w14:paraId="0BAE938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highlight w:val="none"/>
          <w:lang w:val="en-US" w:eastAsia="zh-CN" w:bidi="ar"/>
        </w:rPr>
      </w:pPr>
      <w:r>
        <w:rPr>
          <w:rFonts w:hint="eastAsia" w:ascii="Times New Roman" w:hAnsi="Times New Roman" w:eastAsia="宋体" w:cs="宋体"/>
          <w:snapToGrid w:val="0"/>
          <w:color w:val="auto"/>
          <w:kern w:val="0"/>
          <w:sz w:val="24"/>
          <w:szCs w:val="24"/>
          <w:lang w:val="en-US" w:eastAsia="zh-CN" w:bidi="ar"/>
        </w:rPr>
        <w:t>（4）</w:t>
      </w:r>
      <w:r>
        <w:rPr>
          <w:rFonts w:hint="default" w:ascii="Times New Roman" w:hAnsi="Times New Roman" w:eastAsia="宋体" w:cs="宋体"/>
          <w:snapToGrid w:val="0"/>
          <w:color w:val="auto"/>
          <w:kern w:val="0"/>
          <w:sz w:val="24"/>
          <w:szCs w:val="24"/>
          <w:lang w:val="en-US" w:eastAsia="zh-CN" w:bidi="ar"/>
        </w:rPr>
        <w:t>修理费：按折旧费的50%计，</w:t>
      </w:r>
      <w:r>
        <w:rPr>
          <w:rFonts w:hint="default" w:ascii="Times New Roman" w:hAnsi="Times New Roman" w:eastAsia="宋体" w:cs="宋体"/>
          <w:snapToGrid w:val="0"/>
          <w:color w:val="auto"/>
          <w:kern w:val="0"/>
          <w:sz w:val="24"/>
          <w:szCs w:val="24"/>
          <w:highlight w:val="none"/>
          <w:lang w:val="en-US" w:eastAsia="zh-CN" w:bidi="ar"/>
        </w:rPr>
        <w:t>共</w:t>
      </w:r>
      <w:r>
        <w:rPr>
          <w:rFonts w:hint="eastAsia" w:ascii="Times New Roman" w:hAnsi="Times New Roman" w:eastAsia="宋体" w:cs="宋体"/>
          <w:snapToGrid w:val="0"/>
          <w:color w:val="auto"/>
          <w:kern w:val="0"/>
          <w:sz w:val="24"/>
          <w:szCs w:val="24"/>
          <w:highlight w:val="none"/>
          <w:lang w:val="en-US" w:eastAsia="zh-CN" w:bidi="ar"/>
        </w:rPr>
        <w:t>49.89</w:t>
      </w:r>
      <w:r>
        <w:rPr>
          <w:rFonts w:hint="default" w:ascii="Times New Roman" w:hAnsi="Times New Roman" w:eastAsia="宋体" w:cs="宋体"/>
          <w:snapToGrid w:val="0"/>
          <w:color w:val="auto"/>
          <w:kern w:val="0"/>
          <w:sz w:val="24"/>
          <w:szCs w:val="24"/>
          <w:highlight w:val="none"/>
          <w:lang w:val="en-US" w:eastAsia="zh-CN" w:bidi="ar"/>
        </w:rPr>
        <w:t>万元。</w:t>
      </w:r>
    </w:p>
    <w:p w14:paraId="63118BD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（5）</w:t>
      </w:r>
      <w:r>
        <w:rPr>
          <w:rFonts w:hint="default" w:ascii="Times New Roman" w:hAnsi="Times New Roman" w:eastAsia="宋体" w:cs="宋体"/>
          <w:snapToGrid w:val="0"/>
          <w:color w:val="auto"/>
          <w:kern w:val="0"/>
          <w:sz w:val="24"/>
          <w:szCs w:val="24"/>
          <w:lang w:val="en-US" w:eastAsia="zh-CN" w:bidi="ar"/>
        </w:rPr>
        <w:t>其他管理费</w:t>
      </w:r>
    </w:p>
    <w:p w14:paraId="78E85C2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扣除工资及福利费、折旧费、摊销费、修理费，其他</w:t>
      </w:r>
      <w:r>
        <w:rPr>
          <w:rFonts w:hint="eastAsia" w:ascii="Times New Roman" w:hAnsi="Times New Roman" w:eastAsia="宋体" w:cs="宋体"/>
          <w:snapToGrid w:val="0"/>
          <w:color w:val="auto"/>
          <w:kern w:val="0"/>
          <w:sz w:val="24"/>
          <w:szCs w:val="24"/>
          <w:lang w:val="en-US" w:eastAsia="zh-CN" w:bidi="ar"/>
        </w:rPr>
        <w:t>管理</w:t>
      </w:r>
      <w:r>
        <w:rPr>
          <w:rFonts w:hint="default" w:ascii="Times New Roman" w:hAnsi="Times New Roman" w:eastAsia="宋体" w:cs="宋体"/>
          <w:snapToGrid w:val="0"/>
          <w:color w:val="auto"/>
          <w:kern w:val="0"/>
          <w:sz w:val="24"/>
          <w:szCs w:val="24"/>
          <w:lang w:val="en-US" w:eastAsia="zh-CN" w:bidi="ar"/>
        </w:rPr>
        <w:t>费用3</w:t>
      </w:r>
      <w:r>
        <w:rPr>
          <w:rFonts w:hint="eastAsia" w:ascii="Times New Roman" w:hAnsi="Times New Roman" w:eastAsia="宋体" w:cs="宋体"/>
          <w:snapToGrid w:val="0"/>
          <w:color w:val="auto"/>
          <w:kern w:val="0"/>
          <w:sz w:val="24"/>
          <w:szCs w:val="24"/>
          <w:lang w:val="en-US" w:eastAsia="zh-CN" w:bidi="ar"/>
        </w:rPr>
        <w:t>0.33</w:t>
      </w:r>
      <w:r>
        <w:rPr>
          <w:rFonts w:hint="default" w:ascii="Times New Roman" w:hAnsi="Times New Roman" w:eastAsia="宋体" w:cs="宋体"/>
          <w:snapToGrid w:val="0"/>
          <w:color w:val="auto"/>
          <w:kern w:val="0"/>
          <w:sz w:val="24"/>
          <w:szCs w:val="24"/>
          <w:lang w:val="en-US" w:eastAsia="zh-CN" w:bidi="ar"/>
        </w:rPr>
        <w:t>万元。</w:t>
      </w:r>
    </w:p>
    <w:p w14:paraId="11A58E4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（6）</w:t>
      </w:r>
      <w:r>
        <w:rPr>
          <w:rFonts w:hint="default" w:ascii="Times New Roman" w:hAnsi="Times New Roman" w:eastAsia="宋体" w:cs="宋体"/>
          <w:snapToGrid w:val="0"/>
          <w:color w:val="auto"/>
          <w:kern w:val="0"/>
          <w:sz w:val="24"/>
          <w:szCs w:val="24"/>
          <w:lang w:val="en-US" w:eastAsia="zh-CN" w:bidi="ar"/>
        </w:rPr>
        <w:t>折旧、摊销费：按直线法计提折旧，土建工程按50年折旧，设备按30年折旧，其他按5年折旧，经计算，项目年折旧摊销费</w:t>
      </w:r>
      <w:r>
        <w:rPr>
          <w:rFonts w:hint="eastAsia" w:ascii="Times New Roman" w:hAnsi="Times New Roman" w:eastAsia="宋体" w:cs="宋体"/>
          <w:snapToGrid w:val="0"/>
          <w:color w:val="auto"/>
          <w:kern w:val="0"/>
          <w:sz w:val="24"/>
          <w:szCs w:val="24"/>
          <w:lang w:val="en-US" w:eastAsia="zh-CN" w:bidi="ar"/>
        </w:rPr>
        <w:t>99.78</w:t>
      </w:r>
      <w:r>
        <w:rPr>
          <w:rFonts w:hint="default" w:ascii="Times New Roman" w:hAnsi="Times New Roman" w:eastAsia="宋体" w:cs="宋体"/>
          <w:snapToGrid w:val="0"/>
          <w:color w:val="auto"/>
          <w:kern w:val="0"/>
          <w:sz w:val="24"/>
          <w:szCs w:val="24"/>
          <w:lang w:val="en-US" w:eastAsia="zh-CN" w:bidi="ar"/>
        </w:rPr>
        <w:t>万元。</w:t>
      </w:r>
    </w:p>
    <w:p w14:paraId="48803C3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（7）</w:t>
      </w:r>
      <w:r>
        <w:rPr>
          <w:rFonts w:hint="default" w:ascii="Times New Roman" w:hAnsi="Times New Roman" w:eastAsia="宋体" w:cs="宋体"/>
          <w:snapToGrid w:val="0"/>
          <w:color w:val="auto"/>
          <w:kern w:val="0"/>
          <w:sz w:val="24"/>
          <w:szCs w:val="24"/>
          <w:lang w:val="en-US" w:eastAsia="zh-CN" w:bidi="ar"/>
        </w:rPr>
        <w:t>租赁费用：</w:t>
      </w:r>
      <w:r>
        <w:rPr>
          <w:rFonts w:hint="eastAsia" w:ascii="Times New Roman" w:hAnsi="Times New Roman" w:eastAsia="宋体" w:cs="宋体"/>
          <w:snapToGrid w:val="0"/>
          <w:color w:val="auto"/>
          <w:kern w:val="0"/>
          <w:sz w:val="24"/>
          <w:szCs w:val="24"/>
          <w:lang w:val="en-US" w:eastAsia="zh-CN" w:bidi="ar"/>
        </w:rPr>
        <w:t>180</w:t>
      </w:r>
      <w:r>
        <w:rPr>
          <w:rFonts w:hint="default" w:ascii="Times New Roman" w:hAnsi="Times New Roman" w:eastAsia="宋体" w:cs="宋体"/>
          <w:snapToGrid w:val="0"/>
          <w:color w:val="auto"/>
          <w:kern w:val="0"/>
          <w:sz w:val="24"/>
          <w:szCs w:val="24"/>
          <w:lang w:val="en-US" w:eastAsia="zh-CN" w:bidi="ar"/>
        </w:rPr>
        <w:t>万元。</w:t>
      </w:r>
    </w:p>
    <w:p w14:paraId="089ADB9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highlight w:val="none"/>
          <w:lang w:val="en-US" w:eastAsia="zh-CN" w:bidi="ar"/>
        </w:rPr>
      </w:pPr>
      <w:r>
        <w:rPr>
          <w:rFonts w:hint="eastAsia" w:ascii="Times New Roman" w:hAnsi="Times New Roman" w:eastAsia="宋体" w:cs="宋体"/>
          <w:snapToGrid w:val="0"/>
          <w:color w:val="auto"/>
          <w:kern w:val="0"/>
          <w:sz w:val="24"/>
          <w:szCs w:val="24"/>
          <w:highlight w:val="none"/>
          <w:lang w:val="en-US" w:eastAsia="zh-CN" w:bidi="ar"/>
        </w:rPr>
        <w:t>（8）</w:t>
      </w:r>
      <w:r>
        <w:rPr>
          <w:rFonts w:hint="default" w:ascii="Times New Roman" w:hAnsi="Times New Roman" w:eastAsia="宋体" w:cs="宋体"/>
          <w:snapToGrid w:val="0"/>
          <w:color w:val="auto"/>
          <w:kern w:val="0"/>
          <w:sz w:val="24"/>
          <w:szCs w:val="24"/>
          <w:highlight w:val="none"/>
          <w:lang w:val="en-US" w:eastAsia="zh-CN" w:bidi="ar"/>
        </w:rPr>
        <w:t>营业费用</w:t>
      </w:r>
      <w:r>
        <w:rPr>
          <w:rFonts w:hint="eastAsia" w:ascii="Times New Roman" w:hAnsi="Times New Roman" w:eastAsia="宋体" w:cs="宋体"/>
          <w:snapToGrid w:val="0"/>
          <w:color w:val="auto"/>
          <w:kern w:val="0"/>
          <w:sz w:val="24"/>
          <w:szCs w:val="24"/>
          <w:highlight w:val="none"/>
          <w:lang w:val="en-US" w:eastAsia="zh-CN" w:bidi="ar"/>
        </w:rPr>
        <w:t>513.6</w:t>
      </w:r>
      <w:r>
        <w:rPr>
          <w:rFonts w:hint="default" w:ascii="Times New Roman" w:hAnsi="Times New Roman" w:eastAsia="宋体" w:cs="宋体"/>
          <w:snapToGrid w:val="0"/>
          <w:color w:val="auto"/>
          <w:kern w:val="0"/>
          <w:sz w:val="24"/>
          <w:szCs w:val="24"/>
          <w:highlight w:val="none"/>
          <w:lang w:val="en-US" w:eastAsia="zh-CN" w:bidi="ar"/>
        </w:rPr>
        <w:t>万元。</w:t>
      </w:r>
    </w:p>
    <w:p w14:paraId="0063C84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highlight w:val="none"/>
          <w:lang w:val="en-US" w:eastAsia="zh-CN" w:bidi="ar"/>
        </w:rPr>
      </w:pPr>
      <w:r>
        <w:rPr>
          <w:rFonts w:hint="default" w:ascii="Times New Roman" w:hAnsi="Times New Roman" w:eastAsia="宋体" w:cs="宋体"/>
          <w:snapToGrid w:val="0"/>
          <w:color w:val="auto"/>
          <w:kern w:val="0"/>
          <w:sz w:val="24"/>
          <w:szCs w:val="24"/>
          <w:highlight w:val="none"/>
          <w:lang w:val="en-US" w:eastAsia="zh-CN" w:bidi="ar"/>
        </w:rPr>
        <w:t>经计算，项目正常年份总成本费用为</w:t>
      </w:r>
      <w:r>
        <w:rPr>
          <w:rFonts w:hint="eastAsia" w:ascii="Times New Roman" w:hAnsi="Times New Roman" w:eastAsia="宋体" w:cs="宋体"/>
          <w:snapToGrid w:val="0"/>
          <w:color w:val="auto"/>
          <w:kern w:val="0"/>
          <w:sz w:val="24"/>
          <w:szCs w:val="24"/>
          <w:highlight w:val="none"/>
          <w:lang w:val="en-US" w:eastAsia="zh-CN" w:bidi="ar"/>
        </w:rPr>
        <w:t>10417.57</w:t>
      </w:r>
      <w:r>
        <w:rPr>
          <w:rFonts w:hint="default" w:ascii="Times New Roman" w:hAnsi="Times New Roman" w:eastAsia="宋体" w:cs="宋体"/>
          <w:snapToGrid w:val="0"/>
          <w:color w:val="auto"/>
          <w:kern w:val="0"/>
          <w:sz w:val="24"/>
          <w:szCs w:val="24"/>
          <w:highlight w:val="none"/>
          <w:lang w:val="en-US" w:eastAsia="zh-CN" w:bidi="ar"/>
        </w:rPr>
        <w:t>万元（可变成本</w:t>
      </w:r>
      <w:r>
        <w:rPr>
          <w:rFonts w:hint="eastAsia" w:ascii="Times New Roman" w:hAnsi="Times New Roman" w:eastAsia="宋体" w:cs="宋体"/>
          <w:snapToGrid w:val="0"/>
          <w:color w:val="auto"/>
          <w:kern w:val="0"/>
          <w:sz w:val="24"/>
          <w:szCs w:val="24"/>
          <w:highlight w:val="none"/>
          <w:lang w:val="en-US" w:eastAsia="zh-CN" w:bidi="ar"/>
        </w:rPr>
        <w:t>8319.47</w:t>
      </w:r>
      <w:r>
        <w:rPr>
          <w:rFonts w:hint="default" w:ascii="Times New Roman" w:hAnsi="Times New Roman" w:eastAsia="宋体" w:cs="宋体"/>
          <w:snapToGrid w:val="0"/>
          <w:color w:val="auto"/>
          <w:kern w:val="0"/>
          <w:sz w:val="24"/>
          <w:szCs w:val="24"/>
          <w:highlight w:val="none"/>
          <w:lang w:val="en-US" w:eastAsia="zh-CN" w:bidi="ar"/>
        </w:rPr>
        <w:t>万元，固定成本</w:t>
      </w:r>
      <w:r>
        <w:rPr>
          <w:rFonts w:hint="eastAsia" w:ascii="Times New Roman" w:hAnsi="Times New Roman" w:eastAsia="宋体" w:cs="宋体"/>
          <w:snapToGrid w:val="0"/>
          <w:color w:val="auto"/>
          <w:kern w:val="0"/>
          <w:sz w:val="24"/>
          <w:szCs w:val="24"/>
          <w:highlight w:val="none"/>
          <w:lang w:val="en-US" w:eastAsia="zh-CN" w:bidi="ar"/>
        </w:rPr>
        <w:t>2098.10</w:t>
      </w:r>
      <w:r>
        <w:rPr>
          <w:rFonts w:hint="default" w:ascii="Times New Roman" w:hAnsi="Times New Roman" w:eastAsia="宋体" w:cs="宋体"/>
          <w:snapToGrid w:val="0"/>
          <w:color w:val="auto"/>
          <w:kern w:val="0"/>
          <w:sz w:val="24"/>
          <w:szCs w:val="24"/>
          <w:highlight w:val="none"/>
          <w:lang w:val="en-US" w:eastAsia="zh-CN" w:bidi="ar"/>
        </w:rPr>
        <w:t>万元），其中：经营成本为</w:t>
      </w:r>
      <w:r>
        <w:rPr>
          <w:rFonts w:hint="eastAsia" w:ascii="Times New Roman" w:hAnsi="Times New Roman" w:eastAsia="宋体" w:cs="宋体"/>
          <w:snapToGrid w:val="0"/>
          <w:color w:val="auto"/>
          <w:kern w:val="0"/>
          <w:sz w:val="24"/>
          <w:szCs w:val="24"/>
          <w:highlight w:val="none"/>
          <w:lang w:val="en-US" w:eastAsia="zh-CN" w:bidi="ar"/>
        </w:rPr>
        <w:t>10317.79</w:t>
      </w:r>
      <w:r>
        <w:rPr>
          <w:rFonts w:hint="default" w:ascii="Times New Roman" w:hAnsi="Times New Roman" w:eastAsia="宋体" w:cs="宋体"/>
          <w:snapToGrid w:val="0"/>
          <w:color w:val="auto"/>
          <w:kern w:val="0"/>
          <w:sz w:val="24"/>
          <w:szCs w:val="24"/>
          <w:highlight w:val="none"/>
          <w:lang w:val="en-US" w:eastAsia="zh-CN" w:bidi="ar"/>
        </w:rPr>
        <w:t>万元。</w:t>
      </w:r>
    </w:p>
    <w:p w14:paraId="7432B3F9">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ascii="Times New Roman" w:hAnsi="Times New Roman" w:eastAsia="宋体" w:cs="宋体"/>
          <w:color w:val="auto"/>
        </w:rPr>
      </w:pPr>
      <w:bookmarkStart w:id="174" w:name="bookmark128"/>
      <w:bookmarkEnd w:id="174"/>
      <w:bookmarkStart w:id="175" w:name="bookmark127"/>
      <w:bookmarkEnd w:id="175"/>
      <w:bookmarkStart w:id="176" w:name="_Toc1219"/>
      <w:r>
        <w:rPr>
          <w:rFonts w:hint="eastAsia" w:ascii="Times New Roman" w:hAnsi="Times New Roman" w:eastAsia="宋体" w:cs="宋体"/>
          <w:b/>
          <w:bCs/>
          <w:color w:val="auto"/>
          <w:sz w:val="28"/>
          <w:szCs w:val="28"/>
          <w:lang w:val="en-US" w:eastAsia="zh-CN"/>
        </w:rPr>
        <w:t>16.4、财务效益分析</w:t>
      </w:r>
      <w:bookmarkEnd w:id="176"/>
    </w:p>
    <w:p w14:paraId="289318AC">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16.4.1、盈利能力分析</w:t>
      </w:r>
    </w:p>
    <w:p w14:paraId="4F8319B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项目实施后，年新增销售收入</w:t>
      </w:r>
      <w:r>
        <w:rPr>
          <w:rFonts w:hint="eastAsia" w:ascii="Times New Roman" w:hAnsi="Times New Roman" w:eastAsia="宋体" w:cs="宋体"/>
          <w:snapToGrid w:val="0"/>
          <w:color w:val="auto"/>
          <w:kern w:val="0"/>
          <w:sz w:val="24"/>
          <w:szCs w:val="24"/>
          <w:lang w:val="en-US" w:eastAsia="zh-CN" w:bidi="ar"/>
        </w:rPr>
        <w:t>11200</w:t>
      </w:r>
      <w:r>
        <w:rPr>
          <w:rFonts w:hint="default" w:ascii="Times New Roman" w:hAnsi="Times New Roman" w:eastAsia="宋体" w:cs="宋体"/>
          <w:snapToGrid w:val="0"/>
          <w:color w:val="auto"/>
          <w:kern w:val="0"/>
          <w:sz w:val="24"/>
          <w:szCs w:val="24"/>
          <w:lang w:val="en-US" w:eastAsia="zh-CN" w:bidi="ar"/>
        </w:rPr>
        <w:t>万元，年利润总额</w:t>
      </w:r>
      <w:r>
        <w:rPr>
          <w:rFonts w:hint="eastAsia" w:ascii="Times New Roman" w:hAnsi="Times New Roman" w:eastAsia="宋体" w:cs="宋体"/>
          <w:snapToGrid w:val="0"/>
          <w:color w:val="auto"/>
          <w:kern w:val="0"/>
          <w:sz w:val="24"/>
          <w:szCs w:val="24"/>
          <w:lang w:val="en-US" w:eastAsia="zh-CN" w:bidi="ar"/>
        </w:rPr>
        <w:t>753.42</w:t>
      </w:r>
      <w:r>
        <w:rPr>
          <w:rFonts w:hint="default" w:ascii="Times New Roman" w:hAnsi="Times New Roman" w:eastAsia="宋体" w:cs="宋体"/>
          <w:snapToGrid w:val="0"/>
          <w:color w:val="auto"/>
          <w:kern w:val="0"/>
          <w:sz w:val="24"/>
          <w:szCs w:val="24"/>
          <w:lang w:val="en-US" w:eastAsia="zh-CN" w:bidi="ar"/>
        </w:rPr>
        <w:t>万元，年所得税</w:t>
      </w:r>
      <w:r>
        <w:rPr>
          <w:rFonts w:hint="eastAsia" w:ascii="Times New Roman" w:hAnsi="Times New Roman" w:eastAsia="宋体" w:cs="宋体"/>
          <w:snapToGrid w:val="0"/>
          <w:color w:val="auto"/>
          <w:kern w:val="0"/>
          <w:sz w:val="24"/>
          <w:szCs w:val="24"/>
          <w:lang w:val="en-US" w:eastAsia="zh-CN" w:bidi="ar"/>
        </w:rPr>
        <w:t>188.35</w:t>
      </w:r>
      <w:r>
        <w:rPr>
          <w:rFonts w:hint="default" w:ascii="Times New Roman" w:hAnsi="Times New Roman" w:eastAsia="宋体" w:cs="宋体"/>
          <w:snapToGrid w:val="0"/>
          <w:color w:val="auto"/>
          <w:kern w:val="0"/>
          <w:sz w:val="24"/>
          <w:szCs w:val="24"/>
          <w:lang w:val="en-US" w:eastAsia="zh-CN" w:bidi="ar"/>
        </w:rPr>
        <w:t>万元，总投资收益率19.62%，投资净利润率14.71%。</w:t>
      </w:r>
    </w:p>
    <w:p w14:paraId="0ECD58DB">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16.4.2、银行贷款清偿能力分析</w:t>
      </w:r>
    </w:p>
    <w:p w14:paraId="1EDC3DE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项目无贷款。</w:t>
      </w:r>
      <w:bookmarkStart w:id="177" w:name="bookmark130"/>
      <w:bookmarkEnd w:id="177"/>
      <w:bookmarkStart w:id="178" w:name="bookmark129"/>
      <w:bookmarkEnd w:id="178"/>
    </w:p>
    <w:p w14:paraId="06A95D92">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ascii="Times New Roman" w:hAnsi="Times New Roman" w:eastAsia="宋体" w:cs="宋体"/>
          <w:color w:val="auto"/>
        </w:rPr>
      </w:pPr>
      <w:bookmarkStart w:id="179" w:name="_Toc29896"/>
      <w:r>
        <w:rPr>
          <w:rFonts w:ascii="Times New Roman" w:hAnsi="Times New Roman" w:eastAsia="宋体" w:cs="宋体"/>
          <w:b/>
          <w:bCs/>
          <w:color w:val="auto"/>
          <w:spacing w:val="-4"/>
          <w:sz w:val="30"/>
          <w:szCs w:val="30"/>
        </w:rPr>
        <w:t>1</w:t>
      </w:r>
      <w:r>
        <w:rPr>
          <w:rFonts w:hint="eastAsia" w:ascii="Times New Roman" w:hAnsi="Times New Roman" w:eastAsia="宋体" w:cs="宋体"/>
          <w:b/>
          <w:bCs/>
          <w:color w:val="auto"/>
          <w:spacing w:val="-4"/>
          <w:sz w:val="30"/>
          <w:szCs w:val="30"/>
          <w:lang w:val="en-US" w:eastAsia="zh-CN"/>
        </w:rPr>
        <w:t>6</w:t>
      </w:r>
      <w:r>
        <w:rPr>
          <w:rFonts w:ascii="Times New Roman" w:hAnsi="Times New Roman" w:eastAsia="宋体" w:cs="宋体"/>
          <w:b/>
          <w:bCs/>
          <w:color w:val="auto"/>
          <w:spacing w:val="-4"/>
          <w:sz w:val="30"/>
          <w:szCs w:val="30"/>
        </w:rPr>
        <w:t>.5</w:t>
      </w:r>
      <w:r>
        <w:rPr>
          <w:rFonts w:hint="eastAsia" w:ascii="Times New Roman" w:hAnsi="Times New Roman" w:eastAsia="宋体" w:cs="宋体"/>
          <w:b/>
          <w:bCs/>
          <w:color w:val="auto"/>
          <w:spacing w:val="-4"/>
          <w:sz w:val="30"/>
          <w:szCs w:val="30"/>
          <w:lang w:eastAsia="zh-CN"/>
        </w:rPr>
        <w:t>、</w:t>
      </w:r>
      <w:r>
        <w:rPr>
          <w:rFonts w:ascii="Times New Roman" w:hAnsi="Times New Roman" w:eastAsia="宋体" w:cs="宋体"/>
          <w:b/>
          <w:bCs/>
          <w:color w:val="auto"/>
          <w:spacing w:val="-4"/>
          <w:sz w:val="30"/>
          <w:szCs w:val="30"/>
        </w:rPr>
        <w:t>不确定性分析</w:t>
      </w:r>
      <w:bookmarkEnd w:id="179"/>
    </w:p>
    <w:p w14:paraId="27050F3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工程项目经济评价所采用的数据，除来源于现行的切合实际的资料外，尚存在一定程度的不确定性。为分析不确定因素对财务评价指标的影响程度，需进行不确</w:t>
      </w:r>
      <w:r>
        <w:rPr>
          <w:rFonts w:hint="eastAsia" w:ascii="Times New Roman" w:hAnsi="Times New Roman" w:eastAsia="宋体" w:cs="宋体"/>
          <w:snapToGrid w:val="0"/>
          <w:color w:val="auto"/>
          <w:kern w:val="0"/>
          <w:sz w:val="24"/>
          <w:szCs w:val="24"/>
          <w:lang w:val="en-US" w:eastAsia="zh-CN" w:bidi="ar"/>
        </w:rPr>
        <w:t>定性</w:t>
      </w:r>
      <w:r>
        <w:rPr>
          <w:rFonts w:hint="default" w:ascii="Times New Roman" w:hAnsi="Times New Roman" w:eastAsia="宋体" w:cs="宋体"/>
          <w:snapToGrid w:val="0"/>
          <w:color w:val="auto"/>
          <w:kern w:val="0"/>
          <w:sz w:val="24"/>
          <w:szCs w:val="24"/>
          <w:lang w:val="en-US" w:eastAsia="zh-CN" w:bidi="ar"/>
        </w:rPr>
        <w:t>分析。本项目只进行敏感性分析。</w:t>
      </w:r>
    </w:p>
    <w:p w14:paraId="0588C2D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敏感性分析的目的是找出项目的敏感因素，并确定其敏感程度，确定其抗风险能力和程度，进而确认项目建设和运营因特定因素变化 所具备的抗风险能力，为建设单位投资决策提供依据。结合本项目的 具体情况，确定建设投资、营业收入及经营成本三个要素，不确定性 因素采取单因素敏感性分析方法，变化幅度为±20%，±15%、±10%和±5%时，财务内部收益率的影响程度见敏感性分析数据表16-1及敏感性分析图16-1。</w:t>
      </w:r>
    </w:p>
    <w:p w14:paraId="797E9C5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70" w:firstLineChars="200"/>
        <w:jc w:val="center"/>
        <w:textAlignment w:val="baseline"/>
        <w:rPr>
          <w:rFonts w:hint="eastAsia" w:ascii="Times New Roman" w:hAnsi="Times New Roman" w:eastAsia="宋体" w:cs="宋体"/>
          <w:b/>
          <w:bCs/>
          <w:color w:val="auto"/>
          <w:spacing w:val="-3"/>
          <w:sz w:val="24"/>
          <w:szCs w:val="24"/>
          <w:lang w:val="en-US" w:eastAsia="zh-CN"/>
        </w:rPr>
      </w:pPr>
      <w:r>
        <w:rPr>
          <w:rFonts w:hint="eastAsia" w:ascii="Times New Roman" w:hAnsi="Times New Roman" w:eastAsia="宋体" w:cs="宋体"/>
          <w:b/>
          <w:bCs/>
          <w:color w:val="auto"/>
          <w:spacing w:val="-3"/>
          <w:sz w:val="24"/>
          <w:szCs w:val="24"/>
          <w:lang w:val="en-US" w:eastAsia="zh-CN"/>
        </w:rPr>
        <w:t>表16-4   敏感性分析表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7"/>
        <w:gridCol w:w="1273"/>
        <w:gridCol w:w="1420"/>
        <w:gridCol w:w="1420"/>
        <w:gridCol w:w="1421"/>
        <w:gridCol w:w="1421"/>
      </w:tblGrid>
      <w:tr w14:paraId="3563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7" w:type="dxa"/>
            <w:vAlign w:val="center"/>
          </w:tcPr>
          <w:p w14:paraId="44C98C3A">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编号</w:t>
            </w:r>
          </w:p>
        </w:tc>
        <w:tc>
          <w:tcPr>
            <w:tcW w:w="1273" w:type="dxa"/>
            <w:vAlign w:val="center"/>
          </w:tcPr>
          <w:p w14:paraId="5B37E8AB">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1</w:t>
            </w:r>
          </w:p>
        </w:tc>
        <w:tc>
          <w:tcPr>
            <w:tcW w:w="1420" w:type="dxa"/>
            <w:vAlign w:val="center"/>
          </w:tcPr>
          <w:p w14:paraId="1F246FC5">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2</w:t>
            </w:r>
          </w:p>
        </w:tc>
        <w:tc>
          <w:tcPr>
            <w:tcW w:w="1420" w:type="dxa"/>
            <w:vAlign w:val="center"/>
          </w:tcPr>
          <w:p w14:paraId="5F8255F4">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3</w:t>
            </w:r>
          </w:p>
        </w:tc>
        <w:tc>
          <w:tcPr>
            <w:tcW w:w="1421" w:type="dxa"/>
            <w:vAlign w:val="center"/>
          </w:tcPr>
          <w:p w14:paraId="6ABB25C2">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4</w:t>
            </w:r>
          </w:p>
        </w:tc>
        <w:tc>
          <w:tcPr>
            <w:tcW w:w="1421" w:type="dxa"/>
            <w:vAlign w:val="center"/>
          </w:tcPr>
          <w:p w14:paraId="2FCD8AEC">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5</w:t>
            </w:r>
          </w:p>
        </w:tc>
      </w:tr>
      <w:tr w14:paraId="1E57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7" w:type="dxa"/>
            <w:vAlign w:val="center"/>
          </w:tcPr>
          <w:p w14:paraId="417C855C">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变化率</w:t>
            </w:r>
          </w:p>
        </w:tc>
        <w:tc>
          <w:tcPr>
            <w:tcW w:w="1273" w:type="dxa"/>
            <w:vAlign w:val="center"/>
          </w:tcPr>
          <w:p w14:paraId="3426FFA2">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-10%</w:t>
            </w:r>
          </w:p>
        </w:tc>
        <w:tc>
          <w:tcPr>
            <w:tcW w:w="1420" w:type="dxa"/>
            <w:vAlign w:val="center"/>
          </w:tcPr>
          <w:p w14:paraId="3D020748">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-5%</w:t>
            </w:r>
          </w:p>
        </w:tc>
        <w:tc>
          <w:tcPr>
            <w:tcW w:w="1420" w:type="dxa"/>
            <w:vAlign w:val="center"/>
          </w:tcPr>
          <w:p w14:paraId="17071A41">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0%</w:t>
            </w:r>
          </w:p>
        </w:tc>
        <w:tc>
          <w:tcPr>
            <w:tcW w:w="1421" w:type="dxa"/>
            <w:vAlign w:val="center"/>
          </w:tcPr>
          <w:p w14:paraId="17439AC7">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5%</w:t>
            </w:r>
          </w:p>
        </w:tc>
        <w:tc>
          <w:tcPr>
            <w:tcW w:w="1421" w:type="dxa"/>
            <w:vAlign w:val="center"/>
          </w:tcPr>
          <w:p w14:paraId="7F88E7D5">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10%</w:t>
            </w:r>
          </w:p>
        </w:tc>
      </w:tr>
      <w:tr w14:paraId="351F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7" w:type="dxa"/>
            <w:vAlign w:val="center"/>
          </w:tcPr>
          <w:p w14:paraId="4A519160">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固定资产投入</w:t>
            </w:r>
          </w:p>
        </w:tc>
        <w:tc>
          <w:tcPr>
            <w:tcW w:w="1273" w:type="dxa"/>
            <w:vAlign w:val="center"/>
          </w:tcPr>
          <w:p w14:paraId="6E20E81D">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47.3%</w:t>
            </w:r>
          </w:p>
        </w:tc>
        <w:tc>
          <w:tcPr>
            <w:tcW w:w="1420" w:type="dxa"/>
            <w:vAlign w:val="center"/>
          </w:tcPr>
          <w:p w14:paraId="3E48A058">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42.0%</w:t>
            </w:r>
          </w:p>
        </w:tc>
        <w:tc>
          <w:tcPr>
            <w:tcW w:w="1420" w:type="dxa"/>
            <w:vAlign w:val="center"/>
          </w:tcPr>
          <w:p w14:paraId="46D5E52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37.0</w:t>
            </w:r>
          </w:p>
        </w:tc>
        <w:tc>
          <w:tcPr>
            <w:tcW w:w="1421" w:type="dxa"/>
            <w:vAlign w:val="center"/>
          </w:tcPr>
          <w:p w14:paraId="6EF7BAF7">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33.5%</w:t>
            </w:r>
          </w:p>
        </w:tc>
        <w:tc>
          <w:tcPr>
            <w:tcW w:w="1421" w:type="dxa"/>
            <w:vAlign w:val="center"/>
          </w:tcPr>
          <w:p w14:paraId="348D671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29.2%</w:t>
            </w:r>
          </w:p>
        </w:tc>
      </w:tr>
      <w:tr w14:paraId="2DE3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7" w:type="dxa"/>
            <w:vAlign w:val="center"/>
          </w:tcPr>
          <w:p w14:paraId="41EE34D0">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销售收入</w:t>
            </w:r>
          </w:p>
        </w:tc>
        <w:tc>
          <w:tcPr>
            <w:tcW w:w="1273" w:type="dxa"/>
            <w:vAlign w:val="center"/>
          </w:tcPr>
          <w:p w14:paraId="03F19C9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25.8%</w:t>
            </w:r>
          </w:p>
        </w:tc>
        <w:tc>
          <w:tcPr>
            <w:tcW w:w="1420" w:type="dxa"/>
            <w:vAlign w:val="center"/>
          </w:tcPr>
          <w:p w14:paraId="1A8D76AA">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31.5%</w:t>
            </w:r>
          </w:p>
        </w:tc>
        <w:tc>
          <w:tcPr>
            <w:tcW w:w="1420" w:type="dxa"/>
            <w:vAlign w:val="center"/>
          </w:tcPr>
          <w:p w14:paraId="40ED1B15">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37.0</w:t>
            </w:r>
          </w:p>
        </w:tc>
        <w:tc>
          <w:tcPr>
            <w:tcW w:w="1421" w:type="dxa"/>
            <w:vAlign w:val="center"/>
          </w:tcPr>
          <w:p w14:paraId="36CB463E">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44.2%</w:t>
            </w:r>
          </w:p>
        </w:tc>
        <w:tc>
          <w:tcPr>
            <w:tcW w:w="1421" w:type="dxa"/>
            <w:vAlign w:val="center"/>
          </w:tcPr>
          <w:p w14:paraId="65F10FCA">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51.9%</w:t>
            </w:r>
          </w:p>
        </w:tc>
      </w:tr>
      <w:tr w14:paraId="263B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7" w:type="dxa"/>
            <w:vAlign w:val="center"/>
          </w:tcPr>
          <w:p w14:paraId="39978031">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主要原料价</w:t>
            </w:r>
          </w:p>
        </w:tc>
        <w:tc>
          <w:tcPr>
            <w:tcW w:w="1273" w:type="dxa"/>
            <w:vAlign w:val="center"/>
          </w:tcPr>
          <w:p w14:paraId="6F49DC44">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54.8%</w:t>
            </w:r>
          </w:p>
        </w:tc>
        <w:tc>
          <w:tcPr>
            <w:tcW w:w="1420" w:type="dxa"/>
            <w:vAlign w:val="center"/>
          </w:tcPr>
          <w:p w14:paraId="50FF98EA">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46.4%</w:t>
            </w:r>
          </w:p>
        </w:tc>
        <w:tc>
          <w:tcPr>
            <w:tcW w:w="1420" w:type="dxa"/>
            <w:vAlign w:val="center"/>
          </w:tcPr>
          <w:p w14:paraId="0CB3A361">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37.0</w:t>
            </w:r>
          </w:p>
        </w:tc>
        <w:tc>
          <w:tcPr>
            <w:tcW w:w="1421" w:type="dxa"/>
            <w:vAlign w:val="center"/>
          </w:tcPr>
          <w:p w14:paraId="47BFAF8D">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28.0%</w:t>
            </w:r>
          </w:p>
        </w:tc>
        <w:tc>
          <w:tcPr>
            <w:tcW w:w="1421" w:type="dxa"/>
            <w:vAlign w:val="center"/>
          </w:tcPr>
          <w:p w14:paraId="3F27D026">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eastAsia="宋体" w:cs="宋体"/>
                <w:snapToGrid w:val="0"/>
                <w:color w:val="auto"/>
                <w:kern w:val="0"/>
                <w:sz w:val="21"/>
                <w:szCs w:val="21"/>
                <w:vertAlign w:val="baseline"/>
                <w:lang w:val="en-US" w:eastAsia="zh-CN" w:bidi="ar"/>
              </w:rPr>
            </w:pPr>
            <w:r>
              <w:rPr>
                <w:rFonts w:hint="eastAsia" w:ascii="Times New Roman" w:hAnsi="Times New Roman" w:eastAsia="宋体" w:cs="宋体"/>
                <w:snapToGrid w:val="0"/>
                <w:color w:val="auto"/>
                <w:kern w:val="0"/>
                <w:sz w:val="21"/>
                <w:szCs w:val="21"/>
                <w:vertAlign w:val="baseline"/>
                <w:lang w:val="en-US" w:eastAsia="zh-CN" w:bidi="ar"/>
              </w:rPr>
              <w:t>20.5%</w:t>
            </w:r>
          </w:p>
        </w:tc>
      </w:tr>
    </w:tbl>
    <w:p w14:paraId="302BC61F">
      <w:pPr>
        <w:keepNext w:val="0"/>
        <w:keepLines w:val="0"/>
        <w:pageBreakBefore w:val="0"/>
        <w:widowControl/>
        <w:kinsoku w:val="0"/>
        <w:wordWrap/>
        <w:overflowPunct/>
        <w:topLinePunct w:val="0"/>
        <w:autoSpaceDE w:val="0"/>
        <w:autoSpaceDN w:val="0"/>
        <w:bidi w:val="0"/>
        <w:adjustRightInd w:val="0"/>
        <w:snapToGrid w:val="0"/>
        <w:spacing w:before="313" w:beforeLines="100" w:line="360" w:lineRule="auto"/>
        <w:ind w:left="0" w:right="0" w:firstLine="0" w:firstLineChars="0"/>
        <w:jc w:val="center"/>
        <w:textAlignment w:val="baseline"/>
        <w:rPr>
          <w:rFonts w:ascii="Times New Roman" w:hAnsi="Times New Roman" w:eastAsia="宋体" w:cs="宋体"/>
          <w:color w:val="auto"/>
          <w:spacing w:val="-6"/>
          <w:sz w:val="24"/>
          <w:szCs w:val="24"/>
        </w:rPr>
      </w:pPr>
      <w:r>
        <w:rPr>
          <w:rFonts w:hint="eastAsia" w:ascii="Times New Roman" w:hAnsi="Times New Roman" w:eastAsia="宋体" w:cs="宋体"/>
          <w:color w:val="auto"/>
          <w:lang w:eastAsia="zh-CN"/>
        </w:rPr>
        <w:drawing>
          <wp:inline distT="0" distB="0" distL="114300" distR="114300">
            <wp:extent cx="5271770" cy="2388870"/>
            <wp:effectExtent l="9525" t="9525" r="14605" b="20955"/>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
                    <pic:cNvPicPr>
                      <a:picLocks noChangeAspect="1"/>
                    </pic:cNvPicPr>
                  </pic:nvPicPr>
                  <pic:blipFill>
                    <a:blip r:embed="rId57"/>
                    <a:stretch>
                      <a:fillRect/>
                    </a:stretch>
                  </pic:blipFill>
                  <pic:spPr>
                    <a:xfrm>
                      <a:off x="0" y="0"/>
                      <a:ext cx="5271770" cy="2388870"/>
                    </a:xfrm>
                    <a:prstGeom prst="rect">
                      <a:avLst/>
                    </a:prstGeom>
                    <a:ln>
                      <a:solidFill>
                        <a:schemeClr val="tx1"/>
                      </a:solidFill>
                    </a:ln>
                  </pic:spPr>
                </pic:pic>
              </a:graphicData>
            </a:graphic>
          </wp:inline>
        </w:drawing>
      </w:r>
    </w:p>
    <w:p w14:paraId="1E088C9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70" w:firstLineChars="200"/>
        <w:jc w:val="center"/>
        <w:textAlignment w:val="baseline"/>
        <w:rPr>
          <w:rFonts w:hint="eastAsia" w:ascii="Times New Roman" w:hAnsi="Times New Roman" w:eastAsia="宋体" w:cs="宋体"/>
          <w:b/>
          <w:bCs/>
          <w:color w:val="auto"/>
          <w:spacing w:val="-3"/>
          <w:sz w:val="24"/>
          <w:szCs w:val="24"/>
          <w:lang w:val="en-US" w:eastAsia="zh-CN"/>
        </w:rPr>
      </w:pPr>
      <w:r>
        <w:rPr>
          <w:rFonts w:hint="eastAsia" w:ascii="Times New Roman" w:hAnsi="Times New Roman" w:eastAsia="宋体" w:cs="宋体"/>
          <w:b/>
          <w:bCs/>
          <w:color w:val="auto"/>
          <w:spacing w:val="-3"/>
          <w:sz w:val="24"/>
          <w:szCs w:val="24"/>
          <w:lang w:val="en-US" w:eastAsia="zh-CN"/>
        </w:rPr>
        <w:t>图16-1   单因素敏感性分析图</w:t>
      </w:r>
    </w:p>
    <w:p w14:paraId="766201BF">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imes New Roman" w:hAnsi="Times New Roman" w:eastAsia="宋体" w:cs="宋体"/>
          <w:snapToGrid w:val="0"/>
          <w:color w:val="auto"/>
          <w:kern w:val="0"/>
          <w:sz w:val="24"/>
          <w:szCs w:val="24"/>
          <w:lang w:val="en-US" w:eastAsia="zh-CN" w:bidi="ar"/>
        </w:rPr>
      </w:pPr>
      <w:bookmarkStart w:id="180" w:name="bookmark132"/>
      <w:bookmarkEnd w:id="180"/>
      <w:bookmarkStart w:id="181" w:name="bookmark131"/>
      <w:bookmarkEnd w:id="181"/>
      <w:r>
        <w:rPr>
          <w:rFonts w:hint="eastAsia" w:ascii="Times New Roman" w:hAnsi="Times New Roman" w:eastAsia="宋体" w:cs="宋体"/>
          <w:snapToGrid w:val="0"/>
          <w:color w:val="auto"/>
          <w:kern w:val="0"/>
          <w:sz w:val="24"/>
          <w:szCs w:val="24"/>
          <w:lang w:val="en-US" w:eastAsia="zh-CN" w:bidi="ar"/>
        </w:rPr>
        <w:t>从以上可以看出，本项目对营业收入敏感性较大，对经营成本和建设投资敏感性次之，因此保证营业收入以及控制投资和经营成本，是本项目的关键点，同时也可以看出本项目的抗风险能力相对较强。</w:t>
      </w:r>
    </w:p>
    <w:p w14:paraId="76A5343D">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根据该敏感性分析结果，建议在项目实施与运营期间，实时跟踪项目运营成本的变化，如项目运营成本增长较多时，适时调整相关运营收入项目的价格水平或者政府给予部分财政补贴，以保障该项目的正常运营；与此同时，项目运营单位要积极控制运营成本的支出，做好节能减排等工作。</w:t>
      </w:r>
    </w:p>
    <w:p w14:paraId="5A27619A">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hint="default" w:ascii="Times New Roman" w:hAnsi="Times New Roman" w:eastAsia="宋体" w:cs="宋体"/>
          <w:b/>
          <w:bCs/>
          <w:color w:val="auto"/>
          <w:spacing w:val="-4"/>
          <w:sz w:val="30"/>
          <w:szCs w:val="30"/>
          <w:lang w:val="en-US" w:eastAsia="zh-CN"/>
        </w:rPr>
      </w:pPr>
      <w:bookmarkStart w:id="182" w:name="_Toc1755"/>
      <w:r>
        <w:rPr>
          <w:rFonts w:hint="default" w:ascii="Times New Roman" w:hAnsi="Times New Roman" w:eastAsia="宋体" w:cs="宋体"/>
          <w:b/>
          <w:bCs/>
          <w:color w:val="auto"/>
          <w:spacing w:val="-4"/>
          <w:sz w:val="30"/>
          <w:szCs w:val="30"/>
          <w:lang w:val="en-US" w:eastAsia="zh-CN"/>
        </w:rPr>
        <w:t>1</w:t>
      </w:r>
      <w:r>
        <w:rPr>
          <w:rFonts w:hint="eastAsia" w:ascii="Times New Roman" w:hAnsi="Times New Roman" w:eastAsia="宋体" w:cs="宋体"/>
          <w:b/>
          <w:bCs/>
          <w:color w:val="auto"/>
          <w:spacing w:val="-4"/>
          <w:sz w:val="30"/>
          <w:szCs w:val="30"/>
          <w:lang w:val="en-US" w:eastAsia="zh-CN"/>
        </w:rPr>
        <w:t>6</w:t>
      </w:r>
      <w:r>
        <w:rPr>
          <w:rFonts w:hint="default" w:ascii="Times New Roman" w:hAnsi="Times New Roman" w:eastAsia="宋体" w:cs="宋体"/>
          <w:b/>
          <w:bCs/>
          <w:color w:val="auto"/>
          <w:spacing w:val="-4"/>
          <w:sz w:val="30"/>
          <w:szCs w:val="30"/>
          <w:lang w:val="en-US" w:eastAsia="zh-CN"/>
        </w:rPr>
        <w:t>.6</w:t>
      </w:r>
      <w:r>
        <w:rPr>
          <w:rFonts w:hint="eastAsia" w:ascii="Times New Roman" w:hAnsi="Times New Roman" w:eastAsia="宋体" w:cs="宋体"/>
          <w:b/>
          <w:bCs/>
          <w:color w:val="auto"/>
          <w:spacing w:val="-4"/>
          <w:sz w:val="30"/>
          <w:szCs w:val="30"/>
          <w:lang w:val="en-US" w:eastAsia="zh-CN"/>
        </w:rPr>
        <w:t>、</w:t>
      </w:r>
      <w:r>
        <w:rPr>
          <w:rFonts w:hint="default" w:ascii="Times New Roman" w:hAnsi="Times New Roman" w:eastAsia="宋体" w:cs="宋体"/>
          <w:b/>
          <w:bCs/>
          <w:color w:val="auto"/>
          <w:spacing w:val="-4"/>
          <w:sz w:val="30"/>
          <w:szCs w:val="30"/>
          <w:lang w:val="en-US" w:eastAsia="zh-CN"/>
        </w:rPr>
        <w:t>财务评价结论</w:t>
      </w:r>
      <w:bookmarkEnd w:id="182"/>
    </w:p>
    <w:p w14:paraId="7936E6E4">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本项目财务内部收益率（税前）（FIRR</w:t>
      </w:r>
      <w:r>
        <w:rPr>
          <w:rFonts w:hint="eastAsia" w:ascii="Times New Roman" w:hAnsi="Times New Roman" w:eastAsia="宋体" w:cs="宋体"/>
          <w:snapToGrid w:val="0"/>
          <w:color w:val="auto"/>
          <w:kern w:val="0"/>
          <w:sz w:val="24"/>
          <w:szCs w:val="24"/>
          <w:lang w:val="en-US" w:eastAsia="zh-CN" w:bidi="ar"/>
        </w:rPr>
        <w:t>）为</w:t>
      </w:r>
      <w:r>
        <w:rPr>
          <w:rFonts w:hint="default" w:ascii="Times New Roman" w:hAnsi="Times New Roman" w:eastAsia="宋体" w:cs="宋体"/>
          <w:snapToGrid w:val="0"/>
          <w:color w:val="auto"/>
          <w:kern w:val="0"/>
          <w:sz w:val="24"/>
          <w:szCs w:val="24"/>
          <w:lang w:val="en-US" w:eastAsia="zh-CN" w:bidi="ar"/>
        </w:rPr>
        <w:t>2</w:t>
      </w:r>
      <w:r>
        <w:rPr>
          <w:rFonts w:hint="eastAsia" w:ascii="Times New Roman" w:hAnsi="Times New Roman" w:eastAsia="宋体" w:cs="宋体"/>
          <w:snapToGrid w:val="0"/>
          <w:color w:val="auto"/>
          <w:kern w:val="0"/>
          <w:sz w:val="24"/>
          <w:szCs w:val="24"/>
          <w:lang w:val="en-US" w:eastAsia="zh-CN" w:bidi="ar"/>
        </w:rPr>
        <w:t>2</w:t>
      </w:r>
      <w:r>
        <w:rPr>
          <w:rFonts w:hint="default" w:ascii="Times New Roman" w:hAnsi="Times New Roman" w:eastAsia="宋体" w:cs="宋体"/>
          <w:snapToGrid w:val="0"/>
          <w:color w:val="auto"/>
          <w:kern w:val="0"/>
          <w:sz w:val="24"/>
          <w:szCs w:val="24"/>
          <w:lang w:val="en-US" w:eastAsia="zh-CN" w:bidi="ar"/>
        </w:rPr>
        <w:t>.96%</w:t>
      </w:r>
      <w:r>
        <w:rPr>
          <w:rFonts w:hint="eastAsia" w:ascii="Times New Roman" w:hAnsi="Times New Roman" w:eastAsia="宋体" w:cs="宋体"/>
          <w:snapToGrid w:val="0"/>
          <w:color w:val="auto"/>
          <w:kern w:val="0"/>
          <w:sz w:val="24"/>
          <w:szCs w:val="24"/>
          <w:lang w:val="en-US" w:eastAsia="zh-CN" w:bidi="ar"/>
        </w:rPr>
        <w:t>，项目财务净现值（税前）为</w:t>
      </w:r>
      <w:r>
        <w:rPr>
          <w:rFonts w:hint="default" w:ascii="Times New Roman" w:hAnsi="Times New Roman" w:eastAsia="宋体" w:cs="宋体"/>
          <w:snapToGrid w:val="0"/>
          <w:color w:val="auto"/>
          <w:kern w:val="0"/>
          <w:sz w:val="24"/>
          <w:szCs w:val="24"/>
          <w:lang w:val="en-US" w:eastAsia="zh-CN" w:bidi="ar"/>
        </w:rPr>
        <w:t>6462.60</w:t>
      </w:r>
      <w:r>
        <w:rPr>
          <w:rFonts w:hint="eastAsia" w:ascii="Times New Roman" w:hAnsi="Times New Roman" w:eastAsia="宋体" w:cs="宋体"/>
          <w:snapToGrid w:val="0"/>
          <w:color w:val="auto"/>
          <w:kern w:val="0"/>
          <w:sz w:val="24"/>
          <w:szCs w:val="24"/>
          <w:lang w:val="en-US" w:eastAsia="zh-CN" w:bidi="ar"/>
        </w:rPr>
        <w:t>万元（</w:t>
      </w:r>
      <w:r>
        <w:rPr>
          <w:rFonts w:hint="default" w:ascii="Times New Roman" w:hAnsi="Times New Roman" w:eastAsia="宋体" w:cs="宋体"/>
          <w:snapToGrid w:val="0"/>
          <w:color w:val="auto"/>
          <w:kern w:val="0"/>
          <w:sz w:val="24"/>
          <w:szCs w:val="24"/>
          <w:lang w:val="en-US" w:eastAsia="zh-CN" w:bidi="ar"/>
        </w:rPr>
        <w:t>ic=12%</w:t>
      </w:r>
      <w:r>
        <w:rPr>
          <w:rFonts w:hint="eastAsia" w:ascii="Times New Roman" w:hAnsi="Times New Roman" w:eastAsia="宋体" w:cs="宋体"/>
          <w:snapToGrid w:val="0"/>
          <w:color w:val="auto"/>
          <w:kern w:val="0"/>
          <w:sz w:val="24"/>
          <w:szCs w:val="24"/>
          <w:lang w:val="en-US" w:eastAsia="zh-CN" w:bidi="ar"/>
        </w:rPr>
        <w:t>）；财务内部收益率（税后）（</w:t>
      </w:r>
      <w:r>
        <w:rPr>
          <w:rFonts w:hint="default" w:ascii="Times New Roman" w:hAnsi="Times New Roman" w:eastAsia="宋体" w:cs="宋体"/>
          <w:snapToGrid w:val="0"/>
          <w:color w:val="auto"/>
          <w:kern w:val="0"/>
          <w:sz w:val="24"/>
          <w:szCs w:val="24"/>
          <w:lang w:val="en-US" w:eastAsia="zh-CN" w:bidi="ar"/>
        </w:rPr>
        <w:t>FIRR</w:t>
      </w:r>
      <w:r>
        <w:rPr>
          <w:rFonts w:hint="eastAsia" w:ascii="Times New Roman" w:hAnsi="Times New Roman" w:eastAsia="宋体" w:cs="宋体"/>
          <w:snapToGrid w:val="0"/>
          <w:color w:val="auto"/>
          <w:kern w:val="0"/>
          <w:sz w:val="24"/>
          <w:szCs w:val="24"/>
          <w:lang w:val="en-US" w:eastAsia="zh-CN" w:bidi="ar"/>
        </w:rPr>
        <w:t>）为</w:t>
      </w:r>
      <w:r>
        <w:rPr>
          <w:rFonts w:hint="default" w:ascii="Times New Roman" w:hAnsi="Times New Roman" w:eastAsia="宋体" w:cs="宋体"/>
          <w:snapToGrid w:val="0"/>
          <w:color w:val="auto"/>
          <w:kern w:val="0"/>
          <w:sz w:val="24"/>
          <w:szCs w:val="24"/>
          <w:lang w:val="en-US" w:eastAsia="zh-CN" w:bidi="ar"/>
        </w:rPr>
        <w:t>17.32%</w:t>
      </w:r>
      <w:r>
        <w:rPr>
          <w:rFonts w:hint="eastAsia" w:ascii="Times New Roman" w:hAnsi="Times New Roman" w:eastAsia="宋体" w:cs="宋体"/>
          <w:snapToGrid w:val="0"/>
          <w:color w:val="auto"/>
          <w:kern w:val="0"/>
          <w:sz w:val="24"/>
          <w:szCs w:val="24"/>
          <w:lang w:val="en-US" w:eastAsia="zh-CN" w:bidi="ar"/>
        </w:rPr>
        <w:t>，项目财务净现值（税后）为</w:t>
      </w:r>
      <w:r>
        <w:rPr>
          <w:rFonts w:hint="default" w:ascii="Times New Roman" w:hAnsi="Times New Roman" w:eastAsia="宋体" w:cs="宋体"/>
          <w:snapToGrid w:val="0"/>
          <w:color w:val="auto"/>
          <w:kern w:val="0"/>
          <w:sz w:val="24"/>
          <w:szCs w:val="24"/>
          <w:lang w:val="en-US" w:eastAsia="zh-CN" w:bidi="ar"/>
        </w:rPr>
        <w:t>4215.80</w:t>
      </w:r>
      <w:r>
        <w:rPr>
          <w:rFonts w:hint="eastAsia" w:ascii="Times New Roman" w:hAnsi="Times New Roman" w:eastAsia="宋体" w:cs="宋体"/>
          <w:snapToGrid w:val="0"/>
          <w:color w:val="auto"/>
          <w:kern w:val="0"/>
          <w:sz w:val="24"/>
          <w:szCs w:val="24"/>
          <w:lang w:val="en-US" w:eastAsia="zh-CN" w:bidi="ar"/>
        </w:rPr>
        <w:t>万元（</w:t>
      </w:r>
      <w:r>
        <w:rPr>
          <w:rFonts w:hint="default" w:ascii="Times New Roman" w:hAnsi="Times New Roman" w:eastAsia="宋体" w:cs="宋体"/>
          <w:snapToGrid w:val="0"/>
          <w:color w:val="auto"/>
          <w:kern w:val="0"/>
          <w:sz w:val="24"/>
          <w:szCs w:val="24"/>
          <w:lang w:val="en-US" w:eastAsia="zh-CN" w:bidi="ar"/>
        </w:rPr>
        <w:t>ic=12%</w:t>
      </w:r>
      <w:r>
        <w:rPr>
          <w:rFonts w:hint="eastAsia" w:ascii="Times New Roman" w:hAnsi="Times New Roman" w:eastAsia="宋体" w:cs="宋体"/>
          <w:snapToGrid w:val="0"/>
          <w:color w:val="auto"/>
          <w:kern w:val="0"/>
          <w:sz w:val="24"/>
          <w:szCs w:val="24"/>
          <w:lang w:val="en-US" w:eastAsia="zh-CN" w:bidi="ar"/>
        </w:rPr>
        <w:t>），盈亏平衡点</w:t>
      </w:r>
      <w:r>
        <w:rPr>
          <w:rFonts w:hint="default" w:ascii="Times New Roman" w:hAnsi="Times New Roman" w:eastAsia="宋体" w:cs="宋体"/>
          <w:snapToGrid w:val="0"/>
          <w:color w:val="auto"/>
          <w:kern w:val="0"/>
          <w:sz w:val="24"/>
          <w:szCs w:val="24"/>
          <w:lang w:val="en-US" w:eastAsia="zh-CN" w:bidi="ar"/>
        </w:rPr>
        <w:t>BEP=45.70%</w:t>
      </w:r>
      <w:r>
        <w:rPr>
          <w:rFonts w:hint="eastAsia" w:ascii="Times New Roman" w:hAnsi="Times New Roman" w:eastAsia="宋体" w:cs="宋体"/>
          <w:snapToGrid w:val="0"/>
          <w:color w:val="auto"/>
          <w:kern w:val="0"/>
          <w:sz w:val="24"/>
          <w:szCs w:val="24"/>
          <w:lang w:val="en-US" w:eastAsia="zh-CN" w:bidi="ar"/>
        </w:rPr>
        <w:t>，静态投资回收期（含建设期）为3.65年，动态投资回收期（ic=12，含建设期）为4.30年。</w:t>
      </w:r>
    </w:p>
    <w:p w14:paraId="4E473D9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综合以上分析，项目的各项评价指标，即投资利润率、投资利税率、内部收益率、净现值等较好，均具有较好的盈利能力、回收能力和较小的投资风险，即投资效益良好，因此认为项目建设可行。</w:t>
      </w:r>
    </w:p>
    <w:p w14:paraId="651A7AAD">
      <w:pPr>
        <w:rPr>
          <w:rFonts w:hint="eastAsia" w:ascii="Times New Roman" w:hAnsi="Times New Roman" w:eastAsia="宋体" w:cs="宋体"/>
          <w:b/>
          <w:color w:val="auto"/>
          <w:sz w:val="30"/>
          <w:szCs w:val="30"/>
          <w:lang w:val="en-US" w:eastAsia="zh-CN"/>
        </w:rPr>
      </w:pPr>
    </w:p>
    <w:p w14:paraId="1EAD6DB9">
      <w:pPr>
        <w:rPr>
          <w:rFonts w:hint="eastAsia" w:ascii="Times New Roman" w:hAnsi="Times New Roman" w:eastAsia="宋体" w:cs="宋体"/>
          <w:b/>
          <w:color w:val="auto"/>
          <w:sz w:val="30"/>
          <w:szCs w:val="30"/>
          <w:lang w:val="en-US" w:eastAsia="zh-CN"/>
        </w:rPr>
        <w:sectPr>
          <w:headerReference r:id="rId17" w:type="default"/>
          <w:footerReference r:id="rId18"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26AC7713">
      <w:pPr>
        <w:pStyle w:val="4"/>
        <w:keepNext/>
        <w:keepLines/>
        <w:pageBreakBefore w:val="0"/>
        <w:widowControl/>
        <w:numPr>
          <w:ilvl w:val="0"/>
          <w:numId w:val="6"/>
        </w:numPr>
        <w:kinsoku w:val="0"/>
        <w:wordWrap/>
        <w:overflowPunct/>
        <w:topLinePunct w:val="0"/>
        <w:autoSpaceDE w:val="0"/>
        <w:autoSpaceDN w:val="0"/>
        <w:bidi w:val="0"/>
        <w:adjustRightInd w:val="0"/>
        <w:snapToGrid w:val="0"/>
        <w:spacing w:before="0" w:beforeLines="0" w:after="0" w:afterLines="0" w:line="360" w:lineRule="auto"/>
        <w:ind w:left="0" w:leftChars="0" w:right="0" w:rightChars="0"/>
        <w:jc w:val="center"/>
        <w:textAlignment w:val="baseline"/>
        <w:rPr>
          <w:rFonts w:hint="eastAsia" w:ascii="Times New Roman" w:hAnsi="Times New Roman" w:eastAsia="宋体" w:cs="宋体"/>
          <w:b/>
          <w:snapToGrid w:val="0"/>
          <w:color w:val="auto"/>
          <w:kern w:val="44"/>
          <w:sz w:val="30"/>
          <w:szCs w:val="30"/>
          <w:lang w:val="en-US" w:eastAsia="zh-CN" w:bidi="ar-SA"/>
        </w:rPr>
      </w:pPr>
      <w:bookmarkStart w:id="183" w:name="_Toc22248"/>
      <w:r>
        <w:rPr>
          <w:rFonts w:hint="eastAsia" w:ascii="Times New Roman" w:hAnsi="Times New Roman" w:eastAsia="宋体" w:cs="宋体"/>
          <w:b/>
          <w:snapToGrid w:val="0"/>
          <w:color w:val="auto"/>
          <w:kern w:val="44"/>
          <w:sz w:val="30"/>
          <w:szCs w:val="30"/>
          <w:lang w:val="en-US" w:eastAsia="zh-CN" w:bidi="ar-SA"/>
        </w:rPr>
        <w:t>社会效益分析</w:t>
      </w:r>
      <w:bookmarkEnd w:id="183"/>
    </w:p>
    <w:p w14:paraId="5CCA3538">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本项目建成后，可增加当地农民收入，解决部分人员就业问题，促进当地文化、教育、卫生事业的发展；改善和加快项目建设区域的基础设施、社会服务体系等的建设，其社会效益主要表现在以下几个方面：</w:t>
      </w:r>
    </w:p>
    <w:p w14:paraId="64FD427B">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w:t>
      </w:r>
      <w:r>
        <w:rPr>
          <w:rFonts w:hint="default" w:ascii="Times New Roman" w:hAnsi="Times New Roman" w:eastAsia="宋体" w:cs="宋体"/>
          <w:snapToGrid w:val="0"/>
          <w:color w:val="auto"/>
          <w:kern w:val="0"/>
          <w:sz w:val="24"/>
          <w:szCs w:val="24"/>
          <w:lang w:val="en-US" w:eastAsia="zh-CN" w:bidi="ar"/>
        </w:rPr>
        <w:t>1</w:t>
      </w:r>
      <w:r>
        <w:rPr>
          <w:rFonts w:hint="eastAsia" w:ascii="Times New Roman" w:hAnsi="Times New Roman" w:eastAsia="宋体" w:cs="宋体"/>
          <w:snapToGrid w:val="0"/>
          <w:color w:val="auto"/>
          <w:kern w:val="0"/>
          <w:sz w:val="24"/>
          <w:szCs w:val="24"/>
          <w:lang w:val="en-US" w:eastAsia="zh-CN" w:bidi="ar"/>
        </w:rPr>
        <w:t>）项目建立以市场为导向，企业为龙头，形成马铃薯收购、淀粉、销售一条龙的企业发展格局，有利于发挥地区特色产业优势，将大大促进地区经济向产业化、高效化、规模化方向发展。</w:t>
      </w:r>
    </w:p>
    <w:p w14:paraId="4387FAB9">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w:t>
      </w:r>
      <w:r>
        <w:rPr>
          <w:rFonts w:hint="default" w:ascii="Times New Roman" w:hAnsi="Times New Roman" w:eastAsia="宋体" w:cs="宋体"/>
          <w:snapToGrid w:val="0"/>
          <w:color w:val="auto"/>
          <w:kern w:val="0"/>
          <w:sz w:val="24"/>
          <w:szCs w:val="24"/>
          <w:lang w:val="en-US" w:eastAsia="zh-CN" w:bidi="ar"/>
        </w:rPr>
        <w:t>2</w:t>
      </w:r>
      <w:r>
        <w:rPr>
          <w:rFonts w:hint="eastAsia" w:ascii="Times New Roman" w:hAnsi="Times New Roman" w:eastAsia="宋体" w:cs="宋体"/>
          <w:snapToGrid w:val="0"/>
          <w:color w:val="auto"/>
          <w:kern w:val="0"/>
          <w:sz w:val="24"/>
          <w:szCs w:val="24"/>
          <w:lang w:val="en-US" w:eastAsia="zh-CN" w:bidi="ar"/>
        </w:rPr>
        <w:t>）本项目是农业产业化项目，具有良好的投资环境和资源优势，项目立足甘肃省及民乐县马铃薯产业优势的基础条件。项目实施后，能大幅提升马铃薯加工能力，降低能源消耗、环境污染和生产成本，提高资源利用率和产品质量，进一步强化产业带动能力，推动民乐县马铃薯产业向高效模式方向发展，促进农业产业化经营，提高农民收入，带动区域经济发展，实现农业可持续发展，更好地为建设农村小康社会服务。</w:t>
      </w:r>
    </w:p>
    <w:p w14:paraId="79545720">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w:t>
      </w:r>
      <w:r>
        <w:rPr>
          <w:rFonts w:hint="default" w:ascii="Times New Roman" w:hAnsi="Times New Roman" w:eastAsia="宋体" w:cs="宋体"/>
          <w:snapToGrid w:val="0"/>
          <w:color w:val="auto"/>
          <w:kern w:val="0"/>
          <w:sz w:val="24"/>
          <w:szCs w:val="24"/>
          <w:lang w:val="en-US" w:eastAsia="zh-CN" w:bidi="ar"/>
        </w:rPr>
        <w:t>3</w:t>
      </w:r>
      <w:r>
        <w:rPr>
          <w:rFonts w:hint="eastAsia" w:ascii="Times New Roman" w:hAnsi="Times New Roman" w:eastAsia="宋体" w:cs="宋体"/>
          <w:snapToGrid w:val="0"/>
          <w:color w:val="auto"/>
          <w:kern w:val="0"/>
          <w:sz w:val="24"/>
          <w:szCs w:val="24"/>
          <w:lang w:val="en-US" w:eastAsia="zh-CN" w:bidi="ar"/>
        </w:rPr>
        <w:t>）本项目与种植、加工、运输、销售等产业密切相关，既能巩固和提高农产品生产地位，又能提升加工业技术效益水平，还能带动第三产业扩大规模，带动相关产业扩张。</w:t>
      </w:r>
    </w:p>
    <w:p w14:paraId="02CEA062">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（4）项目的实施，正常年所得税为188.35万元，并能增加到20个就业岗位。</w:t>
      </w:r>
    </w:p>
    <w:p w14:paraId="3D07156A">
      <w:pPr>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总之，本项目的建设，对该地区社会、经济和文化的发展会有较大的促进作用，项目与所在地有较强的互适性，社会可行性良好。</w:t>
      </w:r>
    </w:p>
    <w:p w14:paraId="0803B889">
      <w:pPr>
        <w:rPr>
          <w:rFonts w:hint="eastAsia" w:ascii="Times New Roman" w:hAnsi="Times New Roman" w:eastAsia="宋体" w:cs="宋体"/>
          <w:b/>
          <w:snapToGrid w:val="0"/>
          <w:color w:val="auto"/>
          <w:kern w:val="44"/>
          <w:sz w:val="30"/>
          <w:szCs w:val="30"/>
          <w:lang w:val="en-US" w:eastAsia="zh-CN" w:bidi="ar-SA"/>
        </w:rPr>
      </w:pPr>
    </w:p>
    <w:p w14:paraId="73A6342F">
      <w:pPr>
        <w:rPr>
          <w:rFonts w:hint="eastAsia" w:ascii="Times New Roman" w:hAnsi="Times New Roman" w:eastAsia="宋体" w:cs="宋体"/>
          <w:b/>
          <w:snapToGrid w:val="0"/>
          <w:color w:val="auto"/>
          <w:kern w:val="44"/>
          <w:sz w:val="30"/>
          <w:szCs w:val="30"/>
          <w:lang w:val="en-US" w:eastAsia="zh-CN" w:bidi="ar-SA"/>
        </w:rPr>
        <w:sectPr>
          <w:footerReference r:id="rId19"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129AC7EB">
      <w:pPr>
        <w:pStyle w:val="4"/>
        <w:keepNext/>
        <w:keepLines/>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360" w:lineRule="auto"/>
        <w:ind w:left="0" w:leftChars="0" w:right="0" w:rightChars="0"/>
        <w:jc w:val="center"/>
        <w:textAlignment w:val="baseline"/>
        <w:rPr>
          <w:rFonts w:hint="eastAsia" w:ascii="Times New Roman" w:hAnsi="Times New Roman" w:eastAsia="宋体" w:cs="宋体"/>
          <w:b/>
          <w:color w:val="auto"/>
          <w:sz w:val="30"/>
          <w:szCs w:val="30"/>
          <w:lang w:val="en-US" w:eastAsia="zh-CN"/>
        </w:rPr>
      </w:pPr>
      <w:bookmarkStart w:id="184" w:name="_Toc3553"/>
      <w:r>
        <w:rPr>
          <w:rFonts w:hint="eastAsia" w:ascii="Times New Roman" w:hAnsi="Times New Roman" w:eastAsia="宋体" w:cs="宋体"/>
          <w:b/>
          <w:snapToGrid w:val="0"/>
          <w:color w:val="auto"/>
          <w:kern w:val="44"/>
          <w:sz w:val="30"/>
          <w:szCs w:val="30"/>
          <w:lang w:val="en-US" w:eastAsia="zh-CN" w:bidi="ar-SA"/>
        </w:rPr>
        <w:t xml:space="preserve">第十八章 </w:t>
      </w:r>
      <w:r>
        <w:rPr>
          <w:rFonts w:hint="eastAsia" w:ascii="Times New Roman" w:hAnsi="Times New Roman" w:eastAsia="宋体" w:cs="宋体"/>
          <w:b/>
          <w:color w:val="auto"/>
          <w:sz w:val="30"/>
          <w:szCs w:val="30"/>
          <w:lang w:val="en-US" w:eastAsia="zh-CN"/>
        </w:rPr>
        <w:t>结论和建议</w:t>
      </w:r>
      <w:bookmarkEnd w:id="184"/>
    </w:p>
    <w:p w14:paraId="3BEAD87D">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ascii="Times New Roman" w:hAnsi="Times New Roman" w:eastAsia="宋体" w:cs="宋体"/>
          <w:b/>
          <w:bCs/>
          <w:color w:val="auto"/>
          <w:spacing w:val="-4"/>
          <w:sz w:val="30"/>
          <w:szCs w:val="30"/>
        </w:rPr>
      </w:pPr>
      <w:bookmarkStart w:id="185" w:name="_Toc1483"/>
      <w:r>
        <w:rPr>
          <w:rFonts w:ascii="Times New Roman" w:hAnsi="Times New Roman" w:eastAsia="宋体" w:cs="宋体"/>
          <w:b/>
          <w:bCs/>
          <w:color w:val="auto"/>
          <w:spacing w:val="-4"/>
          <w:sz w:val="30"/>
          <w:szCs w:val="30"/>
        </w:rPr>
        <w:t>1</w:t>
      </w:r>
      <w:r>
        <w:rPr>
          <w:rFonts w:hint="eastAsia" w:ascii="Times New Roman" w:hAnsi="Times New Roman" w:eastAsia="宋体" w:cs="宋体"/>
          <w:b/>
          <w:bCs/>
          <w:color w:val="auto"/>
          <w:spacing w:val="-4"/>
          <w:sz w:val="30"/>
          <w:szCs w:val="30"/>
          <w:lang w:val="en-US" w:eastAsia="zh-CN"/>
        </w:rPr>
        <w:t>8</w:t>
      </w:r>
      <w:r>
        <w:rPr>
          <w:rFonts w:ascii="Times New Roman" w:hAnsi="Times New Roman" w:eastAsia="宋体" w:cs="宋体"/>
          <w:b/>
          <w:bCs/>
          <w:color w:val="auto"/>
          <w:spacing w:val="-4"/>
          <w:sz w:val="30"/>
          <w:szCs w:val="30"/>
        </w:rPr>
        <w:t>.1</w:t>
      </w:r>
      <w:r>
        <w:rPr>
          <w:rFonts w:hint="eastAsia" w:ascii="Times New Roman" w:hAnsi="Times New Roman" w:eastAsia="宋体" w:cs="宋体"/>
          <w:b/>
          <w:bCs/>
          <w:color w:val="auto"/>
          <w:spacing w:val="-4"/>
          <w:sz w:val="30"/>
          <w:szCs w:val="30"/>
          <w:lang w:eastAsia="zh-CN"/>
        </w:rPr>
        <w:t>、</w:t>
      </w:r>
      <w:r>
        <w:rPr>
          <w:rFonts w:ascii="Times New Roman" w:hAnsi="Times New Roman" w:eastAsia="宋体" w:cs="宋体"/>
          <w:b/>
          <w:bCs/>
          <w:color w:val="auto"/>
          <w:spacing w:val="-4"/>
          <w:sz w:val="30"/>
          <w:szCs w:val="30"/>
        </w:rPr>
        <w:t>结论</w:t>
      </w:r>
      <w:bookmarkEnd w:id="185"/>
    </w:p>
    <w:p w14:paraId="19F039E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1、该项目思路清晰，目的明确，规模适度，有一定的技术水平和经济实力。</w:t>
      </w:r>
    </w:p>
    <w:p w14:paraId="1A934BD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2、投资利润高，投资回收期较短，经济效益和社会效益显著，产品销路好，经济效益高，投资回收快，还款可靠。</w:t>
      </w:r>
    </w:p>
    <w:p w14:paraId="3BDDE8B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3、社会效益明显，是农民脱贫致富的一条好路子，能促进农业结构调整，特别是铃薯产业的发展，符合当前中央提出的农业结构调整政策。综上所述，该项目具备良好的建设条件，是农民致富企业增收的一条好途径，应尽快实施。</w:t>
      </w:r>
    </w:p>
    <w:p w14:paraId="6909E13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4、本项目符合国家发展规划及行业发展计划，符合建设农业强省、强市的方针，产品市场前景良好，项目建设单位能够得到成熟的技术、经验支持。同时，项目单位具有一定实力，具备实施本项目的能力，经测算表明，项目的经济效益和社会效益都比较好，项目的建设是可行的。</w:t>
      </w:r>
    </w:p>
    <w:p w14:paraId="79D1E89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5、项目建设具有良好的外部条件，原材料供应等均有保障，项目经营风险较小。</w:t>
      </w:r>
    </w:p>
    <w:p w14:paraId="3CE82E8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综上所述，实施本项目，是十分必要的，并具备较成熟的条件，广阔的市场空间。项目实施</w:t>
      </w:r>
      <w:r>
        <w:rPr>
          <w:rFonts w:hint="eastAsia" w:ascii="Times New Roman" w:hAnsi="Times New Roman" w:eastAsia="宋体" w:cs="宋体"/>
          <w:snapToGrid w:val="0"/>
          <w:color w:val="auto"/>
          <w:kern w:val="0"/>
          <w:sz w:val="24"/>
          <w:szCs w:val="24"/>
          <w:lang w:val="en-US" w:eastAsia="zh-CN" w:bidi="ar"/>
        </w:rPr>
        <w:t>具有</w:t>
      </w:r>
      <w:r>
        <w:rPr>
          <w:rFonts w:hint="default" w:ascii="Times New Roman" w:hAnsi="Times New Roman" w:eastAsia="宋体" w:cs="宋体"/>
          <w:snapToGrid w:val="0"/>
          <w:color w:val="auto"/>
          <w:kern w:val="0"/>
          <w:sz w:val="24"/>
          <w:szCs w:val="24"/>
          <w:lang w:val="en-US" w:eastAsia="zh-CN" w:bidi="ar"/>
        </w:rPr>
        <w:t>较好的经济效益和社会效</w:t>
      </w:r>
      <w:r>
        <w:rPr>
          <w:rFonts w:ascii="Times New Roman" w:hAnsi="Times New Roman" w:eastAsia="宋体" w:cs="宋体"/>
          <w:color w:val="auto"/>
          <w:spacing w:val="2"/>
          <w:sz w:val="28"/>
          <w:szCs w:val="28"/>
        </w:rPr>
        <w:t>益。</w:t>
      </w:r>
      <w:r>
        <w:rPr>
          <w:rFonts w:hint="default" w:ascii="Times New Roman" w:hAnsi="Times New Roman" w:eastAsia="宋体" w:cs="宋体"/>
          <w:snapToGrid w:val="0"/>
          <w:color w:val="auto"/>
          <w:kern w:val="0"/>
          <w:sz w:val="24"/>
          <w:szCs w:val="24"/>
          <w:lang w:val="en-US" w:eastAsia="zh-CN" w:bidi="ar"/>
        </w:rPr>
        <w:t>项目实施切实可行。</w:t>
      </w:r>
    </w:p>
    <w:p w14:paraId="1647B4CB">
      <w:pPr>
        <w:pStyle w:val="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right="0"/>
        <w:textAlignment w:val="baseline"/>
        <w:rPr>
          <w:rFonts w:ascii="Times New Roman" w:hAnsi="Times New Roman" w:eastAsia="宋体" w:cs="宋体"/>
          <w:b/>
          <w:bCs/>
          <w:color w:val="auto"/>
          <w:spacing w:val="-4"/>
          <w:sz w:val="30"/>
          <w:szCs w:val="30"/>
        </w:rPr>
      </w:pPr>
      <w:bookmarkStart w:id="186" w:name="_Toc20738"/>
      <w:r>
        <w:rPr>
          <w:rFonts w:ascii="Times New Roman" w:hAnsi="Times New Roman" w:eastAsia="宋体" w:cs="宋体"/>
          <w:b/>
          <w:bCs/>
          <w:color w:val="auto"/>
          <w:spacing w:val="-4"/>
          <w:sz w:val="30"/>
          <w:szCs w:val="30"/>
        </w:rPr>
        <w:t>1</w:t>
      </w:r>
      <w:r>
        <w:rPr>
          <w:rFonts w:hint="eastAsia" w:ascii="Times New Roman" w:hAnsi="Times New Roman" w:eastAsia="宋体" w:cs="宋体"/>
          <w:b/>
          <w:bCs/>
          <w:color w:val="auto"/>
          <w:spacing w:val="-4"/>
          <w:sz w:val="30"/>
          <w:szCs w:val="30"/>
          <w:lang w:val="en-US" w:eastAsia="zh-CN"/>
        </w:rPr>
        <w:t>8</w:t>
      </w:r>
      <w:r>
        <w:rPr>
          <w:rFonts w:ascii="Times New Roman" w:hAnsi="Times New Roman" w:eastAsia="宋体" w:cs="宋体"/>
          <w:b/>
          <w:bCs/>
          <w:color w:val="auto"/>
          <w:spacing w:val="-4"/>
          <w:sz w:val="30"/>
          <w:szCs w:val="30"/>
        </w:rPr>
        <w:t>.2</w:t>
      </w:r>
      <w:r>
        <w:rPr>
          <w:rFonts w:hint="eastAsia" w:ascii="Times New Roman" w:hAnsi="Times New Roman" w:eastAsia="宋体" w:cs="宋体"/>
          <w:b/>
          <w:bCs/>
          <w:color w:val="auto"/>
          <w:spacing w:val="-4"/>
          <w:sz w:val="30"/>
          <w:szCs w:val="30"/>
          <w:lang w:eastAsia="zh-CN"/>
        </w:rPr>
        <w:t>、</w:t>
      </w:r>
      <w:r>
        <w:rPr>
          <w:rFonts w:ascii="Times New Roman" w:hAnsi="Times New Roman" w:eastAsia="宋体" w:cs="宋体"/>
          <w:b/>
          <w:bCs/>
          <w:color w:val="auto"/>
          <w:spacing w:val="-4"/>
          <w:sz w:val="30"/>
          <w:szCs w:val="30"/>
        </w:rPr>
        <w:t>建议</w:t>
      </w:r>
      <w:bookmarkEnd w:id="186"/>
    </w:p>
    <w:p w14:paraId="3254ADC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1、项目承办单位应尽快落实建设资金，以确保本项目建设能够按计划顺利进行；</w:t>
      </w:r>
    </w:p>
    <w:p w14:paraId="3F4D4FF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2、本项目设计规模产量较大，因此，建议企业在稳定目前销售网络的基础上，继续加强产品销售工作，保证产品价值的及时实现和生产的有序进行。</w:t>
      </w:r>
    </w:p>
    <w:p w14:paraId="726CC6F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3、在建设过程中，应严格执行各项管理制度，把设计方案提出的各项环保措施落到实处；</w:t>
      </w:r>
    </w:p>
    <w:p w14:paraId="240D362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宋体"/>
          <w:snapToGrid w:val="0"/>
          <w:color w:val="auto"/>
          <w:kern w:val="0"/>
          <w:sz w:val="24"/>
          <w:szCs w:val="24"/>
          <w:lang w:val="en-US" w:eastAsia="zh-CN" w:bidi="ar"/>
        </w:rPr>
      </w:pPr>
      <w:r>
        <w:rPr>
          <w:rFonts w:hint="default" w:ascii="Times New Roman" w:hAnsi="Times New Roman" w:eastAsia="宋体" w:cs="宋体"/>
          <w:snapToGrid w:val="0"/>
          <w:color w:val="auto"/>
          <w:kern w:val="0"/>
          <w:sz w:val="24"/>
          <w:szCs w:val="24"/>
          <w:lang w:val="en-US" w:eastAsia="zh-CN" w:bidi="ar"/>
        </w:rPr>
        <w:t>4、加强对操作人员的岗位培训，严格生产工艺操作管理，还要严格安全管理措施，及时检修管道设备仪表等；</w:t>
      </w:r>
    </w:p>
    <w:p w14:paraId="081A6CE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Times New Roman" w:hAnsi="Times New Roman" w:eastAsia="宋体" w:cs="宋体"/>
          <w:b/>
          <w:color w:val="auto"/>
          <w:sz w:val="30"/>
          <w:szCs w:val="30"/>
          <w:lang w:val="en-US" w:eastAsia="zh-CN"/>
        </w:rPr>
      </w:pPr>
      <w:r>
        <w:rPr>
          <w:rFonts w:hint="default" w:ascii="Times New Roman" w:hAnsi="Times New Roman" w:eastAsia="宋体" w:cs="宋体"/>
          <w:snapToGrid w:val="0"/>
          <w:color w:val="auto"/>
          <w:kern w:val="0"/>
          <w:sz w:val="24"/>
          <w:szCs w:val="24"/>
          <w:lang w:val="en-US" w:eastAsia="zh-CN" w:bidi="ar"/>
        </w:rPr>
        <w:t>5、项目投产后落实各项安全生产规章程序以及环保节能措施</w:t>
      </w:r>
    </w:p>
    <w:p w14:paraId="3B33576E">
      <w:pPr>
        <w:rPr>
          <w:rFonts w:hint="eastAsia" w:ascii="Times New Roman" w:hAnsi="Times New Roman" w:eastAsia="宋体" w:cs="宋体"/>
          <w:b/>
          <w:color w:val="auto"/>
          <w:sz w:val="30"/>
          <w:szCs w:val="30"/>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68F78777">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jc w:val="center"/>
        <w:textAlignment w:val="baseline"/>
        <w:rPr>
          <w:rFonts w:hint="eastAsia" w:ascii="Times New Roman" w:hAnsi="Times New Roman" w:eastAsia="宋体" w:cs="宋体"/>
          <w:b/>
          <w:color w:val="auto"/>
          <w:sz w:val="30"/>
          <w:szCs w:val="30"/>
          <w:lang w:val="en-US" w:eastAsia="zh-CN"/>
        </w:rPr>
      </w:pPr>
      <w:bookmarkStart w:id="187" w:name="_Toc31277"/>
      <w:r>
        <w:rPr>
          <w:rFonts w:hint="eastAsia" w:ascii="Times New Roman" w:hAnsi="Times New Roman" w:eastAsia="宋体" w:cs="宋体"/>
          <w:b/>
          <w:color w:val="auto"/>
          <w:sz w:val="30"/>
          <w:szCs w:val="30"/>
          <w:lang w:val="en-US" w:eastAsia="zh-CN"/>
        </w:rPr>
        <w:t>附表、附图、附件</w:t>
      </w:r>
      <w:bookmarkEnd w:id="136"/>
      <w:bookmarkEnd w:id="187"/>
    </w:p>
    <w:p w14:paraId="74E0E23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right="0"/>
        <w:jc w:val="left"/>
        <w:textAlignment w:val="baseline"/>
        <w:rPr>
          <w:rFonts w:hint="eastAsia" w:ascii="Times New Roman" w:hAnsi="Times New Roman" w:eastAsia="宋体" w:cs="宋体"/>
          <w:b/>
          <w:bCs/>
          <w:snapToGrid w:val="0"/>
          <w:color w:val="auto"/>
          <w:kern w:val="0"/>
          <w:sz w:val="24"/>
          <w:szCs w:val="24"/>
          <w:lang w:val="en-US" w:eastAsia="zh-CN" w:bidi="ar"/>
        </w:rPr>
      </w:pPr>
      <w:bookmarkStart w:id="188" w:name="_Toc20035"/>
      <w:r>
        <w:rPr>
          <w:rFonts w:hint="eastAsia" w:ascii="Times New Roman" w:hAnsi="Times New Roman" w:eastAsia="宋体" w:cs="宋体"/>
          <w:b/>
          <w:bCs/>
          <w:snapToGrid w:val="0"/>
          <w:color w:val="auto"/>
          <w:kern w:val="0"/>
          <w:sz w:val="24"/>
          <w:szCs w:val="24"/>
          <w:lang w:val="en-US" w:eastAsia="zh-CN" w:bidi="ar"/>
        </w:rPr>
        <w:t>附表：</w:t>
      </w:r>
    </w:p>
    <w:p w14:paraId="1CD970C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附表1：项目总投资表；</w:t>
      </w:r>
    </w:p>
    <w:p w14:paraId="5238453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附表2：产品销售收入与销售税金估算表；</w:t>
      </w:r>
    </w:p>
    <w:p w14:paraId="3431BBB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附表3：总成本费用估算表；</w:t>
      </w:r>
    </w:p>
    <w:p w14:paraId="4E1BC6E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附表4：固定资产折旧费估算表；</w:t>
      </w:r>
    </w:p>
    <w:p w14:paraId="43B0AF8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附表5：外购原材料费估算表；</w:t>
      </w:r>
    </w:p>
    <w:p w14:paraId="1F2A548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附表6：项目投资现金流量表；</w:t>
      </w:r>
    </w:p>
    <w:p w14:paraId="4CA0F8F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附表7：利润及利润分配表；</w:t>
      </w:r>
    </w:p>
    <w:p w14:paraId="7AEBFCF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附表8：外购燃料动力费估算表；</w:t>
      </w:r>
    </w:p>
    <w:p w14:paraId="736F43C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附件9：总投资及资金筹措表。</w:t>
      </w:r>
    </w:p>
    <w:p w14:paraId="2549F60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right="0"/>
        <w:jc w:val="left"/>
        <w:textAlignment w:val="baseline"/>
        <w:rPr>
          <w:rFonts w:hint="eastAsia" w:ascii="Times New Roman" w:hAnsi="Times New Roman" w:eastAsia="宋体" w:cs="宋体"/>
          <w:b/>
          <w:bCs/>
          <w:snapToGrid w:val="0"/>
          <w:color w:val="auto"/>
          <w:kern w:val="0"/>
          <w:sz w:val="24"/>
          <w:szCs w:val="24"/>
          <w:lang w:val="en-US" w:eastAsia="zh-CN" w:bidi="ar"/>
        </w:rPr>
      </w:pPr>
      <w:r>
        <w:rPr>
          <w:rFonts w:hint="eastAsia" w:ascii="Times New Roman" w:hAnsi="Times New Roman" w:eastAsia="宋体" w:cs="宋体"/>
          <w:b/>
          <w:bCs/>
          <w:snapToGrid w:val="0"/>
          <w:color w:val="auto"/>
          <w:kern w:val="0"/>
          <w:sz w:val="24"/>
          <w:szCs w:val="24"/>
          <w:lang w:val="en-US" w:eastAsia="zh-CN" w:bidi="ar"/>
        </w:rPr>
        <w:t>附图：</w:t>
      </w:r>
      <w:bookmarkEnd w:id="188"/>
    </w:p>
    <w:p w14:paraId="1060237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bookmarkStart w:id="189" w:name="_Toc29661"/>
      <w:r>
        <w:rPr>
          <w:rFonts w:hint="eastAsia" w:ascii="Times New Roman" w:hAnsi="Times New Roman" w:eastAsia="宋体" w:cs="宋体"/>
          <w:snapToGrid w:val="0"/>
          <w:color w:val="auto"/>
          <w:kern w:val="0"/>
          <w:sz w:val="24"/>
          <w:szCs w:val="24"/>
          <w:lang w:val="en-US" w:eastAsia="zh-CN" w:bidi="ar"/>
        </w:rPr>
        <w:t>附图1：项目地理位置图；</w:t>
      </w:r>
      <w:bookmarkEnd w:id="189"/>
    </w:p>
    <w:p w14:paraId="38D7998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color w:val="auto"/>
          <w:lang w:val="en-US" w:eastAsia="zh-CN"/>
        </w:rPr>
      </w:pPr>
      <w:bookmarkStart w:id="190" w:name="_Toc24175"/>
      <w:r>
        <w:rPr>
          <w:rFonts w:hint="eastAsia" w:ascii="Times New Roman" w:hAnsi="Times New Roman" w:eastAsia="宋体" w:cs="宋体"/>
          <w:snapToGrid w:val="0"/>
          <w:color w:val="auto"/>
          <w:kern w:val="0"/>
          <w:sz w:val="24"/>
          <w:szCs w:val="24"/>
          <w:lang w:val="en-US" w:eastAsia="zh-CN" w:bidi="ar"/>
        </w:rPr>
        <w:t>附图2：项目区水系图；</w:t>
      </w:r>
    </w:p>
    <w:bookmarkEnd w:id="190"/>
    <w:p w14:paraId="66A9690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bookmarkStart w:id="191" w:name="_Toc23303"/>
      <w:r>
        <w:rPr>
          <w:rFonts w:hint="eastAsia" w:ascii="Times New Roman" w:hAnsi="Times New Roman" w:eastAsia="宋体" w:cs="宋体"/>
          <w:snapToGrid w:val="0"/>
          <w:color w:val="auto"/>
          <w:kern w:val="0"/>
          <w:sz w:val="24"/>
          <w:szCs w:val="24"/>
          <w:lang w:val="en-US" w:eastAsia="zh-CN" w:bidi="ar"/>
        </w:rPr>
        <w:t>附图3：项目配套农田与厂区位置关系图</w:t>
      </w:r>
      <w:bookmarkEnd w:id="191"/>
      <w:r>
        <w:rPr>
          <w:rFonts w:hint="eastAsia" w:ascii="Times New Roman" w:hAnsi="Times New Roman" w:eastAsia="宋体" w:cs="宋体"/>
          <w:snapToGrid w:val="0"/>
          <w:color w:val="auto"/>
          <w:kern w:val="0"/>
          <w:sz w:val="24"/>
          <w:szCs w:val="24"/>
          <w:lang w:val="en-US" w:eastAsia="zh-CN" w:bidi="ar"/>
        </w:rPr>
        <w:t>；</w:t>
      </w:r>
    </w:p>
    <w:p w14:paraId="31C1161B">
      <w:pPr>
        <w:pStyle w:val="2"/>
        <w:ind w:firstLine="480" w:firstLineChars="200"/>
        <w:rPr>
          <w:rFonts w:hint="default" w:ascii="Times New Roman" w:hAnsi="Times New Roman" w:eastAsia="宋体" w:cs="宋体"/>
          <w:color w:val="auto"/>
          <w:lang w:val="en-US" w:eastAsia="zh-CN"/>
        </w:rPr>
      </w:pPr>
      <w:r>
        <w:rPr>
          <w:rFonts w:hint="eastAsia" w:ascii="Times New Roman" w:hAnsi="Times New Roman" w:eastAsia="宋体" w:cs="宋体"/>
          <w:snapToGrid w:val="0"/>
          <w:color w:val="auto"/>
          <w:kern w:val="0"/>
          <w:sz w:val="24"/>
          <w:szCs w:val="24"/>
          <w:lang w:val="en-US" w:eastAsia="zh-CN" w:bidi="ar"/>
        </w:rPr>
        <w:t>附图4：厂区总平面布置图。</w:t>
      </w:r>
    </w:p>
    <w:p w14:paraId="4A35A06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right="0"/>
        <w:jc w:val="left"/>
        <w:textAlignment w:val="baseline"/>
        <w:rPr>
          <w:rFonts w:hint="default" w:ascii="Times New Roman" w:hAnsi="Times New Roman" w:eastAsia="宋体" w:cs="宋体"/>
          <w:b/>
          <w:bCs/>
          <w:snapToGrid w:val="0"/>
          <w:color w:val="auto"/>
          <w:kern w:val="0"/>
          <w:sz w:val="24"/>
          <w:szCs w:val="24"/>
          <w:lang w:val="en-US" w:eastAsia="zh-CN" w:bidi="ar"/>
        </w:rPr>
      </w:pPr>
      <w:bookmarkStart w:id="192" w:name="_Toc1288"/>
      <w:r>
        <w:rPr>
          <w:rFonts w:hint="default" w:ascii="Times New Roman" w:hAnsi="Times New Roman" w:eastAsia="宋体" w:cs="宋体"/>
          <w:b/>
          <w:bCs/>
          <w:snapToGrid w:val="0"/>
          <w:color w:val="auto"/>
          <w:kern w:val="0"/>
          <w:sz w:val="24"/>
          <w:szCs w:val="24"/>
          <w:lang w:val="en-US" w:eastAsia="zh-CN" w:bidi="ar"/>
        </w:rPr>
        <w:t>附</w:t>
      </w:r>
      <w:r>
        <w:rPr>
          <w:rFonts w:hint="eastAsia" w:ascii="Times New Roman" w:hAnsi="Times New Roman" w:eastAsia="宋体" w:cs="宋体"/>
          <w:b/>
          <w:bCs/>
          <w:snapToGrid w:val="0"/>
          <w:color w:val="auto"/>
          <w:kern w:val="0"/>
          <w:sz w:val="24"/>
          <w:szCs w:val="24"/>
          <w:lang w:val="en-US" w:eastAsia="zh-CN" w:bidi="ar"/>
        </w:rPr>
        <w:t>件</w:t>
      </w:r>
      <w:r>
        <w:rPr>
          <w:rFonts w:hint="default" w:ascii="Times New Roman" w:hAnsi="Times New Roman" w:eastAsia="宋体" w:cs="宋体"/>
          <w:b/>
          <w:bCs/>
          <w:snapToGrid w:val="0"/>
          <w:color w:val="auto"/>
          <w:kern w:val="0"/>
          <w:sz w:val="24"/>
          <w:szCs w:val="24"/>
          <w:lang w:val="en-US" w:eastAsia="zh-CN" w:bidi="ar"/>
        </w:rPr>
        <w:t>：</w:t>
      </w:r>
      <w:bookmarkEnd w:id="192"/>
    </w:p>
    <w:p w14:paraId="79FFD0A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bookmarkStart w:id="193" w:name="_Toc27037"/>
      <w:r>
        <w:rPr>
          <w:rFonts w:hint="default" w:ascii="Times New Roman" w:hAnsi="Times New Roman" w:eastAsia="宋体" w:cs="宋体"/>
          <w:snapToGrid w:val="0"/>
          <w:color w:val="auto"/>
          <w:kern w:val="0"/>
          <w:sz w:val="24"/>
          <w:szCs w:val="24"/>
          <w:lang w:val="en-US" w:eastAsia="zh-CN" w:bidi="ar"/>
        </w:rPr>
        <w:t>附件1</w:t>
      </w:r>
      <w:r>
        <w:rPr>
          <w:rFonts w:hint="eastAsia" w:ascii="Times New Roman" w:hAnsi="Times New Roman" w:eastAsia="宋体" w:cs="宋体"/>
          <w:snapToGrid w:val="0"/>
          <w:color w:val="auto"/>
          <w:kern w:val="0"/>
          <w:sz w:val="24"/>
          <w:szCs w:val="24"/>
          <w:lang w:val="en-US" w:eastAsia="zh-CN" w:bidi="ar"/>
        </w:rPr>
        <w:t>：委托书；</w:t>
      </w:r>
      <w:bookmarkEnd w:id="193"/>
    </w:p>
    <w:p w14:paraId="22A7C6A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bookmarkStart w:id="194" w:name="_Toc31373"/>
      <w:r>
        <w:rPr>
          <w:rFonts w:hint="eastAsia" w:ascii="Times New Roman" w:hAnsi="Times New Roman" w:eastAsia="宋体" w:cs="宋体"/>
          <w:snapToGrid w:val="0"/>
          <w:color w:val="auto"/>
          <w:kern w:val="0"/>
          <w:sz w:val="24"/>
          <w:szCs w:val="24"/>
          <w:lang w:val="en-US" w:eastAsia="zh-CN" w:bidi="ar"/>
        </w:rPr>
        <w:t>附件2：营业执照；</w:t>
      </w:r>
      <w:bookmarkStart w:id="197" w:name="_GoBack"/>
      <w:bookmarkEnd w:id="197"/>
    </w:p>
    <w:p w14:paraId="4302CA9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附件3：项目备案证；</w:t>
      </w:r>
      <w:bookmarkEnd w:id="194"/>
    </w:p>
    <w:p w14:paraId="66CB1A8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bookmarkStart w:id="195" w:name="_Toc29348"/>
      <w:r>
        <w:rPr>
          <w:rFonts w:hint="eastAsia" w:ascii="Times New Roman" w:hAnsi="Times New Roman" w:eastAsia="宋体" w:cs="宋体"/>
          <w:snapToGrid w:val="0"/>
          <w:color w:val="auto"/>
          <w:kern w:val="0"/>
          <w:sz w:val="24"/>
          <w:szCs w:val="24"/>
          <w:lang w:val="en-US" w:eastAsia="zh-CN" w:bidi="ar"/>
        </w:rPr>
        <w:t>附件4：厂区不动产权证；</w:t>
      </w:r>
    </w:p>
    <w:p w14:paraId="43CCF61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附件5：土地租赁协议</w:t>
      </w:r>
      <w:bookmarkEnd w:id="195"/>
      <w:r>
        <w:rPr>
          <w:rFonts w:hint="eastAsia" w:ascii="Times New Roman" w:hAnsi="Times New Roman" w:eastAsia="宋体" w:cs="宋体"/>
          <w:snapToGrid w:val="0"/>
          <w:color w:val="auto"/>
          <w:kern w:val="0"/>
          <w:sz w:val="24"/>
          <w:szCs w:val="24"/>
          <w:lang w:val="en-US" w:eastAsia="zh-CN" w:bidi="ar"/>
        </w:rPr>
        <w:t>；</w:t>
      </w:r>
    </w:p>
    <w:p w14:paraId="2FFF07A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default" w:ascii="Times New Roman" w:hAnsi="Times New Roman" w:eastAsia="宋体" w:cs="宋体"/>
          <w:snapToGrid w:val="0"/>
          <w:color w:val="auto"/>
          <w:kern w:val="0"/>
          <w:sz w:val="24"/>
          <w:szCs w:val="24"/>
          <w:lang w:val="en-US" w:eastAsia="zh-CN" w:bidi="ar"/>
        </w:rPr>
      </w:pPr>
      <w:bookmarkStart w:id="196" w:name="_Toc12408"/>
      <w:r>
        <w:rPr>
          <w:rFonts w:hint="eastAsia" w:ascii="Times New Roman" w:hAnsi="Times New Roman" w:eastAsia="宋体" w:cs="宋体"/>
          <w:snapToGrid w:val="0"/>
          <w:color w:val="auto"/>
          <w:kern w:val="0"/>
          <w:sz w:val="24"/>
          <w:szCs w:val="24"/>
          <w:lang w:val="en-US" w:eastAsia="zh-CN" w:bidi="ar"/>
        </w:rPr>
        <w:t>附件6：马铃薯渣皮及薯渣销售协议；</w:t>
      </w:r>
    </w:p>
    <w:p w14:paraId="761F9DC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宋体" w:cs="宋体"/>
          <w:snapToGrid w:val="0"/>
          <w:color w:val="auto"/>
          <w:kern w:val="0"/>
          <w:sz w:val="24"/>
          <w:szCs w:val="24"/>
          <w:lang w:val="en-US" w:eastAsia="zh-CN" w:bidi="ar"/>
        </w:rPr>
        <w:t>附件7：《定西市马铃薯淀粉加工汁水综合利用试点工作实施方案》</w:t>
      </w:r>
      <w:r>
        <w:rPr>
          <w:rFonts w:hint="eastAsia" w:ascii="Times New Roman" w:hAnsi="Times New Roman" w:eastAsia="宋体" w:cs="宋体"/>
          <w:color w:val="auto"/>
          <w:sz w:val="24"/>
          <w:szCs w:val="24"/>
          <w:lang w:eastAsia="zh-CN" w:bidi="ar"/>
        </w:rPr>
        <w:t>（</w:t>
      </w:r>
      <w:r>
        <w:rPr>
          <w:rFonts w:hint="eastAsia" w:ascii="Times New Roman" w:hAnsi="Times New Roman" w:eastAsia="宋体" w:cs="宋体"/>
          <w:color w:val="auto"/>
          <w:sz w:val="24"/>
          <w:szCs w:val="24"/>
          <w:lang w:val="en-US" w:eastAsia="zh-CN" w:bidi="ar"/>
        </w:rPr>
        <w:t>定环发〔2024〕88号</w:t>
      </w:r>
      <w:r>
        <w:rPr>
          <w:rFonts w:hint="eastAsia" w:ascii="Times New Roman" w:hAnsi="Times New Roman" w:eastAsia="宋体" w:cs="宋体"/>
          <w:snapToGrid w:val="0"/>
          <w:color w:val="auto"/>
          <w:kern w:val="0"/>
          <w:sz w:val="24"/>
          <w:szCs w:val="24"/>
          <w:lang w:val="en-US" w:eastAsia="zh-CN" w:bidi="ar"/>
        </w:rPr>
        <w:t>。</w:t>
      </w:r>
      <w:bookmarkEnd w:id="196"/>
    </w:p>
    <w:p w14:paraId="6F9A694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附表1：项目总投资表</w:t>
      </w:r>
    </w:p>
    <w:tbl>
      <w:tblPr>
        <w:tblStyle w:val="26"/>
        <w:tblW w:w="502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44"/>
        <w:gridCol w:w="2437"/>
        <w:gridCol w:w="422"/>
        <w:gridCol w:w="986"/>
        <w:gridCol w:w="1317"/>
        <w:gridCol w:w="1317"/>
        <w:gridCol w:w="1545"/>
        <w:gridCol w:w="1177"/>
        <w:gridCol w:w="1622"/>
        <w:gridCol w:w="1234"/>
        <w:gridCol w:w="1445"/>
      </w:tblGrid>
      <w:tr w14:paraId="17039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61" w:type="pct"/>
            <w:vMerge w:val="restart"/>
            <w:tcBorders>
              <w:bottom w:val="nil"/>
            </w:tcBorders>
            <w:noWrap w:val="0"/>
            <w:vAlign w:val="center"/>
          </w:tcPr>
          <w:p w14:paraId="1B01205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序号</w:t>
            </w:r>
          </w:p>
        </w:tc>
        <w:tc>
          <w:tcPr>
            <w:tcW w:w="855" w:type="pct"/>
            <w:vMerge w:val="restart"/>
            <w:tcBorders>
              <w:bottom w:val="nil"/>
            </w:tcBorders>
            <w:noWrap w:val="0"/>
            <w:vAlign w:val="center"/>
          </w:tcPr>
          <w:p w14:paraId="28A4100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工程或费用名称</w:t>
            </w:r>
          </w:p>
        </w:tc>
        <w:tc>
          <w:tcPr>
            <w:tcW w:w="148" w:type="pct"/>
            <w:vMerge w:val="restart"/>
            <w:tcBorders>
              <w:bottom w:val="nil"/>
            </w:tcBorders>
            <w:noWrap w:val="0"/>
            <w:textDirection w:val="tbRlV"/>
            <w:vAlign w:val="center"/>
          </w:tcPr>
          <w:p w14:paraId="249251C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单位</w:t>
            </w:r>
          </w:p>
        </w:tc>
        <w:tc>
          <w:tcPr>
            <w:tcW w:w="346" w:type="pct"/>
            <w:vMerge w:val="restart"/>
            <w:tcBorders>
              <w:bottom w:val="nil"/>
            </w:tcBorders>
            <w:noWrap w:val="0"/>
            <w:vAlign w:val="center"/>
          </w:tcPr>
          <w:p w14:paraId="261576F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3"/>
                <w:sz w:val="21"/>
                <w:szCs w:val="21"/>
              </w:rPr>
              <w:t>工程量</w:t>
            </w:r>
          </w:p>
        </w:tc>
        <w:tc>
          <w:tcPr>
            <w:tcW w:w="2448" w:type="pct"/>
            <w:gridSpan w:val="5"/>
            <w:noWrap w:val="0"/>
            <w:vAlign w:val="center"/>
          </w:tcPr>
          <w:p w14:paraId="3B50226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估算造价（万元）</w:t>
            </w:r>
          </w:p>
        </w:tc>
        <w:tc>
          <w:tcPr>
            <w:tcW w:w="433" w:type="pct"/>
            <w:vMerge w:val="restart"/>
            <w:tcBorders>
              <w:bottom w:val="nil"/>
            </w:tcBorders>
            <w:noWrap w:val="0"/>
            <w:vAlign w:val="center"/>
          </w:tcPr>
          <w:p w14:paraId="6BF452E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6"/>
                <w:sz w:val="21"/>
                <w:szCs w:val="21"/>
              </w:rPr>
              <w:t>占比</w:t>
            </w:r>
          </w:p>
        </w:tc>
        <w:tc>
          <w:tcPr>
            <w:tcW w:w="507" w:type="pct"/>
            <w:vMerge w:val="restart"/>
            <w:tcBorders>
              <w:bottom w:val="nil"/>
            </w:tcBorders>
            <w:noWrap w:val="0"/>
            <w:vAlign w:val="center"/>
          </w:tcPr>
          <w:p w14:paraId="13DE723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4"/>
                <w:sz w:val="21"/>
                <w:szCs w:val="21"/>
              </w:rPr>
              <w:t>备注</w:t>
            </w:r>
          </w:p>
        </w:tc>
      </w:tr>
      <w:tr w14:paraId="4EF8B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1" w:type="pct"/>
            <w:vMerge w:val="continue"/>
            <w:tcBorders>
              <w:top w:val="nil"/>
            </w:tcBorders>
            <w:noWrap w:val="0"/>
            <w:vAlign w:val="center"/>
          </w:tcPr>
          <w:p w14:paraId="2046CA8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855" w:type="pct"/>
            <w:vMerge w:val="continue"/>
            <w:tcBorders>
              <w:top w:val="nil"/>
            </w:tcBorders>
            <w:noWrap w:val="0"/>
            <w:vAlign w:val="center"/>
          </w:tcPr>
          <w:p w14:paraId="26291B6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148" w:type="pct"/>
            <w:vMerge w:val="continue"/>
            <w:tcBorders>
              <w:top w:val="nil"/>
            </w:tcBorders>
            <w:noWrap w:val="0"/>
            <w:textDirection w:val="tbRlV"/>
            <w:vAlign w:val="center"/>
          </w:tcPr>
          <w:p w14:paraId="12EA07F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346" w:type="pct"/>
            <w:vMerge w:val="continue"/>
            <w:tcBorders>
              <w:top w:val="nil"/>
            </w:tcBorders>
            <w:noWrap w:val="0"/>
            <w:vAlign w:val="center"/>
          </w:tcPr>
          <w:p w14:paraId="464892A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462" w:type="pct"/>
            <w:noWrap w:val="0"/>
            <w:vAlign w:val="center"/>
          </w:tcPr>
          <w:p w14:paraId="6A3C1E2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建筑工程费</w:t>
            </w:r>
          </w:p>
        </w:tc>
        <w:tc>
          <w:tcPr>
            <w:tcW w:w="462" w:type="pct"/>
            <w:noWrap w:val="0"/>
            <w:vAlign w:val="center"/>
          </w:tcPr>
          <w:p w14:paraId="2B779C8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设备购置费</w:t>
            </w:r>
          </w:p>
        </w:tc>
        <w:tc>
          <w:tcPr>
            <w:tcW w:w="542" w:type="pct"/>
            <w:noWrap w:val="0"/>
            <w:vAlign w:val="center"/>
          </w:tcPr>
          <w:p w14:paraId="773BE8E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安装工程费</w:t>
            </w:r>
          </w:p>
        </w:tc>
        <w:tc>
          <w:tcPr>
            <w:tcW w:w="413" w:type="pct"/>
            <w:noWrap w:val="0"/>
            <w:vAlign w:val="center"/>
          </w:tcPr>
          <w:p w14:paraId="24E5760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其他费用</w:t>
            </w:r>
          </w:p>
        </w:tc>
        <w:tc>
          <w:tcPr>
            <w:tcW w:w="569" w:type="pct"/>
            <w:noWrap w:val="0"/>
            <w:vAlign w:val="center"/>
          </w:tcPr>
          <w:p w14:paraId="4AEC921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3"/>
                <w:sz w:val="21"/>
                <w:szCs w:val="21"/>
              </w:rPr>
              <w:t>合计</w:t>
            </w:r>
          </w:p>
        </w:tc>
        <w:tc>
          <w:tcPr>
            <w:tcW w:w="433" w:type="pct"/>
            <w:vMerge w:val="continue"/>
            <w:tcBorders>
              <w:top w:val="nil"/>
            </w:tcBorders>
            <w:noWrap w:val="0"/>
            <w:vAlign w:val="center"/>
          </w:tcPr>
          <w:p w14:paraId="2E1D284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507" w:type="pct"/>
            <w:vMerge w:val="continue"/>
            <w:tcBorders>
              <w:top w:val="nil"/>
            </w:tcBorders>
            <w:noWrap w:val="0"/>
            <w:vAlign w:val="center"/>
          </w:tcPr>
          <w:p w14:paraId="038DCB9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7AB5D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076DDCC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position w:val="-3"/>
                <w:sz w:val="21"/>
                <w:szCs w:val="21"/>
              </w:rPr>
              <w:t>一</w:t>
            </w:r>
          </w:p>
        </w:tc>
        <w:tc>
          <w:tcPr>
            <w:tcW w:w="855" w:type="pct"/>
            <w:noWrap w:val="0"/>
            <w:vAlign w:val="center"/>
          </w:tcPr>
          <w:p w14:paraId="1A20DA9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工程费用</w:t>
            </w:r>
          </w:p>
        </w:tc>
        <w:tc>
          <w:tcPr>
            <w:tcW w:w="148" w:type="pct"/>
            <w:noWrap w:val="0"/>
            <w:vAlign w:val="center"/>
          </w:tcPr>
          <w:p w14:paraId="12EF938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2E5C5F18">
            <w:pPr>
              <w:jc w:val="center"/>
              <w:rPr>
                <w:rFonts w:hint="default" w:ascii="Times New Roman" w:hAnsi="Times New Roman" w:eastAsia="宋体" w:cs="宋体"/>
                <w:color w:val="auto"/>
                <w:sz w:val="21"/>
                <w:szCs w:val="21"/>
                <w:lang w:val="en-US" w:eastAsia="zh-CN"/>
              </w:rPr>
            </w:pPr>
          </w:p>
        </w:tc>
        <w:tc>
          <w:tcPr>
            <w:tcW w:w="1317" w:type="dxa"/>
            <w:noWrap w:val="0"/>
            <w:vAlign w:val="center"/>
          </w:tcPr>
          <w:p w14:paraId="0A7DA62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2267.53</w:t>
            </w:r>
          </w:p>
        </w:tc>
        <w:tc>
          <w:tcPr>
            <w:tcW w:w="1317" w:type="dxa"/>
            <w:noWrap w:val="0"/>
            <w:vAlign w:val="center"/>
          </w:tcPr>
          <w:p w14:paraId="6E4722A5">
            <w:pPr>
              <w:jc w:val="center"/>
              <w:rPr>
                <w:rFonts w:hint="default" w:ascii="Times New Roman" w:hAnsi="Times New Roman" w:eastAsia="宋体" w:cs="宋体"/>
                <w:color w:val="auto"/>
                <w:sz w:val="21"/>
                <w:szCs w:val="21"/>
                <w:lang w:val="en-US" w:eastAsia="zh-CN"/>
              </w:rPr>
            </w:pPr>
          </w:p>
        </w:tc>
        <w:tc>
          <w:tcPr>
            <w:tcW w:w="1545" w:type="dxa"/>
            <w:noWrap w:val="0"/>
            <w:vAlign w:val="center"/>
          </w:tcPr>
          <w:p w14:paraId="396A1AE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32.47</w:t>
            </w:r>
          </w:p>
        </w:tc>
        <w:tc>
          <w:tcPr>
            <w:tcW w:w="1177" w:type="dxa"/>
            <w:noWrap w:val="0"/>
            <w:vAlign w:val="center"/>
          </w:tcPr>
          <w:p w14:paraId="562A9B07">
            <w:pPr>
              <w:jc w:val="center"/>
              <w:rPr>
                <w:rFonts w:ascii="Times New Roman" w:hAnsi="Times New Roman" w:eastAsia="宋体" w:cs="宋体"/>
                <w:color w:val="auto"/>
                <w:sz w:val="21"/>
                <w:szCs w:val="21"/>
              </w:rPr>
            </w:pPr>
          </w:p>
        </w:tc>
        <w:tc>
          <w:tcPr>
            <w:tcW w:w="1622" w:type="dxa"/>
            <w:noWrap w:val="0"/>
            <w:vAlign w:val="center"/>
          </w:tcPr>
          <w:p w14:paraId="3D03B1C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2300</w:t>
            </w:r>
          </w:p>
        </w:tc>
        <w:tc>
          <w:tcPr>
            <w:tcW w:w="1234" w:type="dxa"/>
            <w:noWrap w:val="0"/>
            <w:vAlign w:val="center"/>
          </w:tcPr>
          <w:p w14:paraId="76AC482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37.28%</w:t>
            </w:r>
          </w:p>
        </w:tc>
        <w:tc>
          <w:tcPr>
            <w:tcW w:w="507" w:type="pct"/>
            <w:noWrap w:val="0"/>
            <w:vAlign w:val="center"/>
          </w:tcPr>
          <w:p w14:paraId="43E6BD2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25CA2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61" w:type="pct"/>
            <w:noWrap w:val="0"/>
            <w:vAlign w:val="center"/>
          </w:tcPr>
          <w:p w14:paraId="4714B14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1</w:t>
            </w:r>
          </w:p>
        </w:tc>
        <w:tc>
          <w:tcPr>
            <w:tcW w:w="855" w:type="pct"/>
            <w:noWrap w:val="0"/>
            <w:vAlign w:val="center"/>
          </w:tcPr>
          <w:p w14:paraId="6E5AE08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建筑安装工程费</w:t>
            </w:r>
          </w:p>
        </w:tc>
        <w:tc>
          <w:tcPr>
            <w:tcW w:w="148" w:type="pct"/>
            <w:noWrap w:val="0"/>
            <w:vAlign w:val="center"/>
          </w:tcPr>
          <w:p w14:paraId="17E5D1B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3DC18F6C">
            <w:pPr>
              <w:keepNext w:val="0"/>
              <w:keepLines w:val="0"/>
              <w:widowControl/>
              <w:suppressLineNumbers w:val="0"/>
              <w:jc w:val="center"/>
              <w:textAlignment w:val="center"/>
              <w:rPr>
                <w:rFonts w:hint="default" w:ascii="Times New Roman" w:hAnsi="Times New Roman" w:eastAsia="宋体" w:cs="宋体"/>
                <w:color w:val="auto"/>
                <w:sz w:val="21"/>
                <w:szCs w:val="21"/>
                <w:lang w:val="en-US" w:eastAsia="zh-CN"/>
              </w:rPr>
            </w:pPr>
            <w:r>
              <w:rPr>
                <w:rFonts w:hint="default" w:ascii="Times New Roman" w:hAnsi="Times New Roman" w:eastAsia="宋体" w:cs="宋体"/>
                <w:i w:val="0"/>
                <w:iCs w:val="0"/>
                <w:snapToGrid w:val="0"/>
                <w:color w:val="auto"/>
                <w:kern w:val="0"/>
                <w:sz w:val="21"/>
                <w:szCs w:val="21"/>
                <w:u w:val="none"/>
                <w:lang w:val="en-US" w:eastAsia="zh-CN" w:bidi="ar"/>
              </w:rPr>
              <w:t>10481.25</w:t>
            </w:r>
          </w:p>
        </w:tc>
        <w:tc>
          <w:tcPr>
            <w:tcW w:w="1317" w:type="dxa"/>
            <w:noWrap w:val="0"/>
            <w:vAlign w:val="center"/>
          </w:tcPr>
          <w:p w14:paraId="3053DDA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2267.53</w:t>
            </w:r>
          </w:p>
        </w:tc>
        <w:tc>
          <w:tcPr>
            <w:tcW w:w="1317" w:type="dxa"/>
            <w:noWrap w:val="0"/>
            <w:vAlign w:val="center"/>
          </w:tcPr>
          <w:p w14:paraId="6BF71819">
            <w:pPr>
              <w:jc w:val="center"/>
              <w:rPr>
                <w:rFonts w:ascii="Times New Roman" w:hAnsi="Times New Roman" w:eastAsia="宋体" w:cs="宋体"/>
                <w:color w:val="auto"/>
                <w:sz w:val="21"/>
                <w:szCs w:val="21"/>
              </w:rPr>
            </w:pPr>
          </w:p>
        </w:tc>
        <w:tc>
          <w:tcPr>
            <w:tcW w:w="1545" w:type="dxa"/>
            <w:noWrap w:val="0"/>
            <w:vAlign w:val="center"/>
          </w:tcPr>
          <w:p w14:paraId="53729BE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8.98</w:t>
            </w:r>
          </w:p>
        </w:tc>
        <w:tc>
          <w:tcPr>
            <w:tcW w:w="1177" w:type="dxa"/>
            <w:noWrap w:val="0"/>
            <w:vAlign w:val="center"/>
          </w:tcPr>
          <w:p w14:paraId="25ECA3CF">
            <w:pPr>
              <w:jc w:val="center"/>
              <w:rPr>
                <w:rFonts w:ascii="Times New Roman" w:hAnsi="Times New Roman" w:eastAsia="宋体" w:cs="宋体"/>
                <w:color w:val="auto"/>
                <w:sz w:val="21"/>
                <w:szCs w:val="21"/>
              </w:rPr>
            </w:pPr>
          </w:p>
        </w:tc>
        <w:tc>
          <w:tcPr>
            <w:tcW w:w="1622" w:type="dxa"/>
            <w:noWrap w:val="0"/>
            <w:vAlign w:val="center"/>
          </w:tcPr>
          <w:p w14:paraId="3BCE21B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2267.53</w:t>
            </w:r>
          </w:p>
        </w:tc>
        <w:tc>
          <w:tcPr>
            <w:tcW w:w="1234" w:type="dxa"/>
            <w:noWrap w:val="0"/>
            <w:vAlign w:val="center"/>
          </w:tcPr>
          <w:p w14:paraId="414AE38E">
            <w:pPr>
              <w:jc w:val="center"/>
              <w:rPr>
                <w:rFonts w:ascii="Times New Roman" w:hAnsi="Times New Roman" w:eastAsia="宋体" w:cs="宋体"/>
                <w:color w:val="auto"/>
                <w:sz w:val="21"/>
                <w:szCs w:val="21"/>
              </w:rPr>
            </w:pPr>
          </w:p>
        </w:tc>
        <w:tc>
          <w:tcPr>
            <w:tcW w:w="507" w:type="pct"/>
            <w:noWrap w:val="0"/>
            <w:vAlign w:val="center"/>
          </w:tcPr>
          <w:p w14:paraId="515218E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509A4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261" w:type="pct"/>
            <w:noWrap w:val="0"/>
            <w:vAlign w:val="center"/>
          </w:tcPr>
          <w:p w14:paraId="2744C26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6"/>
                <w:sz w:val="21"/>
                <w:szCs w:val="21"/>
              </w:rPr>
              <w:t>1.1</w:t>
            </w:r>
          </w:p>
        </w:tc>
        <w:tc>
          <w:tcPr>
            <w:tcW w:w="855" w:type="pct"/>
            <w:noWrap w:val="0"/>
            <w:vAlign w:val="center"/>
          </w:tcPr>
          <w:p w14:paraId="01F879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3"/>
                <w:sz w:val="21"/>
                <w:szCs w:val="21"/>
              </w:rPr>
              <w:t>车间</w:t>
            </w:r>
          </w:p>
        </w:tc>
        <w:tc>
          <w:tcPr>
            <w:tcW w:w="148" w:type="pct"/>
            <w:noWrap w:val="0"/>
            <w:vAlign w:val="center"/>
          </w:tcPr>
          <w:p w14:paraId="3641B28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m</w:t>
            </w:r>
            <w:r>
              <w:rPr>
                <w:rFonts w:hint="eastAsia" w:ascii="Times New Roman" w:hAnsi="Times New Roman" w:eastAsia="宋体" w:cs="宋体"/>
                <w:color w:val="auto"/>
                <w:sz w:val="21"/>
                <w:szCs w:val="21"/>
                <w:vertAlign w:val="superscript"/>
                <w:lang w:val="en-US" w:eastAsia="zh-CN"/>
              </w:rPr>
              <w:t>2</w:t>
            </w:r>
          </w:p>
        </w:tc>
        <w:tc>
          <w:tcPr>
            <w:tcW w:w="986" w:type="dxa"/>
            <w:noWrap w:val="0"/>
            <w:vAlign w:val="center"/>
          </w:tcPr>
          <w:p w14:paraId="262CE8E3">
            <w:pPr>
              <w:keepNext w:val="0"/>
              <w:keepLines w:val="0"/>
              <w:widowControl/>
              <w:suppressLineNumbers w:val="0"/>
              <w:jc w:val="center"/>
              <w:textAlignment w:val="center"/>
              <w:rPr>
                <w:rFonts w:hint="default" w:ascii="Times New Roman" w:hAnsi="Times New Roman" w:eastAsia="宋体" w:cs="宋体"/>
                <w:color w:val="auto"/>
                <w:sz w:val="21"/>
                <w:szCs w:val="21"/>
                <w:lang w:val="en-US" w:eastAsia="zh-CN"/>
              </w:rPr>
            </w:pPr>
            <w:r>
              <w:rPr>
                <w:rFonts w:hint="default" w:ascii="Times New Roman" w:hAnsi="Times New Roman" w:eastAsia="宋体" w:cs="宋体"/>
                <w:i w:val="0"/>
                <w:iCs w:val="0"/>
                <w:snapToGrid w:val="0"/>
                <w:color w:val="auto"/>
                <w:kern w:val="0"/>
                <w:sz w:val="21"/>
                <w:szCs w:val="21"/>
                <w:u w:val="none"/>
                <w:lang w:val="en-US" w:eastAsia="zh-CN" w:bidi="ar"/>
              </w:rPr>
              <w:t>1674.25</w:t>
            </w:r>
          </w:p>
        </w:tc>
        <w:tc>
          <w:tcPr>
            <w:tcW w:w="1317" w:type="dxa"/>
            <w:noWrap w:val="0"/>
            <w:vAlign w:val="center"/>
          </w:tcPr>
          <w:p w14:paraId="0038CE4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542.74</w:t>
            </w:r>
          </w:p>
        </w:tc>
        <w:tc>
          <w:tcPr>
            <w:tcW w:w="1317" w:type="dxa"/>
            <w:noWrap w:val="0"/>
            <w:vAlign w:val="center"/>
          </w:tcPr>
          <w:p w14:paraId="3F38BCAE">
            <w:pPr>
              <w:jc w:val="center"/>
              <w:rPr>
                <w:rFonts w:ascii="Times New Roman" w:hAnsi="Times New Roman" w:eastAsia="宋体" w:cs="宋体"/>
                <w:color w:val="auto"/>
                <w:sz w:val="21"/>
                <w:szCs w:val="21"/>
              </w:rPr>
            </w:pPr>
          </w:p>
        </w:tc>
        <w:tc>
          <w:tcPr>
            <w:tcW w:w="1545" w:type="dxa"/>
            <w:noWrap w:val="0"/>
            <w:vAlign w:val="center"/>
          </w:tcPr>
          <w:p w14:paraId="6D5F7069">
            <w:pPr>
              <w:jc w:val="center"/>
              <w:rPr>
                <w:rFonts w:ascii="Times New Roman" w:hAnsi="Times New Roman" w:eastAsia="宋体" w:cs="宋体"/>
                <w:color w:val="auto"/>
                <w:sz w:val="21"/>
                <w:szCs w:val="21"/>
              </w:rPr>
            </w:pPr>
          </w:p>
        </w:tc>
        <w:tc>
          <w:tcPr>
            <w:tcW w:w="1177" w:type="dxa"/>
            <w:noWrap w:val="0"/>
            <w:vAlign w:val="center"/>
          </w:tcPr>
          <w:p w14:paraId="47CEEFFB">
            <w:pPr>
              <w:jc w:val="center"/>
              <w:rPr>
                <w:rFonts w:ascii="Times New Roman" w:hAnsi="Times New Roman" w:eastAsia="宋体" w:cs="宋体"/>
                <w:color w:val="auto"/>
                <w:sz w:val="21"/>
                <w:szCs w:val="21"/>
              </w:rPr>
            </w:pPr>
          </w:p>
        </w:tc>
        <w:tc>
          <w:tcPr>
            <w:tcW w:w="1622" w:type="dxa"/>
            <w:noWrap w:val="0"/>
            <w:vAlign w:val="center"/>
          </w:tcPr>
          <w:p w14:paraId="6B5EF9A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542.74</w:t>
            </w:r>
          </w:p>
        </w:tc>
        <w:tc>
          <w:tcPr>
            <w:tcW w:w="1234" w:type="dxa"/>
            <w:noWrap w:val="0"/>
            <w:vAlign w:val="center"/>
          </w:tcPr>
          <w:p w14:paraId="7B78AD82">
            <w:pPr>
              <w:jc w:val="center"/>
              <w:rPr>
                <w:rFonts w:ascii="Times New Roman" w:hAnsi="Times New Roman" w:eastAsia="宋体" w:cs="宋体"/>
                <w:color w:val="auto"/>
                <w:sz w:val="21"/>
                <w:szCs w:val="21"/>
              </w:rPr>
            </w:pPr>
          </w:p>
        </w:tc>
        <w:tc>
          <w:tcPr>
            <w:tcW w:w="507" w:type="pct"/>
            <w:noWrap w:val="0"/>
            <w:vAlign w:val="center"/>
          </w:tcPr>
          <w:p w14:paraId="07C3A44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2C63A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261" w:type="pct"/>
            <w:noWrap w:val="0"/>
            <w:vAlign w:val="center"/>
          </w:tcPr>
          <w:p w14:paraId="1F7C952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4"/>
                <w:sz w:val="21"/>
                <w:szCs w:val="21"/>
              </w:rPr>
              <w:t>1.1.1</w:t>
            </w:r>
          </w:p>
        </w:tc>
        <w:tc>
          <w:tcPr>
            <w:tcW w:w="855" w:type="pct"/>
            <w:noWrap w:val="0"/>
            <w:vAlign w:val="center"/>
          </w:tcPr>
          <w:p w14:paraId="6DFD0CC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3"/>
                <w:sz w:val="21"/>
                <w:szCs w:val="21"/>
              </w:rPr>
              <w:t>土建</w:t>
            </w:r>
          </w:p>
        </w:tc>
        <w:tc>
          <w:tcPr>
            <w:tcW w:w="148" w:type="pct"/>
            <w:noWrap w:val="0"/>
            <w:vAlign w:val="center"/>
          </w:tcPr>
          <w:p w14:paraId="2B3AA0D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m</w:t>
            </w:r>
            <w:r>
              <w:rPr>
                <w:rFonts w:hint="eastAsia" w:ascii="Times New Roman" w:hAnsi="Times New Roman" w:eastAsia="宋体" w:cs="宋体"/>
                <w:color w:val="auto"/>
                <w:sz w:val="21"/>
                <w:szCs w:val="21"/>
                <w:vertAlign w:val="superscript"/>
                <w:lang w:val="en-US" w:eastAsia="zh-CN"/>
              </w:rPr>
              <w:t>2</w:t>
            </w:r>
          </w:p>
        </w:tc>
        <w:tc>
          <w:tcPr>
            <w:tcW w:w="986" w:type="dxa"/>
            <w:noWrap w:val="0"/>
            <w:vAlign w:val="center"/>
          </w:tcPr>
          <w:p w14:paraId="33B86F4E">
            <w:pPr>
              <w:keepNext w:val="0"/>
              <w:keepLines w:val="0"/>
              <w:widowControl/>
              <w:suppressLineNumbers w:val="0"/>
              <w:jc w:val="center"/>
              <w:textAlignment w:val="center"/>
              <w:rPr>
                <w:rFonts w:hint="default" w:ascii="Times New Roman" w:hAnsi="Times New Roman" w:eastAsia="宋体" w:cs="宋体"/>
                <w:color w:val="auto"/>
                <w:sz w:val="21"/>
                <w:szCs w:val="21"/>
                <w:lang w:val="en-US" w:eastAsia="zh-CN"/>
              </w:rPr>
            </w:pPr>
            <w:r>
              <w:rPr>
                <w:rFonts w:hint="default" w:ascii="Times New Roman" w:hAnsi="Times New Roman" w:eastAsia="宋体" w:cs="宋体"/>
                <w:i w:val="0"/>
                <w:iCs w:val="0"/>
                <w:snapToGrid w:val="0"/>
                <w:color w:val="auto"/>
                <w:kern w:val="0"/>
                <w:sz w:val="21"/>
                <w:szCs w:val="21"/>
                <w:u w:val="none"/>
                <w:lang w:val="en-US" w:eastAsia="zh-CN" w:bidi="ar"/>
              </w:rPr>
              <w:t>6457.25</w:t>
            </w:r>
          </w:p>
        </w:tc>
        <w:tc>
          <w:tcPr>
            <w:tcW w:w="1317" w:type="dxa"/>
            <w:noWrap w:val="0"/>
            <w:vAlign w:val="center"/>
          </w:tcPr>
          <w:p w14:paraId="042864A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1494.29</w:t>
            </w:r>
          </w:p>
        </w:tc>
        <w:tc>
          <w:tcPr>
            <w:tcW w:w="1317" w:type="dxa"/>
            <w:noWrap w:val="0"/>
            <w:vAlign w:val="center"/>
          </w:tcPr>
          <w:p w14:paraId="0D06E314">
            <w:pPr>
              <w:jc w:val="center"/>
              <w:rPr>
                <w:rFonts w:ascii="Times New Roman" w:hAnsi="Times New Roman" w:eastAsia="宋体" w:cs="宋体"/>
                <w:color w:val="auto"/>
                <w:sz w:val="21"/>
                <w:szCs w:val="21"/>
              </w:rPr>
            </w:pPr>
          </w:p>
        </w:tc>
        <w:tc>
          <w:tcPr>
            <w:tcW w:w="1545" w:type="dxa"/>
            <w:noWrap w:val="0"/>
            <w:vAlign w:val="center"/>
          </w:tcPr>
          <w:p w14:paraId="2F4B0215">
            <w:pPr>
              <w:jc w:val="center"/>
              <w:rPr>
                <w:rFonts w:ascii="Times New Roman" w:hAnsi="Times New Roman" w:eastAsia="宋体" w:cs="宋体"/>
                <w:color w:val="auto"/>
                <w:sz w:val="21"/>
                <w:szCs w:val="21"/>
              </w:rPr>
            </w:pPr>
          </w:p>
        </w:tc>
        <w:tc>
          <w:tcPr>
            <w:tcW w:w="1177" w:type="dxa"/>
            <w:noWrap w:val="0"/>
            <w:vAlign w:val="center"/>
          </w:tcPr>
          <w:p w14:paraId="5B129FCF">
            <w:pPr>
              <w:jc w:val="center"/>
              <w:rPr>
                <w:rFonts w:ascii="Times New Roman" w:hAnsi="Times New Roman" w:eastAsia="宋体" w:cs="宋体"/>
                <w:color w:val="auto"/>
                <w:sz w:val="21"/>
                <w:szCs w:val="21"/>
              </w:rPr>
            </w:pPr>
          </w:p>
        </w:tc>
        <w:tc>
          <w:tcPr>
            <w:tcW w:w="1622" w:type="dxa"/>
            <w:noWrap w:val="0"/>
            <w:vAlign w:val="center"/>
          </w:tcPr>
          <w:p w14:paraId="0D1C503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1494.29</w:t>
            </w:r>
          </w:p>
        </w:tc>
        <w:tc>
          <w:tcPr>
            <w:tcW w:w="1234" w:type="dxa"/>
            <w:noWrap w:val="0"/>
            <w:vAlign w:val="center"/>
          </w:tcPr>
          <w:p w14:paraId="7F643898">
            <w:pPr>
              <w:jc w:val="center"/>
              <w:rPr>
                <w:rFonts w:ascii="Times New Roman" w:hAnsi="Times New Roman" w:eastAsia="宋体" w:cs="宋体"/>
                <w:color w:val="auto"/>
                <w:sz w:val="21"/>
                <w:szCs w:val="21"/>
              </w:rPr>
            </w:pPr>
          </w:p>
        </w:tc>
        <w:tc>
          <w:tcPr>
            <w:tcW w:w="507" w:type="pct"/>
            <w:noWrap w:val="0"/>
            <w:vAlign w:val="center"/>
          </w:tcPr>
          <w:p w14:paraId="1F44E78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33841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4082E12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4"/>
                <w:sz w:val="21"/>
                <w:szCs w:val="21"/>
              </w:rPr>
              <w:t>1.1.2</w:t>
            </w:r>
          </w:p>
        </w:tc>
        <w:tc>
          <w:tcPr>
            <w:tcW w:w="855" w:type="pct"/>
            <w:noWrap w:val="0"/>
            <w:vAlign w:val="center"/>
          </w:tcPr>
          <w:p w14:paraId="554EF9D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室内装饰</w:t>
            </w:r>
          </w:p>
        </w:tc>
        <w:tc>
          <w:tcPr>
            <w:tcW w:w="148" w:type="pct"/>
            <w:noWrap w:val="0"/>
            <w:vAlign w:val="center"/>
          </w:tcPr>
          <w:p w14:paraId="3995DAA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m</w:t>
            </w:r>
            <w:r>
              <w:rPr>
                <w:rFonts w:hint="eastAsia" w:ascii="Times New Roman" w:hAnsi="Times New Roman" w:eastAsia="宋体" w:cs="宋体"/>
                <w:color w:val="auto"/>
                <w:sz w:val="21"/>
                <w:szCs w:val="21"/>
                <w:vertAlign w:val="superscript"/>
                <w:lang w:val="en-US" w:eastAsia="zh-CN"/>
              </w:rPr>
              <w:t>2</w:t>
            </w:r>
          </w:p>
        </w:tc>
        <w:tc>
          <w:tcPr>
            <w:tcW w:w="986" w:type="dxa"/>
            <w:noWrap w:val="0"/>
            <w:vAlign w:val="center"/>
          </w:tcPr>
          <w:p w14:paraId="5EE3A605">
            <w:pPr>
              <w:keepNext w:val="0"/>
              <w:keepLines w:val="0"/>
              <w:widowControl/>
              <w:suppressLineNumbers w:val="0"/>
              <w:jc w:val="center"/>
              <w:textAlignment w:val="center"/>
              <w:rPr>
                <w:rFonts w:hint="default" w:ascii="Times New Roman" w:hAnsi="Times New Roman" w:eastAsia="宋体" w:cs="宋体"/>
                <w:color w:val="auto"/>
                <w:sz w:val="21"/>
                <w:szCs w:val="21"/>
                <w:lang w:val="en-US" w:eastAsia="zh-CN"/>
              </w:rPr>
            </w:pPr>
            <w:r>
              <w:rPr>
                <w:rFonts w:hint="default" w:ascii="Times New Roman" w:hAnsi="Times New Roman" w:eastAsia="宋体" w:cs="宋体"/>
                <w:i w:val="0"/>
                <w:iCs w:val="0"/>
                <w:snapToGrid w:val="0"/>
                <w:color w:val="auto"/>
                <w:kern w:val="0"/>
                <w:sz w:val="21"/>
                <w:szCs w:val="21"/>
                <w:u w:val="none"/>
                <w:lang w:val="en-US" w:eastAsia="zh-CN" w:bidi="ar"/>
              </w:rPr>
              <w:t>2349.75</w:t>
            </w:r>
          </w:p>
        </w:tc>
        <w:tc>
          <w:tcPr>
            <w:tcW w:w="1317" w:type="dxa"/>
            <w:noWrap w:val="0"/>
            <w:vAlign w:val="center"/>
          </w:tcPr>
          <w:p w14:paraId="48920D4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230.5</w:t>
            </w:r>
          </w:p>
        </w:tc>
        <w:tc>
          <w:tcPr>
            <w:tcW w:w="1317" w:type="dxa"/>
            <w:noWrap w:val="0"/>
            <w:vAlign w:val="center"/>
          </w:tcPr>
          <w:p w14:paraId="74C09374">
            <w:pPr>
              <w:jc w:val="center"/>
              <w:rPr>
                <w:rFonts w:ascii="Times New Roman" w:hAnsi="Times New Roman" w:eastAsia="宋体" w:cs="宋体"/>
                <w:color w:val="auto"/>
                <w:sz w:val="21"/>
                <w:szCs w:val="21"/>
              </w:rPr>
            </w:pPr>
          </w:p>
        </w:tc>
        <w:tc>
          <w:tcPr>
            <w:tcW w:w="1545" w:type="dxa"/>
            <w:noWrap w:val="0"/>
            <w:vAlign w:val="center"/>
          </w:tcPr>
          <w:p w14:paraId="74AC4AEC">
            <w:pPr>
              <w:jc w:val="center"/>
              <w:rPr>
                <w:rFonts w:ascii="Times New Roman" w:hAnsi="Times New Roman" w:eastAsia="宋体" w:cs="宋体"/>
                <w:color w:val="auto"/>
                <w:sz w:val="21"/>
                <w:szCs w:val="21"/>
              </w:rPr>
            </w:pPr>
          </w:p>
        </w:tc>
        <w:tc>
          <w:tcPr>
            <w:tcW w:w="1177" w:type="dxa"/>
            <w:noWrap w:val="0"/>
            <w:vAlign w:val="center"/>
          </w:tcPr>
          <w:p w14:paraId="3796B747">
            <w:pPr>
              <w:jc w:val="center"/>
              <w:rPr>
                <w:rFonts w:ascii="Times New Roman" w:hAnsi="Times New Roman" w:eastAsia="宋体" w:cs="宋体"/>
                <w:color w:val="auto"/>
                <w:sz w:val="21"/>
                <w:szCs w:val="21"/>
              </w:rPr>
            </w:pPr>
          </w:p>
        </w:tc>
        <w:tc>
          <w:tcPr>
            <w:tcW w:w="1622" w:type="dxa"/>
            <w:noWrap w:val="0"/>
            <w:vAlign w:val="center"/>
          </w:tcPr>
          <w:p w14:paraId="5D2F396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230.5</w:t>
            </w:r>
          </w:p>
        </w:tc>
        <w:tc>
          <w:tcPr>
            <w:tcW w:w="1234" w:type="dxa"/>
            <w:noWrap w:val="0"/>
            <w:vAlign w:val="center"/>
          </w:tcPr>
          <w:p w14:paraId="1B796E8D">
            <w:pPr>
              <w:jc w:val="center"/>
              <w:rPr>
                <w:rFonts w:ascii="Times New Roman" w:hAnsi="Times New Roman" w:eastAsia="宋体" w:cs="宋体"/>
                <w:color w:val="auto"/>
                <w:sz w:val="21"/>
                <w:szCs w:val="21"/>
              </w:rPr>
            </w:pPr>
          </w:p>
        </w:tc>
        <w:tc>
          <w:tcPr>
            <w:tcW w:w="507" w:type="pct"/>
            <w:noWrap w:val="0"/>
            <w:vAlign w:val="center"/>
          </w:tcPr>
          <w:p w14:paraId="0A64AE2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4157E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2EBADAE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4"/>
                <w:sz w:val="21"/>
                <w:szCs w:val="21"/>
              </w:rPr>
              <w:t>1.1.3</w:t>
            </w:r>
          </w:p>
        </w:tc>
        <w:tc>
          <w:tcPr>
            <w:tcW w:w="855" w:type="pct"/>
            <w:noWrap w:val="0"/>
            <w:vAlign w:val="center"/>
          </w:tcPr>
          <w:p w14:paraId="41AF88D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4"/>
                <w:sz w:val="21"/>
                <w:szCs w:val="21"/>
              </w:rPr>
              <w:t>安装</w:t>
            </w:r>
          </w:p>
        </w:tc>
        <w:tc>
          <w:tcPr>
            <w:tcW w:w="148" w:type="pct"/>
            <w:noWrap w:val="0"/>
            <w:vAlign w:val="center"/>
          </w:tcPr>
          <w:p w14:paraId="4C45B63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m</w:t>
            </w:r>
            <w:r>
              <w:rPr>
                <w:rFonts w:hint="eastAsia" w:ascii="Times New Roman" w:hAnsi="Times New Roman" w:eastAsia="宋体" w:cs="宋体"/>
                <w:color w:val="auto"/>
                <w:sz w:val="21"/>
                <w:szCs w:val="21"/>
                <w:vertAlign w:val="superscript"/>
                <w:lang w:val="en-US" w:eastAsia="zh-CN"/>
              </w:rPr>
              <w:t>2</w:t>
            </w:r>
          </w:p>
        </w:tc>
        <w:tc>
          <w:tcPr>
            <w:tcW w:w="986" w:type="dxa"/>
            <w:noWrap w:val="0"/>
            <w:vAlign w:val="center"/>
          </w:tcPr>
          <w:p w14:paraId="4797ED7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2349.75</w:t>
            </w:r>
          </w:p>
        </w:tc>
        <w:tc>
          <w:tcPr>
            <w:tcW w:w="1317" w:type="dxa"/>
            <w:noWrap w:val="0"/>
            <w:vAlign w:val="center"/>
          </w:tcPr>
          <w:p w14:paraId="763F69C4">
            <w:pPr>
              <w:jc w:val="center"/>
              <w:rPr>
                <w:rFonts w:ascii="Times New Roman" w:hAnsi="Times New Roman" w:eastAsia="宋体" w:cs="宋体"/>
                <w:color w:val="auto"/>
                <w:sz w:val="21"/>
                <w:szCs w:val="21"/>
              </w:rPr>
            </w:pPr>
          </w:p>
        </w:tc>
        <w:tc>
          <w:tcPr>
            <w:tcW w:w="1317" w:type="dxa"/>
            <w:noWrap w:val="0"/>
            <w:vAlign w:val="center"/>
          </w:tcPr>
          <w:p w14:paraId="0FDB5DB0">
            <w:pPr>
              <w:jc w:val="center"/>
              <w:rPr>
                <w:rFonts w:ascii="Times New Roman" w:hAnsi="Times New Roman" w:eastAsia="宋体" w:cs="宋体"/>
                <w:color w:val="auto"/>
                <w:sz w:val="21"/>
                <w:szCs w:val="21"/>
              </w:rPr>
            </w:pPr>
          </w:p>
        </w:tc>
        <w:tc>
          <w:tcPr>
            <w:tcW w:w="1545" w:type="dxa"/>
            <w:noWrap w:val="0"/>
            <w:vAlign w:val="center"/>
          </w:tcPr>
          <w:p w14:paraId="5F7931B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23.49</w:t>
            </w:r>
          </w:p>
        </w:tc>
        <w:tc>
          <w:tcPr>
            <w:tcW w:w="1177" w:type="dxa"/>
            <w:noWrap w:val="0"/>
            <w:vAlign w:val="center"/>
          </w:tcPr>
          <w:p w14:paraId="44E5259C">
            <w:pPr>
              <w:jc w:val="center"/>
              <w:rPr>
                <w:rFonts w:ascii="Times New Roman" w:hAnsi="Times New Roman" w:eastAsia="宋体" w:cs="宋体"/>
                <w:color w:val="auto"/>
                <w:sz w:val="21"/>
                <w:szCs w:val="21"/>
              </w:rPr>
            </w:pPr>
          </w:p>
        </w:tc>
        <w:tc>
          <w:tcPr>
            <w:tcW w:w="1622" w:type="dxa"/>
            <w:noWrap w:val="0"/>
            <w:vAlign w:val="center"/>
          </w:tcPr>
          <w:p w14:paraId="798A8C8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23.49</w:t>
            </w:r>
          </w:p>
        </w:tc>
        <w:tc>
          <w:tcPr>
            <w:tcW w:w="1234" w:type="dxa"/>
            <w:noWrap w:val="0"/>
            <w:vAlign w:val="center"/>
          </w:tcPr>
          <w:p w14:paraId="318B1E39">
            <w:pPr>
              <w:jc w:val="center"/>
              <w:rPr>
                <w:rFonts w:ascii="Times New Roman" w:hAnsi="Times New Roman" w:eastAsia="宋体" w:cs="宋体"/>
                <w:color w:val="auto"/>
                <w:sz w:val="21"/>
                <w:szCs w:val="21"/>
              </w:rPr>
            </w:pPr>
          </w:p>
        </w:tc>
        <w:tc>
          <w:tcPr>
            <w:tcW w:w="507" w:type="pct"/>
            <w:noWrap w:val="0"/>
            <w:vAlign w:val="center"/>
          </w:tcPr>
          <w:p w14:paraId="43D2057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33E81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2F3F87C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855" w:type="pct"/>
            <w:noWrap w:val="0"/>
            <w:vAlign w:val="center"/>
          </w:tcPr>
          <w:p w14:paraId="49905B9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给排水</w:t>
            </w:r>
          </w:p>
        </w:tc>
        <w:tc>
          <w:tcPr>
            <w:tcW w:w="148" w:type="pct"/>
            <w:noWrap w:val="0"/>
            <w:vAlign w:val="center"/>
          </w:tcPr>
          <w:p w14:paraId="6352033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m</w:t>
            </w:r>
            <w:r>
              <w:rPr>
                <w:rFonts w:hint="eastAsia" w:ascii="Times New Roman" w:hAnsi="Times New Roman" w:eastAsia="宋体" w:cs="宋体"/>
                <w:color w:val="auto"/>
                <w:sz w:val="21"/>
                <w:szCs w:val="21"/>
                <w:vertAlign w:val="superscript"/>
                <w:lang w:val="en-US" w:eastAsia="zh-CN"/>
              </w:rPr>
              <w:t>2</w:t>
            </w:r>
          </w:p>
        </w:tc>
        <w:tc>
          <w:tcPr>
            <w:tcW w:w="986" w:type="dxa"/>
            <w:noWrap w:val="0"/>
            <w:vAlign w:val="center"/>
          </w:tcPr>
          <w:p w14:paraId="6D6992D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2349.75</w:t>
            </w:r>
          </w:p>
        </w:tc>
        <w:tc>
          <w:tcPr>
            <w:tcW w:w="1317" w:type="dxa"/>
            <w:noWrap w:val="0"/>
            <w:vAlign w:val="center"/>
          </w:tcPr>
          <w:p w14:paraId="14DCE0A1">
            <w:pPr>
              <w:jc w:val="center"/>
              <w:rPr>
                <w:rFonts w:ascii="Times New Roman" w:hAnsi="Times New Roman" w:eastAsia="宋体" w:cs="宋体"/>
                <w:color w:val="auto"/>
                <w:sz w:val="21"/>
                <w:szCs w:val="21"/>
              </w:rPr>
            </w:pPr>
          </w:p>
        </w:tc>
        <w:tc>
          <w:tcPr>
            <w:tcW w:w="1317" w:type="dxa"/>
            <w:noWrap w:val="0"/>
            <w:vAlign w:val="center"/>
          </w:tcPr>
          <w:p w14:paraId="1D22EC5D">
            <w:pPr>
              <w:jc w:val="center"/>
              <w:rPr>
                <w:rFonts w:ascii="Times New Roman" w:hAnsi="Times New Roman" w:eastAsia="宋体" w:cs="宋体"/>
                <w:color w:val="auto"/>
                <w:sz w:val="21"/>
                <w:szCs w:val="21"/>
              </w:rPr>
            </w:pPr>
          </w:p>
        </w:tc>
        <w:tc>
          <w:tcPr>
            <w:tcW w:w="1545" w:type="dxa"/>
            <w:noWrap w:val="0"/>
            <w:vAlign w:val="center"/>
          </w:tcPr>
          <w:p w14:paraId="7355F45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9.40</w:t>
            </w:r>
          </w:p>
        </w:tc>
        <w:tc>
          <w:tcPr>
            <w:tcW w:w="1177" w:type="dxa"/>
            <w:noWrap w:val="0"/>
            <w:vAlign w:val="center"/>
          </w:tcPr>
          <w:p w14:paraId="60EF1436">
            <w:pPr>
              <w:jc w:val="center"/>
              <w:rPr>
                <w:rFonts w:ascii="Times New Roman" w:hAnsi="Times New Roman" w:eastAsia="宋体" w:cs="宋体"/>
                <w:color w:val="auto"/>
                <w:sz w:val="21"/>
                <w:szCs w:val="21"/>
              </w:rPr>
            </w:pPr>
          </w:p>
        </w:tc>
        <w:tc>
          <w:tcPr>
            <w:tcW w:w="1622" w:type="dxa"/>
            <w:noWrap w:val="0"/>
            <w:vAlign w:val="center"/>
          </w:tcPr>
          <w:p w14:paraId="3873018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9.4</w:t>
            </w:r>
          </w:p>
        </w:tc>
        <w:tc>
          <w:tcPr>
            <w:tcW w:w="1234" w:type="dxa"/>
            <w:noWrap w:val="0"/>
            <w:vAlign w:val="center"/>
          </w:tcPr>
          <w:p w14:paraId="6B77B859">
            <w:pPr>
              <w:jc w:val="center"/>
              <w:rPr>
                <w:rFonts w:ascii="Times New Roman" w:hAnsi="Times New Roman" w:eastAsia="宋体" w:cs="宋体"/>
                <w:color w:val="auto"/>
                <w:sz w:val="21"/>
                <w:szCs w:val="21"/>
              </w:rPr>
            </w:pPr>
          </w:p>
        </w:tc>
        <w:tc>
          <w:tcPr>
            <w:tcW w:w="507" w:type="pct"/>
            <w:noWrap w:val="0"/>
            <w:vAlign w:val="center"/>
          </w:tcPr>
          <w:p w14:paraId="2BA3C59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7F52B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66030AC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855" w:type="pct"/>
            <w:noWrap w:val="0"/>
            <w:vAlign w:val="center"/>
          </w:tcPr>
          <w:p w14:paraId="31443F5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4"/>
                <w:sz w:val="21"/>
                <w:szCs w:val="21"/>
              </w:rPr>
              <w:t>消防</w:t>
            </w:r>
          </w:p>
        </w:tc>
        <w:tc>
          <w:tcPr>
            <w:tcW w:w="148" w:type="pct"/>
            <w:noWrap w:val="0"/>
            <w:vAlign w:val="center"/>
          </w:tcPr>
          <w:p w14:paraId="29B7668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m</w:t>
            </w:r>
            <w:r>
              <w:rPr>
                <w:rFonts w:hint="eastAsia" w:ascii="Times New Roman" w:hAnsi="Times New Roman" w:eastAsia="宋体" w:cs="宋体"/>
                <w:color w:val="auto"/>
                <w:sz w:val="21"/>
                <w:szCs w:val="21"/>
                <w:vertAlign w:val="superscript"/>
                <w:lang w:val="en-US" w:eastAsia="zh-CN"/>
              </w:rPr>
              <w:t>2</w:t>
            </w:r>
          </w:p>
        </w:tc>
        <w:tc>
          <w:tcPr>
            <w:tcW w:w="986" w:type="dxa"/>
            <w:noWrap w:val="0"/>
            <w:vAlign w:val="center"/>
          </w:tcPr>
          <w:p w14:paraId="6968182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2349.75</w:t>
            </w:r>
          </w:p>
        </w:tc>
        <w:tc>
          <w:tcPr>
            <w:tcW w:w="1317" w:type="dxa"/>
            <w:noWrap w:val="0"/>
            <w:vAlign w:val="center"/>
          </w:tcPr>
          <w:p w14:paraId="75A5BF4E">
            <w:pPr>
              <w:jc w:val="center"/>
              <w:rPr>
                <w:rFonts w:ascii="Times New Roman" w:hAnsi="Times New Roman" w:eastAsia="宋体" w:cs="宋体"/>
                <w:color w:val="auto"/>
                <w:sz w:val="21"/>
                <w:szCs w:val="21"/>
              </w:rPr>
            </w:pPr>
          </w:p>
        </w:tc>
        <w:tc>
          <w:tcPr>
            <w:tcW w:w="1317" w:type="dxa"/>
            <w:noWrap w:val="0"/>
            <w:vAlign w:val="center"/>
          </w:tcPr>
          <w:p w14:paraId="1B6A5B48">
            <w:pPr>
              <w:jc w:val="center"/>
              <w:rPr>
                <w:rFonts w:ascii="Times New Roman" w:hAnsi="Times New Roman" w:eastAsia="宋体" w:cs="宋体"/>
                <w:color w:val="auto"/>
                <w:sz w:val="21"/>
                <w:szCs w:val="21"/>
              </w:rPr>
            </w:pPr>
          </w:p>
        </w:tc>
        <w:tc>
          <w:tcPr>
            <w:tcW w:w="1545" w:type="dxa"/>
            <w:noWrap w:val="0"/>
            <w:vAlign w:val="center"/>
          </w:tcPr>
          <w:p w14:paraId="4487125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4.70</w:t>
            </w:r>
          </w:p>
        </w:tc>
        <w:tc>
          <w:tcPr>
            <w:tcW w:w="1177" w:type="dxa"/>
            <w:noWrap w:val="0"/>
            <w:vAlign w:val="center"/>
          </w:tcPr>
          <w:p w14:paraId="71BBD36C">
            <w:pPr>
              <w:jc w:val="center"/>
              <w:rPr>
                <w:rFonts w:ascii="Times New Roman" w:hAnsi="Times New Roman" w:eastAsia="宋体" w:cs="宋体"/>
                <w:color w:val="auto"/>
                <w:sz w:val="21"/>
                <w:szCs w:val="21"/>
              </w:rPr>
            </w:pPr>
          </w:p>
        </w:tc>
        <w:tc>
          <w:tcPr>
            <w:tcW w:w="1622" w:type="dxa"/>
            <w:noWrap w:val="0"/>
            <w:vAlign w:val="center"/>
          </w:tcPr>
          <w:p w14:paraId="387437F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4.70</w:t>
            </w:r>
          </w:p>
        </w:tc>
        <w:tc>
          <w:tcPr>
            <w:tcW w:w="1234" w:type="dxa"/>
            <w:noWrap w:val="0"/>
            <w:vAlign w:val="center"/>
          </w:tcPr>
          <w:p w14:paraId="282198F9">
            <w:pPr>
              <w:jc w:val="center"/>
              <w:rPr>
                <w:rFonts w:ascii="Times New Roman" w:hAnsi="Times New Roman" w:eastAsia="宋体" w:cs="宋体"/>
                <w:color w:val="auto"/>
                <w:sz w:val="21"/>
                <w:szCs w:val="21"/>
              </w:rPr>
            </w:pPr>
          </w:p>
        </w:tc>
        <w:tc>
          <w:tcPr>
            <w:tcW w:w="507" w:type="pct"/>
            <w:noWrap w:val="0"/>
            <w:vAlign w:val="center"/>
          </w:tcPr>
          <w:p w14:paraId="7D0AF84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46CA2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21F7FD2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855" w:type="pct"/>
            <w:noWrap w:val="0"/>
            <w:vAlign w:val="center"/>
          </w:tcPr>
          <w:p w14:paraId="50B3147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5"/>
                <w:sz w:val="21"/>
                <w:szCs w:val="21"/>
              </w:rPr>
              <w:t>强电</w:t>
            </w:r>
          </w:p>
        </w:tc>
        <w:tc>
          <w:tcPr>
            <w:tcW w:w="148" w:type="pct"/>
            <w:noWrap w:val="0"/>
            <w:vAlign w:val="center"/>
          </w:tcPr>
          <w:p w14:paraId="5B5CAC4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m</w:t>
            </w:r>
            <w:r>
              <w:rPr>
                <w:rFonts w:hint="eastAsia" w:ascii="Times New Roman" w:hAnsi="Times New Roman" w:eastAsia="宋体" w:cs="宋体"/>
                <w:color w:val="auto"/>
                <w:sz w:val="21"/>
                <w:szCs w:val="21"/>
                <w:vertAlign w:val="superscript"/>
                <w:lang w:val="en-US" w:eastAsia="zh-CN"/>
              </w:rPr>
              <w:t>2</w:t>
            </w:r>
          </w:p>
        </w:tc>
        <w:tc>
          <w:tcPr>
            <w:tcW w:w="986" w:type="dxa"/>
            <w:noWrap w:val="0"/>
            <w:vAlign w:val="center"/>
          </w:tcPr>
          <w:p w14:paraId="0DEAC1F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2349.75</w:t>
            </w:r>
          </w:p>
        </w:tc>
        <w:tc>
          <w:tcPr>
            <w:tcW w:w="1317" w:type="dxa"/>
            <w:noWrap w:val="0"/>
            <w:vAlign w:val="center"/>
          </w:tcPr>
          <w:p w14:paraId="31EB5CC3">
            <w:pPr>
              <w:jc w:val="center"/>
              <w:rPr>
                <w:rFonts w:ascii="Times New Roman" w:hAnsi="Times New Roman" w:eastAsia="宋体" w:cs="宋体"/>
                <w:color w:val="auto"/>
                <w:sz w:val="21"/>
                <w:szCs w:val="21"/>
              </w:rPr>
            </w:pPr>
          </w:p>
        </w:tc>
        <w:tc>
          <w:tcPr>
            <w:tcW w:w="1317" w:type="dxa"/>
            <w:noWrap w:val="0"/>
            <w:vAlign w:val="center"/>
          </w:tcPr>
          <w:p w14:paraId="4107E5F7">
            <w:pPr>
              <w:jc w:val="center"/>
              <w:rPr>
                <w:rFonts w:ascii="Times New Roman" w:hAnsi="Times New Roman" w:eastAsia="宋体" w:cs="宋体"/>
                <w:color w:val="auto"/>
                <w:sz w:val="21"/>
                <w:szCs w:val="21"/>
              </w:rPr>
            </w:pPr>
          </w:p>
        </w:tc>
        <w:tc>
          <w:tcPr>
            <w:tcW w:w="1545" w:type="dxa"/>
            <w:noWrap w:val="0"/>
            <w:vAlign w:val="center"/>
          </w:tcPr>
          <w:p w14:paraId="3339273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7.04</w:t>
            </w:r>
          </w:p>
        </w:tc>
        <w:tc>
          <w:tcPr>
            <w:tcW w:w="1177" w:type="dxa"/>
            <w:noWrap w:val="0"/>
            <w:vAlign w:val="center"/>
          </w:tcPr>
          <w:p w14:paraId="4F1D05AA">
            <w:pPr>
              <w:jc w:val="center"/>
              <w:rPr>
                <w:rFonts w:ascii="Times New Roman" w:hAnsi="Times New Roman" w:eastAsia="宋体" w:cs="宋体"/>
                <w:color w:val="auto"/>
                <w:sz w:val="21"/>
                <w:szCs w:val="21"/>
              </w:rPr>
            </w:pPr>
          </w:p>
        </w:tc>
        <w:tc>
          <w:tcPr>
            <w:tcW w:w="1622" w:type="dxa"/>
            <w:noWrap w:val="0"/>
            <w:vAlign w:val="center"/>
          </w:tcPr>
          <w:p w14:paraId="7D78C2B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7.04</w:t>
            </w:r>
          </w:p>
        </w:tc>
        <w:tc>
          <w:tcPr>
            <w:tcW w:w="1234" w:type="dxa"/>
            <w:noWrap w:val="0"/>
            <w:vAlign w:val="center"/>
          </w:tcPr>
          <w:p w14:paraId="1A128EA8">
            <w:pPr>
              <w:jc w:val="center"/>
              <w:rPr>
                <w:rFonts w:ascii="Times New Roman" w:hAnsi="Times New Roman" w:eastAsia="宋体" w:cs="宋体"/>
                <w:color w:val="auto"/>
                <w:sz w:val="21"/>
                <w:szCs w:val="21"/>
              </w:rPr>
            </w:pPr>
          </w:p>
        </w:tc>
        <w:tc>
          <w:tcPr>
            <w:tcW w:w="507" w:type="pct"/>
            <w:noWrap w:val="0"/>
            <w:vAlign w:val="center"/>
          </w:tcPr>
          <w:p w14:paraId="60B588A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698E6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738498C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855" w:type="pct"/>
            <w:noWrap w:val="0"/>
            <w:vAlign w:val="center"/>
          </w:tcPr>
          <w:p w14:paraId="5FC6E4A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4"/>
                <w:sz w:val="21"/>
                <w:szCs w:val="21"/>
              </w:rPr>
              <w:t>弱电</w:t>
            </w:r>
          </w:p>
        </w:tc>
        <w:tc>
          <w:tcPr>
            <w:tcW w:w="148" w:type="pct"/>
            <w:noWrap w:val="0"/>
            <w:vAlign w:val="center"/>
          </w:tcPr>
          <w:p w14:paraId="78F4FD0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m</w:t>
            </w:r>
            <w:r>
              <w:rPr>
                <w:rFonts w:hint="eastAsia" w:ascii="Times New Roman" w:hAnsi="Times New Roman" w:eastAsia="宋体" w:cs="宋体"/>
                <w:color w:val="auto"/>
                <w:sz w:val="21"/>
                <w:szCs w:val="21"/>
                <w:vertAlign w:val="superscript"/>
                <w:lang w:val="en-US" w:eastAsia="zh-CN"/>
              </w:rPr>
              <w:t>2</w:t>
            </w:r>
          </w:p>
        </w:tc>
        <w:tc>
          <w:tcPr>
            <w:tcW w:w="986" w:type="dxa"/>
            <w:noWrap w:val="0"/>
            <w:vAlign w:val="center"/>
          </w:tcPr>
          <w:p w14:paraId="3F14305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2349.75</w:t>
            </w:r>
          </w:p>
        </w:tc>
        <w:tc>
          <w:tcPr>
            <w:tcW w:w="1317" w:type="dxa"/>
            <w:noWrap w:val="0"/>
            <w:vAlign w:val="center"/>
          </w:tcPr>
          <w:p w14:paraId="4F339B21">
            <w:pPr>
              <w:jc w:val="center"/>
              <w:rPr>
                <w:rFonts w:ascii="Times New Roman" w:hAnsi="Times New Roman" w:eastAsia="宋体" w:cs="宋体"/>
                <w:color w:val="auto"/>
                <w:sz w:val="21"/>
                <w:szCs w:val="21"/>
              </w:rPr>
            </w:pPr>
          </w:p>
        </w:tc>
        <w:tc>
          <w:tcPr>
            <w:tcW w:w="1317" w:type="dxa"/>
            <w:noWrap w:val="0"/>
            <w:vAlign w:val="center"/>
          </w:tcPr>
          <w:p w14:paraId="53A349F0">
            <w:pPr>
              <w:jc w:val="center"/>
              <w:rPr>
                <w:rFonts w:ascii="Times New Roman" w:hAnsi="Times New Roman" w:eastAsia="宋体" w:cs="宋体"/>
                <w:color w:val="auto"/>
                <w:sz w:val="21"/>
                <w:szCs w:val="21"/>
              </w:rPr>
            </w:pPr>
          </w:p>
        </w:tc>
        <w:tc>
          <w:tcPr>
            <w:tcW w:w="1545" w:type="dxa"/>
            <w:noWrap w:val="0"/>
            <w:vAlign w:val="center"/>
          </w:tcPr>
          <w:p w14:paraId="2797AE9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2.35</w:t>
            </w:r>
          </w:p>
        </w:tc>
        <w:tc>
          <w:tcPr>
            <w:tcW w:w="1177" w:type="dxa"/>
            <w:noWrap w:val="0"/>
            <w:vAlign w:val="center"/>
          </w:tcPr>
          <w:p w14:paraId="5753884B">
            <w:pPr>
              <w:jc w:val="center"/>
              <w:rPr>
                <w:rFonts w:ascii="Times New Roman" w:hAnsi="Times New Roman" w:eastAsia="宋体" w:cs="宋体"/>
                <w:color w:val="auto"/>
                <w:sz w:val="21"/>
                <w:szCs w:val="21"/>
              </w:rPr>
            </w:pPr>
          </w:p>
        </w:tc>
        <w:tc>
          <w:tcPr>
            <w:tcW w:w="1622" w:type="dxa"/>
            <w:noWrap w:val="0"/>
            <w:vAlign w:val="center"/>
          </w:tcPr>
          <w:p w14:paraId="49E8BD0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2.35</w:t>
            </w:r>
          </w:p>
        </w:tc>
        <w:tc>
          <w:tcPr>
            <w:tcW w:w="1234" w:type="dxa"/>
            <w:noWrap w:val="0"/>
            <w:vAlign w:val="center"/>
          </w:tcPr>
          <w:p w14:paraId="22184AAB">
            <w:pPr>
              <w:jc w:val="center"/>
              <w:rPr>
                <w:rFonts w:ascii="Times New Roman" w:hAnsi="Times New Roman" w:eastAsia="宋体" w:cs="宋体"/>
                <w:color w:val="auto"/>
                <w:sz w:val="21"/>
                <w:szCs w:val="21"/>
              </w:rPr>
            </w:pPr>
          </w:p>
        </w:tc>
        <w:tc>
          <w:tcPr>
            <w:tcW w:w="507" w:type="pct"/>
            <w:noWrap w:val="0"/>
            <w:vAlign w:val="center"/>
          </w:tcPr>
          <w:p w14:paraId="6CCCBA1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3FF1A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25B0D86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2</w:t>
            </w:r>
          </w:p>
        </w:tc>
        <w:tc>
          <w:tcPr>
            <w:tcW w:w="855" w:type="pct"/>
            <w:noWrap w:val="0"/>
            <w:vAlign w:val="center"/>
          </w:tcPr>
          <w:p w14:paraId="3FC4ED4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设备费用</w:t>
            </w:r>
          </w:p>
        </w:tc>
        <w:tc>
          <w:tcPr>
            <w:tcW w:w="148" w:type="pct"/>
            <w:noWrap w:val="0"/>
            <w:vAlign w:val="center"/>
          </w:tcPr>
          <w:p w14:paraId="5231C9B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071D8F7B">
            <w:pPr>
              <w:jc w:val="center"/>
              <w:rPr>
                <w:rFonts w:ascii="Times New Roman" w:hAnsi="Times New Roman" w:eastAsia="宋体" w:cs="宋体"/>
                <w:color w:val="auto"/>
                <w:sz w:val="21"/>
                <w:szCs w:val="21"/>
              </w:rPr>
            </w:pPr>
          </w:p>
        </w:tc>
        <w:tc>
          <w:tcPr>
            <w:tcW w:w="1317" w:type="dxa"/>
            <w:noWrap w:val="0"/>
            <w:vAlign w:val="center"/>
          </w:tcPr>
          <w:p w14:paraId="56ACE0DB">
            <w:pPr>
              <w:jc w:val="center"/>
              <w:rPr>
                <w:rFonts w:ascii="Times New Roman" w:hAnsi="Times New Roman" w:eastAsia="宋体" w:cs="宋体"/>
                <w:color w:val="auto"/>
                <w:sz w:val="21"/>
                <w:szCs w:val="21"/>
              </w:rPr>
            </w:pPr>
          </w:p>
        </w:tc>
        <w:tc>
          <w:tcPr>
            <w:tcW w:w="1317" w:type="dxa"/>
            <w:noWrap w:val="0"/>
            <w:vAlign w:val="center"/>
          </w:tcPr>
          <w:p w14:paraId="7FEA3813">
            <w:pPr>
              <w:keepNext w:val="0"/>
              <w:keepLines w:val="0"/>
              <w:widowControl/>
              <w:suppressLineNumbers w:val="0"/>
              <w:jc w:val="center"/>
              <w:textAlignment w:val="center"/>
              <w:rPr>
                <w:rFonts w:hint="default" w:ascii="Times New Roman" w:hAnsi="Times New Roman" w:eastAsia="宋体" w:cs="宋体"/>
                <w:color w:val="auto"/>
                <w:sz w:val="21"/>
                <w:szCs w:val="21"/>
                <w:lang w:val="en-US" w:eastAsia="zh-CN"/>
              </w:rPr>
            </w:pPr>
            <w:r>
              <w:rPr>
                <w:rFonts w:hint="default" w:ascii="Times New Roman" w:hAnsi="Times New Roman" w:eastAsia="宋体" w:cs="宋体"/>
                <w:i w:val="0"/>
                <w:iCs w:val="0"/>
                <w:snapToGrid w:val="0"/>
                <w:color w:val="auto"/>
                <w:kern w:val="0"/>
                <w:sz w:val="21"/>
                <w:szCs w:val="21"/>
                <w:u w:val="none"/>
                <w:lang w:val="en-US" w:eastAsia="zh-CN" w:bidi="ar"/>
              </w:rPr>
              <w:t>1791.72</w:t>
            </w:r>
          </w:p>
        </w:tc>
        <w:tc>
          <w:tcPr>
            <w:tcW w:w="1545" w:type="dxa"/>
            <w:noWrap w:val="0"/>
            <w:vAlign w:val="center"/>
          </w:tcPr>
          <w:p w14:paraId="1DC8202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77.28</w:t>
            </w:r>
          </w:p>
        </w:tc>
        <w:tc>
          <w:tcPr>
            <w:tcW w:w="1177" w:type="dxa"/>
            <w:noWrap w:val="0"/>
            <w:vAlign w:val="center"/>
          </w:tcPr>
          <w:p w14:paraId="001F05E3">
            <w:pPr>
              <w:jc w:val="center"/>
              <w:rPr>
                <w:rFonts w:ascii="Times New Roman" w:hAnsi="Times New Roman" w:eastAsia="宋体" w:cs="宋体"/>
                <w:color w:val="auto"/>
                <w:sz w:val="21"/>
                <w:szCs w:val="21"/>
              </w:rPr>
            </w:pPr>
          </w:p>
        </w:tc>
        <w:tc>
          <w:tcPr>
            <w:tcW w:w="1622" w:type="dxa"/>
            <w:noWrap w:val="0"/>
            <w:vAlign w:val="center"/>
          </w:tcPr>
          <w:p w14:paraId="58A5C4B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1869</w:t>
            </w:r>
          </w:p>
        </w:tc>
        <w:tc>
          <w:tcPr>
            <w:tcW w:w="1234" w:type="dxa"/>
            <w:noWrap w:val="0"/>
            <w:vAlign w:val="center"/>
          </w:tcPr>
          <w:p w14:paraId="71DD167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30.30%</w:t>
            </w:r>
          </w:p>
        </w:tc>
        <w:tc>
          <w:tcPr>
            <w:tcW w:w="507" w:type="pct"/>
            <w:noWrap w:val="0"/>
            <w:vAlign w:val="center"/>
          </w:tcPr>
          <w:p w14:paraId="0C686A0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00F40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70407AA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2.1</w:t>
            </w:r>
          </w:p>
        </w:tc>
        <w:tc>
          <w:tcPr>
            <w:tcW w:w="855" w:type="pct"/>
            <w:noWrap w:val="0"/>
            <w:vAlign w:val="center"/>
          </w:tcPr>
          <w:p w14:paraId="3F834E3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马铃薯原料进、出库</w:t>
            </w:r>
          </w:p>
        </w:tc>
        <w:tc>
          <w:tcPr>
            <w:tcW w:w="148" w:type="pct"/>
            <w:noWrap w:val="0"/>
            <w:vAlign w:val="center"/>
          </w:tcPr>
          <w:p w14:paraId="4089DB0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套</w:t>
            </w:r>
          </w:p>
        </w:tc>
        <w:tc>
          <w:tcPr>
            <w:tcW w:w="986" w:type="dxa"/>
            <w:noWrap w:val="0"/>
            <w:vAlign w:val="center"/>
          </w:tcPr>
          <w:p w14:paraId="2DC0A28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w:t>
            </w:r>
          </w:p>
        </w:tc>
        <w:tc>
          <w:tcPr>
            <w:tcW w:w="1317" w:type="dxa"/>
            <w:noWrap w:val="0"/>
            <w:vAlign w:val="center"/>
          </w:tcPr>
          <w:p w14:paraId="211BC85F">
            <w:pPr>
              <w:jc w:val="center"/>
              <w:rPr>
                <w:rFonts w:ascii="Times New Roman" w:hAnsi="Times New Roman" w:eastAsia="宋体" w:cs="宋体"/>
                <w:color w:val="auto"/>
                <w:sz w:val="21"/>
                <w:szCs w:val="21"/>
              </w:rPr>
            </w:pPr>
          </w:p>
        </w:tc>
        <w:tc>
          <w:tcPr>
            <w:tcW w:w="1317" w:type="dxa"/>
            <w:noWrap w:val="0"/>
            <w:vAlign w:val="center"/>
          </w:tcPr>
          <w:p w14:paraId="182C376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163.52</w:t>
            </w:r>
          </w:p>
        </w:tc>
        <w:tc>
          <w:tcPr>
            <w:tcW w:w="1545" w:type="dxa"/>
            <w:noWrap w:val="0"/>
            <w:vAlign w:val="center"/>
          </w:tcPr>
          <w:p w14:paraId="295783A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7.05</w:t>
            </w:r>
          </w:p>
        </w:tc>
        <w:tc>
          <w:tcPr>
            <w:tcW w:w="1177" w:type="dxa"/>
            <w:noWrap w:val="0"/>
            <w:vAlign w:val="center"/>
          </w:tcPr>
          <w:p w14:paraId="66C479D6">
            <w:pPr>
              <w:jc w:val="center"/>
              <w:rPr>
                <w:rFonts w:ascii="Times New Roman" w:hAnsi="Times New Roman" w:eastAsia="宋体" w:cs="宋体"/>
                <w:color w:val="auto"/>
                <w:sz w:val="21"/>
                <w:szCs w:val="21"/>
              </w:rPr>
            </w:pPr>
          </w:p>
        </w:tc>
        <w:tc>
          <w:tcPr>
            <w:tcW w:w="1622" w:type="dxa"/>
            <w:noWrap w:val="0"/>
            <w:vAlign w:val="center"/>
          </w:tcPr>
          <w:p w14:paraId="53B005DA">
            <w:pPr>
              <w:jc w:val="center"/>
              <w:rPr>
                <w:rFonts w:ascii="Times New Roman" w:hAnsi="Times New Roman" w:eastAsia="宋体" w:cs="宋体"/>
                <w:color w:val="auto"/>
                <w:sz w:val="21"/>
                <w:szCs w:val="21"/>
              </w:rPr>
            </w:pPr>
          </w:p>
        </w:tc>
        <w:tc>
          <w:tcPr>
            <w:tcW w:w="1234" w:type="dxa"/>
            <w:noWrap w:val="0"/>
            <w:vAlign w:val="center"/>
          </w:tcPr>
          <w:p w14:paraId="77F37303">
            <w:pPr>
              <w:jc w:val="center"/>
              <w:rPr>
                <w:rFonts w:ascii="Times New Roman" w:hAnsi="Times New Roman" w:eastAsia="宋体" w:cs="宋体"/>
                <w:color w:val="auto"/>
                <w:sz w:val="21"/>
                <w:szCs w:val="21"/>
              </w:rPr>
            </w:pPr>
          </w:p>
        </w:tc>
        <w:tc>
          <w:tcPr>
            <w:tcW w:w="507" w:type="pct"/>
            <w:noWrap w:val="0"/>
            <w:vAlign w:val="center"/>
          </w:tcPr>
          <w:p w14:paraId="40BE5BE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5A0B0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261" w:type="pct"/>
            <w:noWrap w:val="0"/>
            <w:vAlign w:val="center"/>
          </w:tcPr>
          <w:p w14:paraId="7CF024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2.2</w:t>
            </w:r>
          </w:p>
        </w:tc>
        <w:tc>
          <w:tcPr>
            <w:tcW w:w="855" w:type="pct"/>
            <w:noWrap w:val="0"/>
            <w:vAlign w:val="center"/>
          </w:tcPr>
          <w:p w14:paraId="6B133FC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原料水力输送、清洗</w:t>
            </w:r>
          </w:p>
        </w:tc>
        <w:tc>
          <w:tcPr>
            <w:tcW w:w="148" w:type="pct"/>
            <w:noWrap w:val="0"/>
            <w:vAlign w:val="center"/>
          </w:tcPr>
          <w:p w14:paraId="0ED0C3F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套</w:t>
            </w:r>
          </w:p>
        </w:tc>
        <w:tc>
          <w:tcPr>
            <w:tcW w:w="986" w:type="dxa"/>
            <w:noWrap w:val="0"/>
            <w:vAlign w:val="center"/>
          </w:tcPr>
          <w:p w14:paraId="4B853CC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w:t>
            </w:r>
          </w:p>
        </w:tc>
        <w:tc>
          <w:tcPr>
            <w:tcW w:w="1317" w:type="dxa"/>
            <w:noWrap w:val="0"/>
            <w:vAlign w:val="center"/>
          </w:tcPr>
          <w:p w14:paraId="5F3EA60B">
            <w:pPr>
              <w:jc w:val="center"/>
              <w:rPr>
                <w:rFonts w:ascii="Times New Roman" w:hAnsi="Times New Roman" w:eastAsia="宋体" w:cs="宋体"/>
                <w:color w:val="auto"/>
                <w:sz w:val="21"/>
                <w:szCs w:val="21"/>
              </w:rPr>
            </w:pPr>
          </w:p>
        </w:tc>
        <w:tc>
          <w:tcPr>
            <w:tcW w:w="1317" w:type="dxa"/>
            <w:noWrap w:val="0"/>
            <w:vAlign w:val="center"/>
          </w:tcPr>
          <w:p w14:paraId="1B3C915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160.76</w:t>
            </w:r>
          </w:p>
        </w:tc>
        <w:tc>
          <w:tcPr>
            <w:tcW w:w="1545" w:type="dxa"/>
            <w:noWrap w:val="0"/>
            <w:vAlign w:val="center"/>
          </w:tcPr>
          <w:p w14:paraId="1CE80CB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6.93</w:t>
            </w:r>
          </w:p>
        </w:tc>
        <w:tc>
          <w:tcPr>
            <w:tcW w:w="1177" w:type="dxa"/>
            <w:noWrap w:val="0"/>
            <w:vAlign w:val="center"/>
          </w:tcPr>
          <w:p w14:paraId="2B3AF190">
            <w:pPr>
              <w:jc w:val="center"/>
              <w:rPr>
                <w:rFonts w:ascii="Times New Roman" w:hAnsi="Times New Roman" w:eastAsia="宋体" w:cs="宋体"/>
                <w:color w:val="auto"/>
                <w:sz w:val="21"/>
                <w:szCs w:val="21"/>
              </w:rPr>
            </w:pPr>
          </w:p>
        </w:tc>
        <w:tc>
          <w:tcPr>
            <w:tcW w:w="1622" w:type="dxa"/>
            <w:noWrap w:val="0"/>
            <w:vAlign w:val="center"/>
          </w:tcPr>
          <w:p w14:paraId="5E6C74FE">
            <w:pPr>
              <w:jc w:val="center"/>
              <w:rPr>
                <w:rFonts w:ascii="Times New Roman" w:hAnsi="Times New Roman" w:eastAsia="宋体" w:cs="宋体"/>
                <w:color w:val="auto"/>
                <w:sz w:val="21"/>
                <w:szCs w:val="21"/>
              </w:rPr>
            </w:pPr>
          </w:p>
        </w:tc>
        <w:tc>
          <w:tcPr>
            <w:tcW w:w="1234" w:type="dxa"/>
            <w:noWrap w:val="0"/>
            <w:vAlign w:val="center"/>
          </w:tcPr>
          <w:p w14:paraId="61D1D519">
            <w:pPr>
              <w:jc w:val="center"/>
              <w:rPr>
                <w:rFonts w:ascii="Times New Roman" w:hAnsi="Times New Roman" w:eastAsia="宋体" w:cs="宋体"/>
                <w:color w:val="auto"/>
                <w:sz w:val="21"/>
                <w:szCs w:val="21"/>
              </w:rPr>
            </w:pPr>
          </w:p>
        </w:tc>
        <w:tc>
          <w:tcPr>
            <w:tcW w:w="507" w:type="pct"/>
            <w:noWrap w:val="0"/>
            <w:vAlign w:val="center"/>
          </w:tcPr>
          <w:p w14:paraId="1D50292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5D046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3F1A9B1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2.3</w:t>
            </w:r>
          </w:p>
        </w:tc>
        <w:tc>
          <w:tcPr>
            <w:tcW w:w="855" w:type="pct"/>
            <w:noWrap w:val="0"/>
            <w:vAlign w:val="center"/>
          </w:tcPr>
          <w:p w14:paraId="380C411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21"/>
                <w:szCs w:val="21"/>
                <w:lang w:val="en-US" w:eastAsia="zh-CN"/>
              </w:rPr>
            </w:pPr>
            <w:r>
              <w:rPr>
                <w:rFonts w:ascii="Times New Roman" w:hAnsi="Times New Roman" w:eastAsia="宋体" w:cs="宋体"/>
                <w:color w:val="auto"/>
                <w:spacing w:val="-1"/>
                <w:sz w:val="21"/>
                <w:szCs w:val="21"/>
              </w:rPr>
              <w:t>去皮</w:t>
            </w:r>
            <w:r>
              <w:rPr>
                <w:rFonts w:hint="eastAsia" w:ascii="Times New Roman" w:hAnsi="Times New Roman" w:eastAsia="宋体" w:cs="宋体"/>
                <w:color w:val="auto"/>
                <w:spacing w:val="-1"/>
                <w:sz w:val="21"/>
                <w:szCs w:val="21"/>
                <w:lang w:eastAsia="zh-CN"/>
              </w:rPr>
              <w:t>、</w:t>
            </w:r>
            <w:r>
              <w:rPr>
                <w:rFonts w:hint="eastAsia" w:ascii="Times New Roman" w:hAnsi="Times New Roman" w:eastAsia="宋体" w:cs="宋体"/>
                <w:color w:val="auto"/>
                <w:spacing w:val="-1"/>
                <w:sz w:val="21"/>
                <w:szCs w:val="21"/>
                <w:lang w:val="en-US" w:eastAsia="zh-CN"/>
              </w:rPr>
              <w:t>除砂</w:t>
            </w:r>
          </w:p>
        </w:tc>
        <w:tc>
          <w:tcPr>
            <w:tcW w:w="148" w:type="pct"/>
            <w:noWrap w:val="0"/>
            <w:vAlign w:val="center"/>
          </w:tcPr>
          <w:p w14:paraId="4A8DF16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套</w:t>
            </w:r>
          </w:p>
        </w:tc>
        <w:tc>
          <w:tcPr>
            <w:tcW w:w="986" w:type="dxa"/>
            <w:noWrap w:val="0"/>
            <w:vAlign w:val="center"/>
          </w:tcPr>
          <w:p w14:paraId="2A3FF12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w:t>
            </w:r>
          </w:p>
        </w:tc>
        <w:tc>
          <w:tcPr>
            <w:tcW w:w="1317" w:type="dxa"/>
            <w:noWrap w:val="0"/>
            <w:vAlign w:val="center"/>
          </w:tcPr>
          <w:p w14:paraId="7E016B6F">
            <w:pPr>
              <w:jc w:val="center"/>
              <w:rPr>
                <w:rFonts w:ascii="Times New Roman" w:hAnsi="Times New Roman" w:eastAsia="宋体" w:cs="宋体"/>
                <w:color w:val="auto"/>
                <w:sz w:val="21"/>
                <w:szCs w:val="21"/>
              </w:rPr>
            </w:pPr>
          </w:p>
        </w:tc>
        <w:tc>
          <w:tcPr>
            <w:tcW w:w="1317" w:type="dxa"/>
            <w:noWrap w:val="0"/>
            <w:vAlign w:val="center"/>
          </w:tcPr>
          <w:p w14:paraId="0DB8A5D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261.26</w:t>
            </w:r>
          </w:p>
        </w:tc>
        <w:tc>
          <w:tcPr>
            <w:tcW w:w="1545" w:type="dxa"/>
            <w:noWrap w:val="0"/>
            <w:vAlign w:val="center"/>
          </w:tcPr>
          <w:p w14:paraId="767A384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11.27</w:t>
            </w:r>
          </w:p>
        </w:tc>
        <w:tc>
          <w:tcPr>
            <w:tcW w:w="1177" w:type="dxa"/>
            <w:noWrap w:val="0"/>
            <w:vAlign w:val="center"/>
          </w:tcPr>
          <w:p w14:paraId="0F498206">
            <w:pPr>
              <w:jc w:val="center"/>
              <w:rPr>
                <w:rFonts w:ascii="Times New Roman" w:hAnsi="Times New Roman" w:eastAsia="宋体" w:cs="宋体"/>
                <w:color w:val="auto"/>
                <w:sz w:val="21"/>
                <w:szCs w:val="21"/>
              </w:rPr>
            </w:pPr>
          </w:p>
        </w:tc>
        <w:tc>
          <w:tcPr>
            <w:tcW w:w="1622" w:type="dxa"/>
            <w:noWrap w:val="0"/>
            <w:vAlign w:val="center"/>
          </w:tcPr>
          <w:p w14:paraId="24A3A70B">
            <w:pPr>
              <w:jc w:val="center"/>
              <w:rPr>
                <w:rFonts w:ascii="Times New Roman" w:hAnsi="Times New Roman" w:eastAsia="宋体" w:cs="宋体"/>
                <w:color w:val="auto"/>
                <w:sz w:val="21"/>
                <w:szCs w:val="21"/>
              </w:rPr>
            </w:pPr>
          </w:p>
        </w:tc>
        <w:tc>
          <w:tcPr>
            <w:tcW w:w="1234" w:type="dxa"/>
            <w:noWrap w:val="0"/>
            <w:vAlign w:val="center"/>
          </w:tcPr>
          <w:p w14:paraId="2B71AA13">
            <w:pPr>
              <w:jc w:val="center"/>
              <w:rPr>
                <w:rFonts w:ascii="Times New Roman" w:hAnsi="Times New Roman" w:eastAsia="宋体" w:cs="宋体"/>
                <w:color w:val="auto"/>
                <w:sz w:val="21"/>
                <w:szCs w:val="21"/>
              </w:rPr>
            </w:pPr>
          </w:p>
        </w:tc>
        <w:tc>
          <w:tcPr>
            <w:tcW w:w="507" w:type="pct"/>
            <w:noWrap w:val="0"/>
            <w:vAlign w:val="center"/>
          </w:tcPr>
          <w:p w14:paraId="04FD7CF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4A625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61" w:type="pct"/>
            <w:noWrap w:val="0"/>
            <w:vAlign w:val="center"/>
          </w:tcPr>
          <w:p w14:paraId="6E5DC1B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2.4</w:t>
            </w:r>
          </w:p>
        </w:tc>
        <w:tc>
          <w:tcPr>
            <w:tcW w:w="855" w:type="pct"/>
            <w:noWrap w:val="0"/>
            <w:vAlign w:val="center"/>
          </w:tcPr>
          <w:p w14:paraId="083BAA4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pacing w:val="-1"/>
                <w:sz w:val="21"/>
                <w:szCs w:val="21"/>
                <w:lang w:val="en-US" w:eastAsia="zh-CN"/>
              </w:rPr>
              <w:t>离心提取、浓缩精制</w:t>
            </w:r>
          </w:p>
        </w:tc>
        <w:tc>
          <w:tcPr>
            <w:tcW w:w="148" w:type="pct"/>
            <w:noWrap w:val="0"/>
            <w:vAlign w:val="center"/>
          </w:tcPr>
          <w:p w14:paraId="20E6675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套</w:t>
            </w:r>
          </w:p>
        </w:tc>
        <w:tc>
          <w:tcPr>
            <w:tcW w:w="986" w:type="dxa"/>
            <w:noWrap w:val="0"/>
            <w:vAlign w:val="center"/>
          </w:tcPr>
          <w:p w14:paraId="05E9C50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w:t>
            </w:r>
          </w:p>
        </w:tc>
        <w:tc>
          <w:tcPr>
            <w:tcW w:w="1317" w:type="dxa"/>
            <w:noWrap w:val="0"/>
            <w:vAlign w:val="center"/>
          </w:tcPr>
          <w:p w14:paraId="64BE4C85">
            <w:pPr>
              <w:jc w:val="center"/>
              <w:rPr>
                <w:rFonts w:ascii="Times New Roman" w:hAnsi="Times New Roman" w:eastAsia="宋体" w:cs="宋体"/>
                <w:color w:val="auto"/>
                <w:sz w:val="21"/>
                <w:szCs w:val="21"/>
              </w:rPr>
            </w:pPr>
          </w:p>
        </w:tc>
        <w:tc>
          <w:tcPr>
            <w:tcW w:w="1317" w:type="dxa"/>
            <w:noWrap w:val="0"/>
            <w:vAlign w:val="center"/>
          </w:tcPr>
          <w:p w14:paraId="5D8CE1E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582.57</w:t>
            </w:r>
          </w:p>
        </w:tc>
        <w:tc>
          <w:tcPr>
            <w:tcW w:w="1545" w:type="dxa"/>
            <w:noWrap w:val="0"/>
            <w:vAlign w:val="center"/>
          </w:tcPr>
          <w:p w14:paraId="5BD73EF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25.13</w:t>
            </w:r>
          </w:p>
        </w:tc>
        <w:tc>
          <w:tcPr>
            <w:tcW w:w="1177" w:type="dxa"/>
            <w:noWrap w:val="0"/>
            <w:vAlign w:val="center"/>
          </w:tcPr>
          <w:p w14:paraId="4731D9C2">
            <w:pPr>
              <w:jc w:val="center"/>
              <w:rPr>
                <w:rFonts w:ascii="Times New Roman" w:hAnsi="Times New Roman" w:eastAsia="宋体" w:cs="宋体"/>
                <w:color w:val="auto"/>
                <w:sz w:val="21"/>
                <w:szCs w:val="21"/>
              </w:rPr>
            </w:pPr>
          </w:p>
        </w:tc>
        <w:tc>
          <w:tcPr>
            <w:tcW w:w="1622" w:type="dxa"/>
            <w:noWrap w:val="0"/>
            <w:vAlign w:val="center"/>
          </w:tcPr>
          <w:p w14:paraId="672768DD">
            <w:pPr>
              <w:jc w:val="center"/>
              <w:rPr>
                <w:rFonts w:ascii="Times New Roman" w:hAnsi="Times New Roman" w:eastAsia="宋体" w:cs="宋体"/>
                <w:color w:val="auto"/>
                <w:sz w:val="21"/>
                <w:szCs w:val="21"/>
              </w:rPr>
            </w:pPr>
          </w:p>
        </w:tc>
        <w:tc>
          <w:tcPr>
            <w:tcW w:w="1234" w:type="dxa"/>
            <w:noWrap w:val="0"/>
            <w:vAlign w:val="center"/>
          </w:tcPr>
          <w:p w14:paraId="6D2C8617">
            <w:pPr>
              <w:jc w:val="center"/>
              <w:rPr>
                <w:rFonts w:ascii="Times New Roman" w:hAnsi="Times New Roman" w:eastAsia="宋体" w:cs="宋体"/>
                <w:color w:val="auto"/>
                <w:sz w:val="21"/>
                <w:szCs w:val="21"/>
              </w:rPr>
            </w:pPr>
          </w:p>
        </w:tc>
        <w:tc>
          <w:tcPr>
            <w:tcW w:w="507" w:type="pct"/>
            <w:noWrap w:val="0"/>
            <w:vAlign w:val="center"/>
          </w:tcPr>
          <w:p w14:paraId="29E3FEF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2EBEA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5C5E2F8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2.5</w:t>
            </w:r>
          </w:p>
        </w:tc>
        <w:tc>
          <w:tcPr>
            <w:tcW w:w="855" w:type="pct"/>
            <w:noWrap w:val="0"/>
            <w:vAlign w:val="center"/>
          </w:tcPr>
          <w:p w14:paraId="37D8AE0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真空脱水、干燥</w:t>
            </w:r>
          </w:p>
        </w:tc>
        <w:tc>
          <w:tcPr>
            <w:tcW w:w="148" w:type="pct"/>
            <w:noWrap w:val="0"/>
            <w:vAlign w:val="center"/>
          </w:tcPr>
          <w:p w14:paraId="460A87D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套</w:t>
            </w:r>
          </w:p>
        </w:tc>
        <w:tc>
          <w:tcPr>
            <w:tcW w:w="986" w:type="dxa"/>
            <w:noWrap w:val="0"/>
            <w:vAlign w:val="center"/>
          </w:tcPr>
          <w:p w14:paraId="5CF7F12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w:t>
            </w:r>
          </w:p>
        </w:tc>
        <w:tc>
          <w:tcPr>
            <w:tcW w:w="1317" w:type="dxa"/>
            <w:noWrap w:val="0"/>
            <w:vAlign w:val="center"/>
          </w:tcPr>
          <w:p w14:paraId="292CD660">
            <w:pPr>
              <w:jc w:val="center"/>
              <w:rPr>
                <w:rFonts w:ascii="Times New Roman" w:hAnsi="Times New Roman" w:eastAsia="宋体" w:cs="宋体"/>
                <w:color w:val="auto"/>
                <w:sz w:val="21"/>
                <w:szCs w:val="21"/>
              </w:rPr>
            </w:pPr>
          </w:p>
        </w:tc>
        <w:tc>
          <w:tcPr>
            <w:tcW w:w="1317" w:type="dxa"/>
            <w:noWrap w:val="0"/>
            <w:vAlign w:val="center"/>
          </w:tcPr>
          <w:p w14:paraId="7EBF580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382.34</w:t>
            </w:r>
          </w:p>
        </w:tc>
        <w:tc>
          <w:tcPr>
            <w:tcW w:w="1545" w:type="dxa"/>
            <w:noWrap w:val="0"/>
            <w:vAlign w:val="center"/>
          </w:tcPr>
          <w:p w14:paraId="2ECC173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16.49</w:t>
            </w:r>
          </w:p>
        </w:tc>
        <w:tc>
          <w:tcPr>
            <w:tcW w:w="1177" w:type="dxa"/>
            <w:noWrap w:val="0"/>
            <w:vAlign w:val="center"/>
          </w:tcPr>
          <w:p w14:paraId="27385C4A">
            <w:pPr>
              <w:jc w:val="center"/>
              <w:rPr>
                <w:rFonts w:ascii="Times New Roman" w:hAnsi="Times New Roman" w:eastAsia="宋体" w:cs="宋体"/>
                <w:color w:val="auto"/>
                <w:sz w:val="21"/>
                <w:szCs w:val="21"/>
              </w:rPr>
            </w:pPr>
          </w:p>
        </w:tc>
        <w:tc>
          <w:tcPr>
            <w:tcW w:w="1622" w:type="dxa"/>
            <w:noWrap w:val="0"/>
            <w:vAlign w:val="center"/>
          </w:tcPr>
          <w:p w14:paraId="2B71AB30">
            <w:pPr>
              <w:jc w:val="center"/>
              <w:rPr>
                <w:rFonts w:ascii="Times New Roman" w:hAnsi="Times New Roman" w:eastAsia="宋体" w:cs="宋体"/>
                <w:color w:val="auto"/>
                <w:sz w:val="21"/>
                <w:szCs w:val="21"/>
              </w:rPr>
            </w:pPr>
          </w:p>
        </w:tc>
        <w:tc>
          <w:tcPr>
            <w:tcW w:w="1234" w:type="dxa"/>
            <w:noWrap w:val="0"/>
            <w:vAlign w:val="center"/>
          </w:tcPr>
          <w:p w14:paraId="052AC299">
            <w:pPr>
              <w:jc w:val="center"/>
              <w:rPr>
                <w:rFonts w:ascii="Times New Roman" w:hAnsi="Times New Roman" w:eastAsia="宋体" w:cs="宋体"/>
                <w:color w:val="auto"/>
                <w:sz w:val="21"/>
                <w:szCs w:val="21"/>
              </w:rPr>
            </w:pPr>
          </w:p>
        </w:tc>
        <w:tc>
          <w:tcPr>
            <w:tcW w:w="507" w:type="pct"/>
            <w:noWrap w:val="0"/>
            <w:vAlign w:val="center"/>
          </w:tcPr>
          <w:p w14:paraId="6D83329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02C52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486DFE2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2.6</w:t>
            </w:r>
          </w:p>
        </w:tc>
        <w:tc>
          <w:tcPr>
            <w:tcW w:w="855" w:type="pct"/>
            <w:noWrap w:val="0"/>
            <w:vAlign w:val="center"/>
          </w:tcPr>
          <w:p w14:paraId="74844F8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制片/粉，包装</w:t>
            </w:r>
          </w:p>
        </w:tc>
        <w:tc>
          <w:tcPr>
            <w:tcW w:w="148" w:type="pct"/>
            <w:noWrap w:val="0"/>
            <w:vAlign w:val="center"/>
          </w:tcPr>
          <w:p w14:paraId="747BF3F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套</w:t>
            </w:r>
          </w:p>
        </w:tc>
        <w:tc>
          <w:tcPr>
            <w:tcW w:w="986" w:type="dxa"/>
            <w:noWrap w:val="0"/>
            <w:vAlign w:val="center"/>
          </w:tcPr>
          <w:p w14:paraId="4B0FD12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w:t>
            </w:r>
          </w:p>
        </w:tc>
        <w:tc>
          <w:tcPr>
            <w:tcW w:w="1317" w:type="dxa"/>
            <w:noWrap w:val="0"/>
            <w:vAlign w:val="center"/>
          </w:tcPr>
          <w:p w14:paraId="437A68E1">
            <w:pPr>
              <w:jc w:val="center"/>
              <w:rPr>
                <w:rFonts w:ascii="Times New Roman" w:hAnsi="Times New Roman" w:eastAsia="宋体" w:cs="宋体"/>
                <w:color w:val="auto"/>
                <w:sz w:val="21"/>
                <w:szCs w:val="21"/>
              </w:rPr>
            </w:pPr>
          </w:p>
        </w:tc>
        <w:tc>
          <w:tcPr>
            <w:tcW w:w="1317" w:type="dxa"/>
            <w:noWrap w:val="0"/>
            <w:vAlign w:val="center"/>
          </w:tcPr>
          <w:p w14:paraId="2E7A79E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76.03</w:t>
            </w:r>
          </w:p>
        </w:tc>
        <w:tc>
          <w:tcPr>
            <w:tcW w:w="1545" w:type="dxa"/>
            <w:noWrap w:val="0"/>
            <w:vAlign w:val="center"/>
          </w:tcPr>
          <w:p w14:paraId="3AE1B27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3.28</w:t>
            </w:r>
          </w:p>
        </w:tc>
        <w:tc>
          <w:tcPr>
            <w:tcW w:w="1177" w:type="dxa"/>
            <w:noWrap w:val="0"/>
            <w:vAlign w:val="center"/>
          </w:tcPr>
          <w:p w14:paraId="05746C39">
            <w:pPr>
              <w:jc w:val="center"/>
              <w:rPr>
                <w:rFonts w:ascii="Times New Roman" w:hAnsi="Times New Roman" w:eastAsia="宋体" w:cs="宋体"/>
                <w:color w:val="auto"/>
                <w:sz w:val="21"/>
                <w:szCs w:val="21"/>
              </w:rPr>
            </w:pPr>
          </w:p>
        </w:tc>
        <w:tc>
          <w:tcPr>
            <w:tcW w:w="1622" w:type="dxa"/>
            <w:noWrap w:val="0"/>
            <w:vAlign w:val="center"/>
          </w:tcPr>
          <w:p w14:paraId="0F804F77">
            <w:pPr>
              <w:jc w:val="center"/>
              <w:rPr>
                <w:rFonts w:ascii="Times New Roman" w:hAnsi="Times New Roman" w:eastAsia="宋体" w:cs="宋体"/>
                <w:color w:val="auto"/>
                <w:sz w:val="21"/>
                <w:szCs w:val="21"/>
              </w:rPr>
            </w:pPr>
          </w:p>
        </w:tc>
        <w:tc>
          <w:tcPr>
            <w:tcW w:w="1234" w:type="dxa"/>
            <w:noWrap w:val="0"/>
            <w:vAlign w:val="center"/>
          </w:tcPr>
          <w:p w14:paraId="17B006F6">
            <w:pPr>
              <w:jc w:val="center"/>
              <w:rPr>
                <w:rFonts w:ascii="Times New Roman" w:hAnsi="Times New Roman" w:eastAsia="宋体" w:cs="宋体"/>
                <w:color w:val="auto"/>
                <w:sz w:val="21"/>
                <w:szCs w:val="21"/>
              </w:rPr>
            </w:pPr>
          </w:p>
        </w:tc>
        <w:tc>
          <w:tcPr>
            <w:tcW w:w="507" w:type="pct"/>
            <w:noWrap w:val="0"/>
            <w:vAlign w:val="center"/>
          </w:tcPr>
          <w:p w14:paraId="7149AEE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095D3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5044E6A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2.7</w:t>
            </w:r>
          </w:p>
        </w:tc>
        <w:tc>
          <w:tcPr>
            <w:tcW w:w="855" w:type="pct"/>
            <w:noWrap w:val="0"/>
            <w:vAlign w:val="center"/>
          </w:tcPr>
          <w:p w14:paraId="2423469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hint="eastAsia" w:ascii="Times New Roman" w:hAnsi="Times New Roman" w:eastAsia="宋体" w:cs="宋体"/>
                <w:color w:val="auto"/>
                <w:spacing w:val="-3"/>
                <w:sz w:val="21"/>
                <w:szCs w:val="21"/>
                <w:lang w:eastAsia="zh-CN"/>
              </w:rPr>
              <w:t>其他</w:t>
            </w:r>
          </w:p>
        </w:tc>
        <w:tc>
          <w:tcPr>
            <w:tcW w:w="148" w:type="pct"/>
            <w:noWrap w:val="0"/>
            <w:vAlign w:val="center"/>
          </w:tcPr>
          <w:p w14:paraId="149DA06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套</w:t>
            </w:r>
          </w:p>
        </w:tc>
        <w:tc>
          <w:tcPr>
            <w:tcW w:w="986" w:type="dxa"/>
            <w:noWrap w:val="0"/>
            <w:vAlign w:val="center"/>
          </w:tcPr>
          <w:p w14:paraId="3947676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w:t>
            </w:r>
          </w:p>
        </w:tc>
        <w:tc>
          <w:tcPr>
            <w:tcW w:w="1317" w:type="dxa"/>
            <w:noWrap w:val="0"/>
            <w:vAlign w:val="center"/>
          </w:tcPr>
          <w:p w14:paraId="185165DD">
            <w:pPr>
              <w:jc w:val="center"/>
              <w:rPr>
                <w:rFonts w:ascii="Times New Roman" w:hAnsi="Times New Roman" w:eastAsia="宋体" w:cs="宋体"/>
                <w:color w:val="auto"/>
                <w:sz w:val="21"/>
                <w:szCs w:val="21"/>
              </w:rPr>
            </w:pPr>
          </w:p>
        </w:tc>
        <w:tc>
          <w:tcPr>
            <w:tcW w:w="1317" w:type="dxa"/>
            <w:noWrap w:val="0"/>
            <w:vAlign w:val="center"/>
          </w:tcPr>
          <w:p w14:paraId="29946C3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77.80</w:t>
            </w:r>
          </w:p>
        </w:tc>
        <w:tc>
          <w:tcPr>
            <w:tcW w:w="1545" w:type="dxa"/>
            <w:noWrap w:val="0"/>
            <w:vAlign w:val="center"/>
          </w:tcPr>
          <w:p w14:paraId="7655DF0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3.36</w:t>
            </w:r>
          </w:p>
        </w:tc>
        <w:tc>
          <w:tcPr>
            <w:tcW w:w="1177" w:type="dxa"/>
            <w:noWrap w:val="0"/>
            <w:vAlign w:val="center"/>
          </w:tcPr>
          <w:p w14:paraId="5343AC95">
            <w:pPr>
              <w:jc w:val="center"/>
              <w:rPr>
                <w:rFonts w:ascii="Times New Roman" w:hAnsi="Times New Roman" w:eastAsia="宋体" w:cs="宋体"/>
                <w:color w:val="auto"/>
                <w:sz w:val="21"/>
                <w:szCs w:val="21"/>
              </w:rPr>
            </w:pPr>
          </w:p>
        </w:tc>
        <w:tc>
          <w:tcPr>
            <w:tcW w:w="1622" w:type="dxa"/>
            <w:noWrap w:val="0"/>
            <w:vAlign w:val="center"/>
          </w:tcPr>
          <w:p w14:paraId="01FB2606">
            <w:pPr>
              <w:jc w:val="center"/>
              <w:rPr>
                <w:rFonts w:ascii="Times New Roman" w:hAnsi="Times New Roman" w:eastAsia="宋体" w:cs="宋体"/>
                <w:color w:val="auto"/>
                <w:sz w:val="21"/>
                <w:szCs w:val="21"/>
              </w:rPr>
            </w:pPr>
          </w:p>
        </w:tc>
        <w:tc>
          <w:tcPr>
            <w:tcW w:w="1234" w:type="dxa"/>
            <w:noWrap w:val="0"/>
            <w:vAlign w:val="center"/>
          </w:tcPr>
          <w:p w14:paraId="18B76AD0">
            <w:pPr>
              <w:jc w:val="center"/>
              <w:rPr>
                <w:rFonts w:ascii="Times New Roman" w:hAnsi="Times New Roman" w:eastAsia="宋体" w:cs="宋体"/>
                <w:color w:val="auto"/>
                <w:sz w:val="21"/>
                <w:szCs w:val="21"/>
              </w:rPr>
            </w:pPr>
          </w:p>
        </w:tc>
        <w:tc>
          <w:tcPr>
            <w:tcW w:w="507" w:type="pct"/>
            <w:noWrap w:val="0"/>
            <w:vAlign w:val="center"/>
          </w:tcPr>
          <w:p w14:paraId="4C3BBDB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07B4E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261" w:type="pct"/>
            <w:noWrap w:val="0"/>
            <w:vAlign w:val="center"/>
          </w:tcPr>
          <w:p w14:paraId="0B9A060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2.8</w:t>
            </w:r>
          </w:p>
        </w:tc>
        <w:tc>
          <w:tcPr>
            <w:tcW w:w="855" w:type="pct"/>
            <w:noWrap w:val="0"/>
            <w:vAlign w:val="center"/>
          </w:tcPr>
          <w:p w14:paraId="6CFC180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安装、培训</w:t>
            </w:r>
          </w:p>
        </w:tc>
        <w:tc>
          <w:tcPr>
            <w:tcW w:w="148" w:type="pct"/>
            <w:noWrap w:val="0"/>
            <w:vAlign w:val="center"/>
          </w:tcPr>
          <w:p w14:paraId="6E48D4D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套</w:t>
            </w:r>
          </w:p>
        </w:tc>
        <w:tc>
          <w:tcPr>
            <w:tcW w:w="986" w:type="dxa"/>
            <w:noWrap w:val="0"/>
            <w:vAlign w:val="center"/>
          </w:tcPr>
          <w:p w14:paraId="0CF624F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w:t>
            </w:r>
          </w:p>
        </w:tc>
        <w:tc>
          <w:tcPr>
            <w:tcW w:w="1317" w:type="dxa"/>
            <w:noWrap w:val="0"/>
            <w:vAlign w:val="center"/>
          </w:tcPr>
          <w:p w14:paraId="63AF1ADB">
            <w:pPr>
              <w:jc w:val="center"/>
              <w:rPr>
                <w:rFonts w:ascii="Times New Roman" w:hAnsi="Times New Roman" w:eastAsia="宋体" w:cs="宋体"/>
                <w:color w:val="auto"/>
                <w:sz w:val="21"/>
                <w:szCs w:val="21"/>
              </w:rPr>
            </w:pPr>
          </w:p>
        </w:tc>
        <w:tc>
          <w:tcPr>
            <w:tcW w:w="1317" w:type="dxa"/>
            <w:noWrap w:val="0"/>
            <w:vAlign w:val="center"/>
          </w:tcPr>
          <w:p w14:paraId="7D78F8F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87.44</w:t>
            </w:r>
          </w:p>
        </w:tc>
        <w:tc>
          <w:tcPr>
            <w:tcW w:w="1545" w:type="dxa"/>
            <w:noWrap w:val="0"/>
            <w:vAlign w:val="center"/>
          </w:tcPr>
          <w:p w14:paraId="1903367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3.77</w:t>
            </w:r>
          </w:p>
        </w:tc>
        <w:tc>
          <w:tcPr>
            <w:tcW w:w="1177" w:type="dxa"/>
            <w:noWrap w:val="0"/>
            <w:vAlign w:val="center"/>
          </w:tcPr>
          <w:p w14:paraId="4A8080A1">
            <w:pPr>
              <w:jc w:val="center"/>
              <w:rPr>
                <w:rFonts w:ascii="Times New Roman" w:hAnsi="Times New Roman" w:eastAsia="宋体" w:cs="宋体"/>
                <w:color w:val="auto"/>
                <w:sz w:val="21"/>
                <w:szCs w:val="21"/>
              </w:rPr>
            </w:pPr>
          </w:p>
        </w:tc>
        <w:tc>
          <w:tcPr>
            <w:tcW w:w="1622" w:type="dxa"/>
            <w:noWrap w:val="0"/>
            <w:vAlign w:val="center"/>
          </w:tcPr>
          <w:p w14:paraId="66CE877E">
            <w:pPr>
              <w:jc w:val="center"/>
              <w:rPr>
                <w:rFonts w:ascii="Times New Roman" w:hAnsi="Times New Roman" w:eastAsia="宋体" w:cs="宋体"/>
                <w:color w:val="auto"/>
                <w:sz w:val="21"/>
                <w:szCs w:val="21"/>
              </w:rPr>
            </w:pPr>
          </w:p>
        </w:tc>
        <w:tc>
          <w:tcPr>
            <w:tcW w:w="1234" w:type="dxa"/>
            <w:noWrap w:val="0"/>
            <w:vAlign w:val="center"/>
          </w:tcPr>
          <w:p w14:paraId="42C90135">
            <w:pPr>
              <w:jc w:val="center"/>
              <w:rPr>
                <w:rFonts w:ascii="Times New Roman" w:hAnsi="Times New Roman" w:eastAsia="宋体" w:cs="宋体"/>
                <w:color w:val="auto"/>
                <w:sz w:val="21"/>
                <w:szCs w:val="21"/>
              </w:rPr>
            </w:pPr>
          </w:p>
        </w:tc>
        <w:tc>
          <w:tcPr>
            <w:tcW w:w="507" w:type="pct"/>
            <w:noWrap w:val="0"/>
            <w:vAlign w:val="center"/>
          </w:tcPr>
          <w:p w14:paraId="7B70579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3EEE6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61" w:type="pct"/>
            <w:noWrap w:val="0"/>
            <w:vAlign w:val="center"/>
          </w:tcPr>
          <w:p w14:paraId="2F78AAE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二</w:t>
            </w:r>
          </w:p>
        </w:tc>
        <w:tc>
          <w:tcPr>
            <w:tcW w:w="855" w:type="pct"/>
            <w:noWrap w:val="0"/>
            <w:vAlign w:val="center"/>
          </w:tcPr>
          <w:p w14:paraId="641CC8E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工程建设其他费用</w:t>
            </w:r>
          </w:p>
        </w:tc>
        <w:tc>
          <w:tcPr>
            <w:tcW w:w="148" w:type="pct"/>
            <w:noWrap w:val="0"/>
            <w:vAlign w:val="center"/>
          </w:tcPr>
          <w:p w14:paraId="7BEFC3E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0C69B7E0">
            <w:pPr>
              <w:jc w:val="center"/>
              <w:rPr>
                <w:rFonts w:ascii="Times New Roman" w:hAnsi="Times New Roman" w:eastAsia="宋体" w:cs="宋体"/>
                <w:color w:val="auto"/>
                <w:sz w:val="21"/>
                <w:szCs w:val="21"/>
              </w:rPr>
            </w:pPr>
          </w:p>
        </w:tc>
        <w:tc>
          <w:tcPr>
            <w:tcW w:w="1317" w:type="dxa"/>
            <w:noWrap w:val="0"/>
            <w:vAlign w:val="center"/>
          </w:tcPr>
          <w:p w14:paraId="11D81D05">
            <w:pPr>
              <w:jc w:val="center"/>
              <w:rPr>
                <w:rFonts w:ascii="Times New Roman" w:hAnsi="Times New Roman" w:eastAsia="宋体" w:cs="宋体"/>
                <w:color w:val="auto"/>
                <w:sz w:val="21"/>
                <w:szCs w:val="21"/>
              </w:rPr>
            </w:pPr>
          </w:p>
        </w:tc>
        <w:tc>
          <w:tcPr>
            <w:tcW w:w="1317" w:type="dxa"/>
            <w:noWrap w:val="0"/>
            <w:vAlign w:val="center"/>
          </w:tcPr>
          <w:p w14:paraId="164EE4F0">
            <w:pPr>
              <w:jc w:val="center"/>
              <w:rPr>
                <w:rFonts w:ascii="Times New Roman" w:hAnsi="Times New Roman" w:eastAsia="宋体" w:cs="宋体"/>
                <w:color w:val="auto"/>
                <w:sz w:val="21"/>
                <w:szCs w:val="21"/>
              </w:rPr>
            </w:pPr>
          </w:p>
        </w:tc>
        <w:tc>
          <w:tcPr>
            <w:tcW w:w="1545" w:type="dxa"/>
            <w:noWrap w:val="0"/>
            <w:vAlign w:val="center"/>
          </w:tcPr>
          <w:p w14:paraId="2029C8E5">
            <w:pPr>
              <w:jc w:val="center"/>
              <w:rPr>
                <w:rFonts w:ascii="Times New Roman" w:hAnsi="Times New Roman" w:eastAsia="宋体" w:cs="宋体"/>
                <w:color w:val="auto"/>
                <w:sz w:val="21"/>
                <w:szCs w:val="21"/>
              </w:rPr>
            </w:pPr>
          </w:p>
        </w:tc>
        <w:tc>
          <w:tcPr>
            <w:tcW w:w="1177" w:type="dxa"/>
            <w:noWrap w:val="0"/>
            <w:vAlign w:val="center"/>
          </w:tcPr>
          <w:p w14:paraId="5BC7F9B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262.63</w:t>
            </w:r>
          </w:p>
        </w:tc>
        <w:tc>
          <w:tcPr>
            <w:tcW w:w="1622" w:type="dxa"/>
            <w:noWrap w:val="0"/>
            <w:vAlign w:val="center"/>
          </w:tcPr>
          <w:p w14:paraId="0BA42B6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262.63</w:t>
            </w:r>
          </w:p>
        </w:tc>
        <w:tc>
          <w:tcPr>
            <w:tcW w:w="1234" w:type="dxa"/>
            <w:noWrap w:val="0"/>
            <w:vAlign w:val="center"/>
          </w:tcPr>
          <w:p w14:paraId="615449D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4.26%</w:t>
            </w:r>
          </w:p>
        </w:tc>
        <w:tc>
          <w:tcPr>
            <w:tcW w:w="507" w:type="pct"/>
            <w:noWrap w:val="0"/>
            <w:vAlign w:val="center"/>
          </w:tcPr>
          <w:p w14:paraId="0785C78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70CE4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61" w:type="pct"/>
            <w:noWrap w:val="0"/>
            <w:vAlign w:val="center"/>
          </w:tcPr>
          <w:p w14:paraId="0A083AF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1</w:t>
            </w:r>
          </w:p>
        </w:tc>
        <w:tc>
          <w:tcPr>
            <w:tcW w:w="855" w:type="pct"/>
            <w:noWrap w:val="0"/>
            <w:vAlign w:val="center"/>
          </w:tcPr>
          <w:p w14:paraId="1E95ABD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建设单位管理费</w:t>
            </w:r>
          </w:p>
        </w:tc>
        <w:tc>
          <w:tcPr>
            <w:tcW w:w="148" w:type="pct"/>
            <w:noWrap w:val="0"/>
            <w:vAlign w:val="center"/>
          </w:tcPr>
          <w:p w14:paraId="1C3134C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46FFE209">
            <w:pPr>
              <w:jc w:val="center"/>
              <w:rPr>
                <w:rFonts w:ascii="Times New Roman" w:hAnsi="Times New Roman" w:eastAsia="宋体" w:cs="宋体"/>
                <w:color w:val="auto"/>
                <w:sz w:val="21"/>
                <w:szCs w:val="21"/>
              </w:rPr>
            </w:pPr>
          </w:p>
        </w:tc>
        <w:tc>
          <w:tcPr>
            <w:tcW w:w="1317" w:type="dxa"/>
            <w:noWrap w:val="0"/>
            <w:vAlign w:val="center"/>
          </w:tcPr>
          <w:p w14:paraId="2F2E4400">
            <w:pPr>
              <w:jc w:val="center"/>
              <w:rPr>
                <w:rFonts w:ascii="Times New Roman" w:hAnsi="Times New Roman" w:eastAsia="宋体" w:cs="宋体"/>
                <w:color w:val="auto"/>
                <w:sz w:val="21"/>
                <w:szCs w:val="21"/>
              </w:rPr>
            </w:pPr>
          </w:p>
        </w:tc>
        <w:tc>
          <w:tcPr>
            <w:tcW w:w="1317" w:type="dxa"/>
            <w:noWrap w:val="0"/>
            <w:vAlign w:val="center"/>
          </w:tcPr>
          <w:p w14:paraId="6E8A93CA">
            <w:pPr>
              <w:jc w:val="center"/>
              <w:rPr>
                <w:rFonts w:ascii="Times New Roman" w:hAnsi="Times New Roman" w:eastAsia="宋体" w:cs="宋体"/>
                <w:color w:val="auto"/>
                <w:sz w:val="21"/>
                <w:szCs w:val="21"/>
              </w:rPr>
            </w:pPr>
          </w:p>
        </w:tc>
        <w:tc>
          <w:tcPr>
            <w:tcW w:w="1545" w:type="dxa"/>
            <w:noWrap w:val="0"/>
            <w:vAlign w:val="center"/>
          </w:tcPr>
          <w:p w14:paraId="7B4ABD3B">
            <w:pPr>
              <w:jc w:val="center"/>
              <w:rPr>
                <w:rFonts w:ascii="Times New Roman" w:hAnsi="Times New Roman" w:eastAsia="宋体" w:cs="宋体"/>
                <w:color w:val="auto"/>
                <w:sz w:val="21"/>
                <w:szCs w:val="21"/>
              </w:rPr>
            </w:pPr>
          </w:p>
        </w:tc>
        <w:tc>
          <w:tcPr>
            <w:tcW w:w="1177" w:type="dxa"/>
            <w:noWrap w:val="0"/>
            <w:vAlign w:val="center"/>
          </w:tcPr>
          <w:p w14:paraId="14F2AC7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30.60</w:t>
            </w:r>
          </w:p>
        </w:tc>
        <w:tc>
          <w:tcPr>
            <w:tcW w:w="1622" w:type="dxa"/>
            <w:noWrap w:val="0"/>
            <w:vAlign w:val="center"/>
          </w:tcPr>
          <w:p w14:paraId="105D0BF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30.60</w:t>
            </w:r>
          </w:p>
        </w:tc>
        <w:tc>
          <w:tcPr>
            <w:tcW w:w="1234" w:type="dxa"/>
            <w:noWrap w:val="0"/>
            <w:vAlign w:val="center"/>
          </w:tcPr>
          <w:p w14:paraId="6068DB43">
            <w:pPr>
              <w:jc w:val="center"/>
              <w:rPr>
                <w:rFonts w:ascii="Times New Roman" w:hAnsi="Times New Roman" w:eastAsia="宋体" w:cs="宋体"/>
                <w:color w:val="auto"/>
                <w:sz w:val="21"/>
                <w:szCs w:val="21"/>
              </w:rPr>
            </w:pPr>
          </w:p>
        </w:tc>
        <w:tc>
          <w:tcPr>
            <w:tcW w:w="507" w:type="pct"/>
            <w:noWrap w:val="0"/>
            <w:vAlign w:val="center"/>
          </w:tcPr>
          <w:p w14:paraId="2D80021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财建〔2002〕394号</w:t>
            </w:r>
          </w:p>
        </w:tc>
      </w:tr>
      <w:tr w14:paraId="6BA8E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7FAA8B3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2</w:t>
            </w:r>
          </w:p>
        </w:tc>
        <w:tc>
          <w:tcPr>
            <w:tcW w:w="855" w:type="pct"/>
            <w:noWrap w:val="0"/>
            <w:vAlign w:val="center"/>
          </w:tcPr>
          <w:p w14:paraId="339675C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建设工程监理费</w:t>
            </w:r>
          </w:p>
        </w:tc>
        <w:tc>
          <w:tcPr>
            <w:tcW w:w="148" w:type="pct"/>
            <w:noWrap w:val="0"/>
            <w:vAlign w:val="center"/>
          </w:tcPr>
          <w:p w14:paraId="184B352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3B81F508">
            <w:pPr>
              <w:jc w:val="center"/>
              <w:rPr>
                <w:rFonts w:ascii="Times New Roman" w:hAnsi="Times New Roman" w:eastAsia="宋体" w:cs="宋体"/>
                <w:color w:val="auto"/>
                <w:sz w:val="21"/>
                <w:szCs w:val="21"/>
              </w:rPr>
            </w:pPr>
          </w:p>
        </w:tc>
        <w:tc>
          <w:tcPr>
            <w:tcW w:w="1317" w:type="dxa"/>
            <w:noWrap w:val="0"/>
            <w:vAlign w:val="center"/>
          </w:tcPr>
          <w:p w14:paraId="30933F48">
            <w:pPr>
              <w:jc w:val="center"/>
              <w:rPr>
                <w:rFonts w:ascii="Times New Roman" w:hAnsi="Times New Roman" w:eastAsia="宋体" w:cs="宋体"/>
                <w:color w:val="auto"/>
                <w:sz w:val="21"/>
                <w:szCs w:val="21"/>
              </w:rPr>
            </w:pPr>
          </w:p>
        </w:tc>
        <w:tc>
          <w:tcPr>
            <w:tcW w:w="1317" w:type="dxa"/>
            <w:noWrap w:val="0"/>
            <w:vAlign w:val="center"/>
          </w:tcPr>
          <w:p w14:paraId="24A1D534">
            <w:pPr>
              <w:jc w:val="center"/>
              <w:rPr>
                <w:rFonts w:ascii="Times New Roman" w:hAnsi="Times New Roman" w:eastAsia="宋体" w:cs="宋体"/>
                <w:color w:val="auto"/>
                <w:sz w:val="21"/>
                <w:szCs w:val="21"/>
              </w:rPr>
            </w:pPr>
          </w:p>
        </w:tc>
        <w:tc>
          <w:tcPr>
            <w:tcW w:w="1545" w:type="dxa"/>
            <w:noWrap w:val="0"/>
            <w:vAlign w:val="center"/>
          </w:tcPr>
          <w:p w14:paraId="5DF770A9">
            <w:pPr>
              <w:jc w:val="center"/>
              <w:rPr>
                <w:rFonts w:ascii="Times New Roman" w:hAnsi="Times New Roman" w:eastAsia="宋体" w:cs="宋体"/>
                <w:color w:val="auto"/>
                <w:sz w:val="21"/>
                <w:szCs w:val="21"/>
              </w:rPr>
            </w:pPr>
          </w:p>
        </w:tc>
        <w:tc>
          <w:tcPr>
            <w:tcW w:w="1177" w:type="dxa"/>
            <w:noWrap w:val="0"/>
            <w:vAlign w:val="center"/>
          </w:tcPr>
          <w:p w14:paraId="290A408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39.14</w:t>
            </w:r>
          </w:p>
        </w:tc>
        <w:tc>
          <w:tcPr>
            <w:tcW w:w="1622" w:type="dxa"/>
            <w:noWrap w:val="0"/>
            <w:vAlign w:val="center"/>
          </w:tcPr>
          <w:p w14:paraId="660B154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39.14</w:t>
            </w:r>
          </w:p>
        </w:tc>
        <w:tc>
          <w:tcPr>
            <w:tcW w:w="1234" w:type="dxa"/>
            <w:noWrap w:val="0"/>
            <w:vAlign w:val="center"/>
          </w:tcPr>
          <w:p w14:paraId="1C8FEF17">
            <w:pPr>
              <w:jc w:val="center"/>
              <w:rPr>
                <w:rFonts w:ascii="Times New Roman" w:hAnsi="Times New Roman" w:eastAsia="宋体" w:cs="宋体"/>
                <w:color w:val="auto"/>
                <w:sz w:val="21"/>
                <w:szCs w:val="21"/>
              </w:rPr>
            </w:pPr>
          </w:p>
        </w:tc>
        <w:tc>
          <w:tcPr>
            <w:tcW w:w="507" w:type="pct"/>
            <w:noWrap w:val="0"/>
            <w:vAlign w:val="center"/>
          </w:tcPr>
          <w:p w14:paraId="37456C5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发改价格〔2007〕670号</w:t>
            </w:r>
          </w:p>
        </w:tc>
      </w:tr>
      <w:tr w14:paraId="55BF9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368B27F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3</w:t>
            </w:r>
          </w:p>
        </w:tc>
        <w:tc>
          <w:tcPr>
            <w:tcW w:w="855" w:type="pct"/>
            <w:noWrap w:val="0"/>
            <w:vAlign w:val="center"/>
          </w:tcPr>
          <w:p w14:paraId="7D2889C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前期工作咨询费</w:t>
            </w:r>
          </w:p>
        </w:tc>
        <w:tc>
          <w:tcPr>
            <w:tcW w:w="148" w:type="pct"/>
            <w:noWrap w:val="0"/>
            <w:vAlign w:val="center"/>
          </w:tcPr>
          <w:p w14:paraId="30C483D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23D7BE4D">
            <w:pPr>
              <w:jc w:val="center"/>
              <w:rPr>
                <w:rFonts w:ascii="Times New Roman" w:hAnsi="Times New Roman" w:eastAsia="宋体" w:cs="宋体"/>
                <w:color w:val="auto"/>
                <w:sz w:val="21"/>
                <w:szCs w:val="21"/>
              </w:rPr>
            </w:pPr>
          </w:p>
        </w:tc>
        <w:tc>
          <w:tcPr>
            <w:tcW w:w="1317" w:type="dxa"/>
            <w:noWrap w:val="0"/>
            <w:vAlign w:val="center"/>
          </w:tcPr>
          <w:p w14:paraId="0C7F2FEC">
            <w:pPr>
              <w:jc w:val="center"/>
              <w:rPr>
                <w:rFonts w:ascii="Times New Roman" w:hAnsi="Times New Roman" w:eastAsia="宋体" w:cs="宋体"/>
                <w:color w:val="auto"/>
                <w:sz w:val="21"/>
                <w:szCs w:val="21"/>
              </w:rPr>
            </w:pPr>
          </w:p>
        </w:tc>
        <w:tc>
          <w:tcPr>
            <w:tcW w:w="1317" w:type="dxa"/>
            <w:noWrap w:val="0"/>
            <w:vAlign w:val="center"/>
          </w:tcPr>
          <w:p w14:paraId="46DF20C5">
            <w:pPr>
              <w:jc w:val="center"/>
              <w:rPr>
                <w:rFonts w:ascii="Times New Roman" w:hAnsi="Times New Roman" w:eastAsia="宋体" w:cs="宋体"/>
                <w:color w:val="auto"/>
                <w:sz w:val="21"/>
                <w:szCs w:val="21"/>
              </w:rPr>
            </w:pPr>
          </w:p>
        </w:tc>
        <w:tc>
          <w:tcPr>
            <w:tcW w:w="1545" w:type="dxa"/>
            <w:noWrap w:val="0"/>
            <w:vAlign w:val="center"/>
          </w:tcPr>
          <w:p w14:paraId="7826B037">
            <w:pPr>
              <w:jc w:val="center"/>
              <w:rPr>
                <w:rFonts w:ascii="Times New Roman" w:hAnsi="Times New Roman" w:eastAsia="宋体" w:cs="宋体"/>
                <w:color w:val="auto"/>
                <w:sz w:val="21"/>
                <w:szCs w:val="21"/>
              </w:rPr>
            </w:pPr>
          </w:p>
        </w:tc>
        <w:tc>
          <w:tcPr>
            <w:tcW w:w="1177" w:type="dxa"/>
            <w:noWrap w:val="0"/>
            <w:vAlign w:val="center"/>
          </w:tcPr>
          <w:p w14:paraId="6CF9894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77.68</w:t>
            </w:r>
          </w:p>
        </w:tc>
        <w:tc>
          <w:tcPr>
            <w:tcW w:w="1622" w:type="dxa"/>
            <w:noWrap w:val="0"/>
            <w:vAlign w:val="center"/>
          </w:tcPr>
          <w:p w14:paraId="3A64CDF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77.68</w:t>
            </w:r>
          </w:p>
        </w:tc>
        <w:tc>
          <w:tcPr>
            <w:tcW w:w="1234" w:type="dxa"/>
            <w:noWrap w:val="0"/>
            <w:vAlign w:val="center"/>
          </w:tcPr>
          <w:p w14:paraId="12ED9F6C">
            <w:pPr>
              <w:jc w:val="center"/>
              <w:rPr>
                <w:rFonts w:ascii="Times New Roman" w:hAnsi="Times New Roman" w:eastAsia="宋体" w:cs="宋体"/>
                <w:color w:val="auto"/>
                <w:sz w:val="21"/>
                <w:szCs w:val="21"/>
              </w:rPr>
            </w:pPr>
          </w:p>
        </w:tc>
        <w:tc>
          <w:tcPr>
            <w:tcW w:w="507" w:type="pct"/>
            <w:noWrap w:val="0"/>
            <w:vAlign w:val="center"/>
          </w:tcPr>
          <w:p w14:paraId="0F908FC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计价格〔1999〕1283号</w:t>
            </w:r>
          </w:p>
        </w:tc>
      </w:tr>
      <w:tr w14:paraId="55019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1" w:type="pct"/>
            <w:noWrap w:val="0"/>
            <w:vAlign w:val="center"/>
          </w:tcPr>
          <w:p w14:paraId="0559460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4</w:t>
            </w:r>
          </w:p>
        </w:tc>
        <w:tc>
          <w:tcPr>
            <w:tcW w:w="855" w:type="pct"/>
            <w:noWrap w:val="0"/>
            <w:vAlign w:val="center"/>
          </w:tcPr>
          <w:p w14:paraId="1552217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工程勘察费</w:t>
            </w:r>
          </w:p>
        </w:tc>
        <w:tc>
          <w:tcPr>
            <w:tcW w:w="148" w:type="pct"/>
            <w:noWrap w:val="0"/>
            <w:vAlign w:val="center"/>
          </w:tcPr>
          <w:p w14:paraId="7070941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44A56AAC">
            <w:pPr>
              <w:jc w:val="center"/>
              <w:rPr>
                <w:rFonts w:ascii="Times New Roman" w:hAnsi="Times New Roman" w:eastAsia="宋体" w:cs="宋体"/>
                <w:color w:val="auto"/>
                <w:sz w:val="21"/>
                <w:szCs w:val="21"/>
              </w:rPr>
            </w:pPr>
          </w:p>
        </w:tc>
        <w:tc>
          <w:tcPr>
            <w:tcW w:w="1317" w:type="dxa"/>
            <w:noWrap w:val="0"/>
            <w:vAlign w:val="center"/>
          </w:tcPr>
          <w:p w14:paraId="37856076">
            <w:pPr>
              <w:jc w:val="center"/>
              <w:rPr>
                <w:rFonts w:ascii="Times New Roman" w:hAnsi="Times New Roman" w:eastAsia="宋体" w:cs="宋体"/>
                <w:color w:val="auto"/>
                <w:sz w:val="21"/>
                <w:szCs w:val="21"/>
              </w:rPr>
            </w:pPr>
          </w:p>
        </w:tc>
        <w:tc>
          <w:tcPr>
            <w:tcW w:w="1317" w:type="dxa"/>
            <w:noWrap w:val="0"/>
            <w:vAlign w:val="center"/>
          </w:tcPr>
          <w:p w14:paraId="6F68116F">
            <w:pPr>
              <w:jc w:val="center"/>
              <w:rPr>
                <w:rFonts w:ascii="Times New Roman" w:hAnsi="Times New Roman" w:eastAsia="宋体" w:cs="宋体"/>
                <w:color w:val="auto"/>
                <w:sz w:val="21"/>
                <w:szCs w:val="21"/>
              </w:rPr>
            </w:pPr>
          </w:p>
        </w:tc>
        <w:tc>
          <w:tcPr>
            <w:tcW w:w="1545" w:type="dxa"/>
            <w:noWrap w:val="0"/>
            <w:vAlign w:val="center"/>
          </w:tcPr>
          <w:p w14:paraId="35E3615C">
            <w:pPr>
              <w:jc w:val="center"/>
              <w:rPr>
                <w:rFonts w:ascii="Times New Roman" w:hAnsi="Times New Roman" w:eastAsia="宋体" w:cs="宋体"/>
                <w:color w:val="auto"/>
                <w:sz w:val="21"/>
                <w:szCs w:val="21"/>
              </w:rPr>
            </w:pPr>
          </w:p>
        </w:tc>
        <w:tc>
          <w:tcPr>
            <w:tcW w:w="1177" w:type="dxa"/>
            <w:noWrap w:val="0"/>
            <w:vAlign w:val="center"/>
          </w:tcPr>
          <w:p w14:paraId="04EF1FD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13.02</w:t>
            </w:r>
          </w:p>
        </w:tc>
        <w:tc>
          <w:tcPr>
            <w:tcW w:w="1622" w:type="dxa"/>
            <w:noWrap w:val="0"/>
            <w:vAlign w:val="center"/>
          </w:tcPr>
          <w:p w14:paraId="52919C4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13.02</w:t>
            </w:r>
          </w:p>
        </w:tc>
        <w:tc>
          <w:tcPr>
            <w:tcW w:w="1234" w:type="dxa"/>
            <w:noWrap w:val="0"/>
            <w:vAlign w:val="center"/>
          </w:tcPr>
          <w:p w14:paraId="6D46C669">
            <w:pPr>
              <w:jc w:val="center"/>
              <w:rPr>
                <w:rFonts w:ascii="Times New Roman" w:hAnsi="Times New Roman" w:eastAsia="宋体" w:cs="宋体"/>
                <w:color w:val="auto"/>
                <w:sz w:val="21"/>
                <w:szCs w:val="21"/>
              </w:rPr>
            </w:pPr>
          </w:p>
        </w:tc>
        <w:tc>
          <w:tcPr>
            <w:tcW w:w="507" w:type="pct"/>
            <w:noWrap w:val="0"/>
            <w:vAlign w:val="center"/>
          </w:tcPr>
          <w:p w14:paraId="0E15350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设计费*25%</w:t>
            </w:r>
          </w:p>
        </w:tc>
      </w:tr>
      <w:tr w14:paraId="53500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0220BE4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5</w:t>
            </w:r>
          </w:p>
        </w:tc>
        <w:tc>
          <w:tcPr>
            <w:tcW w:w="855" w:type="pct"/>
            <w:noWrap w:val="0"/>
            <w:vAlign w:val="center"/>
          </w:tcPr>
          <w:p w14:paraId="29AF97B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工程设计费</w:t>
            </w:r>
          </w:p>
        </w:tc>
        <w:tc>
          <w:tcPr>
            <w:tcW w:w="148" w:type="pct"/>
            <w:noWrap w:val="0"/>
            <w:vAlign w:val="center"/>
          </w:tcPr>
          <w:p w14:paraId="1905A72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52707A88">
            <w:pPr>
              <w:jc w:val="center"/>
              <w:rPr>
                <w:rFonts w:ascii="Times New Roman" w:hAnsi="Times New Roman" w:eastAsia="宋体" w:cs="宋体"/>
                <w:color w:val="auto"/>
                <w:sz w:val="21"/>
                <w:szCs w:val="21"/>
              </w:rPr>
            </w:pPr>
          </w:p>
        </w:tc>
        <w:tc>
          <w:tcPr>
            <w:tcW w:w="1317" w:type="dxa"/>
            <w:noWrap w:val="0"/>
            <w:vAlign w:val="center"/>
          </w:tcPr>
          <w:p w14:paraId="6E925DEE">
            <w:pPr>
              <w:jc w:val="center"/>
              <w:rPr>
                <w:rFonts w:ascii="Times New Roman" w:hAnsi="Times New Roman" w:eastAsia="宋体" w:cs="宋体"/>
                <w:color w:val="auto"/>
                <w:sz w:val="21"/>
                <w:szCs w:val="21"/>
              </w:rPr>
            </w:pPr>
          </w:p>
        </w:tc>
        <w:tc>
          <w:tcPr>
            <w:tcW w:w="1317" w:type="dxa"/>
            <w:noWrap w:val="0"/>
            <w:vAlign w:val="center"/>
          </w:tcPr>
          <w:p w14:paraId="44631179">
            <w:pPr>
              <w:jc w:val="center"/>
              <w:rPr>
                <w:rFonts w:ascii="Times New Roman" w:hAnsi="Times New Roman" w:eastAsia="宋体" w:cs="宋体"/>
                <w:color w:val="auto"/>
                <w:sz w:val="21"/>
                <w:szCs w:val="21"/>
              </w:rPr>
            </w:pPr>
          </w:p>
        </w:tc>
        <w:tc>
          <w:tcPr>
            <w:tcW w:w="1545" w:type="dxa"/>
            <w:noWrap w:val="0"/>
            <w:vAlign w:val="center"/>
          </w:tcPr>
          <w:p w14:paraId="51F02835">
            <w:pPr>
              <w:jc w:val="center"/>
              <w:rPr>
                <w:rFonts w:ascii="Times New Roman" w:hAnsi="Times New Roman" w:eastAsia="宋体" w:cs="宋体"/>
                <w:color w:val="auto"/>
                <w:sz w:val="21"/>
                <w:szCs w:val="21"/>
              </w:rPr>
            </w:pPr>
          </w:p>
        </w:tc>
        <w:tc>
          <w:tcPr>
            <w:tcW w:w="1177" w:type="dxa"/>
            <w:noWrap w:val="0"/>
            <w:vAlign w:val="center"/>
          </w:tcPr>
          <w:p w14:paraId="26F75A0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52.07</w:t>
            </w:r>
          </w:p>
        </w:tc>
        <w:tc>
          <w:tcPr>
            <w:tcW w:w="1622" w:type="dxa"/>
            <w:noWrap w:val="0"/>
            <w:vAlign w:val="center"/>
          </w:tcPr>
          <w:p w14:paraId="57FF89E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52.07</w:t>
            </w:r>
          </w:p>
        </w:tc>
        <w:tc>
          <w:tcPr>
            <w:tcW w:w="1234" w:type="dxa"/>
            <w:noWrap w:val="0"/>
            <w:vAlign w:val="center"/>
          </w:tcPr>
          <w:p w14:paraId="56721A11">
            <w:pPr>
              <w:jc w:val="center"/>
              <w:rPr>
                <w:rFonts w:ascii="Times New Roman" w:hAnsi="Times New Roman" w:eastAsia="宋体" w:cs="宋体"/>
                <w:color w:val="auto"/>
                <w:sz w:val="21"/>
                <w:szCs w:val="21"/>
              </w:rPr>
            </w:pPr>
          </w:p>
        </w:tc>
        <w:tc>
          <w:tcPr>
            <w:tcW w:w="507" w:type="pct"/>
            <w:noWrap w:val="0"/>
            <w:vAlign w:val="center"/>
          </w:tcPr>
          <w:p w14:paraId="18D2ED2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计价格〔2002〕10号</w:t>
            </w:r>
          </w:p>
        </w:tc>
      </w:tr>
      <w:tr w14:paraId="78E11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1" w:type="pct"/>
            <w:noWrap w:val="0"/>
            <w:vAlign w:val="center"/>
          </w:tcPr>
          <w:p w14:paraId="0A63DB3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6</w:t>
            </w:r>
          </w:p>
        </w:tc>
        <w:tc>
          <w:tcPr>
            <w:tcW w:w="855" w:type="pct"/>
            <w:noWrap w:val="0"/>
            <w:vAlign w:val="center"/>
          </w:tcPr>
          <w:p w14:paraId="5BD4546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环境影响咨询服务费</w:t>
            </w:r>
          </w:p>
        </w:tc>
        <w:tc>
          <w:tcPr>
            <w:tcW w:w="148" w:type="pct"/>
            <w:noWrap w:val="0"/>
            <w:vAlign w:val="center"/>
          </w:tcPr>
          <w:p w14:paraId="3018DE8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49B5B12E">
            <w:pPr>
              <w:jc w:val="center"/>
              <w:rPr>
                <w:rFonts w:ascii="Times New Roman" w:hAnsi="Times New Roman" w:eastAsia="宋体" w:cs="宋体"/>
                <w:color w:val="auto"/>
                <w:sz w:val="21"/>
                <w:szCs w:val="21"/>
              </w:rPr>
            </w:pPr>
          </w:p>
        </w:tc>
        <w:tc>
          <w:tcPr>
            <w:tcW w:w="1317" w:type="dxa"/>
            <w:noWrap w:val="0"/>
            <w:vAlign w:val="center"/>
          </w:tcPr>
          <w:p w14:paraId="02710C87">
            <w:pPr>
              <w:jc w:val="center"/>
              <w:rPr>
                <w:rFonts w:ascii="Times New Roman" w:hAnsi="Times New Roman" w:eastAsia="宋体" w:cs="宋体"/>
                <w:color w:val="auto"/>
                <w:sz w:val="21"/>
                <w:szCs w:val="21"/>
              </w:rPr>
            </w:pPr>
          </w:p>
        </w:tc>
        <w:tc>
          <w:tcPr>
            <w:tcW w:w="1317" w:type="dxa"/>
            <w:noWrap w:val="0"/>
            <w:vAlign w:val="center"/>
          </w:tcPr>
          <w:p w14:paraId="6486EF4C">
            <w:pPr>
              <w:jc w:val="center"/>
              <w:rPr>
                <w:rFonts w:ascii="Times New Roman" w:hAnsi="Times New Roman" w:eastAsia="宋体" w:cs="宋体"/>
                <w:color w:val="auto"/>
                <w:sz w:val="21"/>
                <w:szCs w:val="21"/>
              </w:rPr>
            </w:pPr>
          </w:p>
        </w:tc>
        <w:tc>
          <w:tcPr>
            <w:tcW w:w="1545" w:type="dxa"/>
            <w:noWrap w:val="0"/>
            <w:vAlign w:val="center"/>
          </w:tcPr>
          <w:p w14:paraId="1C879200">
            <w:pPr>
              <w:jc w:val="center"/>
              <w:rPr>
                <w:rFonts w:ascii="Times New Roman" w:hAnsi="Times New Roman" w:eastAsia="宋体" w:cs="宋体"/>
                <w:color w:val="auto"/>
                <w:sz w:val="21"/>
                <w:szCs w:val="21"/>
              </w:rPr>
            </w:pPr>
          </w:p>
        </w:tc>
        <w:tc>
          <w:tcPr>
            <w:tcW w:w="1177" w:type="dxa"/>
            <w:noWrap w:val="0"/>
            <w:vAlign w:val="center"/>
          </w:tcPr>
          <w:p w14:paraId="09AA5B8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4.54</w:t>
            </w:r>
          </w:p>
        </w:tc>
        <w:tc>
          <w:tcPr>
            <w:tcW w:w="1622" w:type="dxa"/>
            <w:noWrap w:val="0"/>
            <w:vAlign w:val="center"/>
          </w:tcPr>
          <w:p w14:paraId="2238C4C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4.54</w:t>
            </w:r>
          </w:p>
        </w:tc>
        <w:tc>
          <w:tcPr>
            <w:tcW w:w="1234" w:type="dxa"/>
            <w:noWrap w:val="0"/>
            <w:vAlign w:val="center"/>
          </w:tcPr>
          <w:p w14:paraId="2233DD32">
            <w:pPr>
              <w:jc w:val="center"/>
              <w:rPr>
                <w:rFonts w:ascii="Times New Roman" w:hAnsi="Times New Roman" w:eastAsia="宋体" w:cs="宋体"/>
                <w:color w:val="auto"/>
                <w:sz w:val="21"/>
                <w:szCs w:val="21"/>
              </w:rPr>
            </w:pPr>
          </w:p>
        </w:tc>
        <w:tc>
          <w:tcPr>
            <w:tcW w:w="507" w:type="pct"/>
            <w:noWrap w:val="0"/>
            <w:vAlign w:val="center"/>
          </w:tcPr>
          <w:p w14:paraId="250EA72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计价格〔2002〕125号</w:t>
            </w:r>
          </w:p>
        </w:tc>
      </w:tr>
      <w:tr w14:paraId="3E2FC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261" w:type="pct"/>
            <w:noWrap w:val="0"/>
            <w:vAlign w:val="center"/>
          </w:tcPr>
          <w:p w14:paraId="79D3DB6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7</w:t>
            </w:r>
          </w:p>
        </w:tc>
        <w:tc>
          <w:tcPr>
            <w:tcW w:w="855" w:type="pct"/>
            <w:noWrap w:val="0"/>
            <w:vAlign w:val="center"/>
          </w:tcPr>
          <w:p w14:paraId="399BF19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劳动安全卫生评审费</w:t>
            </w:r>
          </w:p>
        </w:tc>
        <w:tc>
          <w:tcPr>
            <w:tcW w:w="148" w:type="pct"/>
            <w:noWrap w:val="0"/>
            <w:vAlign w:val="center"/>
          </w:tcPr>
          <w:p w14:paraId="0A4AA9C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089E67ED">
            <w:pPr>
              <w:jc w:val="center"/>
              <w:rPr>
                <w:rFonts w:ascii="Times New Roman" w:hAnsi="Times New Roman" w:eastAsia="宋体" w:cs="宋体"/>
                <w:color w:val="auto"/>
                <w:sz w:val="21"/>
                <w:szCs w:val="21"/>
              </w:rPr>
            </w:pPr>
          </w:p>
        </w:tc>
        <w:tc>
          <w:tcPr>
            <w:tcW w:w="1317" w:type="dxa"/>
            <w:noWrap w:val="0"/>
            <w:vAlign w:val="center"/>
          </w:tcPr>
          <w:p w14:paraId="41B352E5">
            <w:pPr>
              <w:jc w:val="center"/>
              <w:rPr>
                <w:rFonts w:ascii="Times New Roman" w:hAnsi="Times New Roman" w:eastAsia="宋体" w:cs="宋体"/>
                <w:color w:val="auto"/>
                <w:sz w:val="21"/>
                <w:szCs w:val="21"/>
              </w:rPr>
            </w:pPr>
          </w:p>
        </w:tc>
        <w:tc>
          <w:tcPr>
            <w:tcW w:w="1317" w:type="dxa"/>
            <w:noWrap w:val="0"/>
            <w:vAlign w:val="center"/>
          </w:tcPr>
          <w:p w14:paraId="7F29CADA">
            <w:pPr>
              <w:jc w:val="center"/>
              <w:rPr>
                <w:rFonts w:ascii="Times New Roman" w:hAnsi="Times New Roman" w:eastAsia="宋体" w:cs="宋体"/>
                <w:color w:val="auto"/>
                <w:sz w:val="21"/>
                <w:szCs w:val="21"/>
              </w:rPr>
            </w:pPr>
          </w:p>
        </w:tc>
        <w:tc>
          <w:tcPr>
            <w:tcW w:w="1545" w:type="dxa"/>
            <w:noWrap w:val="0"/>
            <w:vAlign w:val="center"/>
          </w:tcPr>
          <w:p w14:paraId="3F66A054">
            <w:pPr>
              <w:jc w:val="center"/>
              <w:rPr>
                <w:rFonts w:ascii="Times New Roman" w:hAnsi="Times New Roman" w:eastAsia="宋体" w:cs="宋体"/>
                <w:color w:val="auto"/>
                <w:sz w:val="21"/>
                <w:szCs w:val="21"/>
              </w:rPr>
            </w:pPr>
          </w:p>
        </w:tc>
        <w:tc>
          <w:tcPr>
            <w:tcW w:w="1177" w:type="dxa"/>
            <w:noWrap w:val="0"/>
            <w:vAlign w:val="center"/>
          </w:tcPr>
          <w:p w14:paraId="616423E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6</w:t>
            </w:r>
          </w:p>
        </w:tc>
        <w:tc>
          <w:tcPr>
            <w:tcW w:w="1622" w:type="dxa"/>
            <w:noWrap w:val="0"/>
            <w:vAlign w:val="center"/>
          </w:tcPr>
          <w:p w14:paraId="51A69A1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6.00</w:t>
            </w:r>
          </w:p>
        </w:tc>
        <w:tc>
          <w:tcPr>
            <w:tcW w:w="1234" w:type="dxa"/>
            <w:noWrap w:val="0"/>
            <w:vAlign w:val="center"/>
          </w:tcPr>
          <w:p w14:paraId="7578187D">
            <w:pPr>
              <w:jc w:val="center"/>
              <w:rPr>
                <w:rFonts w:ascii="Times New Roman" w:hAnsi="Times New Roman" w:eastAsia="宋体" w:cs="宋体"/>
                <w:color w:val="auto"/>
                <w:sz w:val="21"/>
                <w:szCs w:val="21"/>
              </w:rPr>
            </w:pPr>
          </w:p>
        </w:tc>
        <w:tc>
          <w:tcPr>
            <w:tcW w:w="507" w:type="pct"/>
            <w:noWrap w:val="0"/>
            <w:vAlign w:val="center"/>
          </w:tcPr>
          <w:p w14:paraId="44AFF7E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352E5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4D7E186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8</w:t>
            </w:r>
          </w:p>
        </w:tc>
        <w:tc>
          <w:tcPr>
            <w:tcW w:w="855" w:type="pct"/>
            <w:noWrap w:val="0"/>
            <w:vAlign w:val="center"/>
          </w:tcPr>
          <w:p w14:paraId="3BB37D1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场地准备及临时施设费</w:t>
            </w:r>
          </w:p>
        </w:tc>
        <w:tc>
          <w:tcPr>
            <w:tcW w:w="148" w:type="pct"/>
            <w:noWrap w:val="0"/>
            <w:vAlign w:val="center"/>
          </w:tcPr>
          <w:p w14:paraId="211CD41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3C1C9D8E">
            <w:pPr>
              <w:jc w:val="center"/>
              <w:rPr>
                <w:rFonts w:ascii="Times New Roman" w:hAnsi="Times New Roman" w:eastAsia="宋体" w:cs="宋体"/>
                <w:color w:val="auto"/>
                <w:sz w:val="21"/>
                <w:szCs w:val="21"/>
              </w:rPr>
            </w:pPr>
          </w:p>
        </w:tc>
        <w:tc>
          <w:tcPr>
            <w:tcW w:w="1317" w:type="dxa"/>
            <w:noWrap w:val="0"/>
            <w:vAlign w:val="center"/>
          </w:tcPr>
          <w:p w14:paraId="37E1693E">
            <w:pPr>
              <w:jc w:val="center"/>
              <w:rPr>
                <w:rFonts w:ascii="Times New Roman" w:hAnsi="Times New Roman" w:eastAsia="宋体" w:cs="宋体"/>
                <w:color w:val="auto"/>
                <w:sz w:val="21"/>
                <w:szCs w:val="21"/>
              </w:rPr>
            </w:pPr>
          </w:p>
        </w:tc>
        <w:tc>
          <w:tcPr>
            <w:tcW w:w="1317" w:type="dxa"/>
            <w:noWrap w:val="0"/>
            <w:vAlign w:val="center"/>
          </w:tcPr>
          <w:p w14:paraId="21CF2B82">
            <w:pPr>
              <w:jc w:val="center"/>
              <w:rPr>
                <w:rFonts w:ascii="Times New Roman" w:hAnsi="Times New Roman" w:eastAsia="宋体" w:cs="宋体"/>
                <w:color w:val="auto"/>
                <w:sz w:val="21"/>
                <w:szCs w:val="21"/>
              </w:rPr>
            </w:pPr>
          </w:p>
        </w:tc>
        <w:tc>
          <w:tcPr>
            <w:tcW w:w="1545" w:type="dxa"/>
            <w:noWrap w:val="0"/>
            <w:vAlign w:val="center"/>
          </w:tcPr>
          <w:p w14:paraId="5697C0DC">
            <w:pPr>
              <w:jc w:val="center"/>
              <w:rPr>
                <w:rFonts w:ascii="Times New Roman" w:hAnsi="Times New Roman" w:eastAsia="宋体" w:cs="宋体"/>
                <w:color w:val="auto"/>
                <w:sz w:val="21"/>
                <w:szCs w:val="21"/>
              </w:rPr>
            </w:pPr>
          </w:p>
        </w:tc>
        <w:tc>
          <w:tcPr>
            <w:tcW w:w="1177" w:type="dxa"/>
            <w:noWrap w:val="0"/>
            <w:vAlign w:val="center"/>
          </w:tcPr>
          <w:p w14:paraId="565C19D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10</w:t>
            </w:r>
          </w:p>
        </w:tc>
        <w:tc>
          <w:tcPr>
            <w:tcW w:w="1622" w:type="dxa"/>
            <w:noWrap w:val="0"/>
            <w:vAlign w:val="center"/>
          </w:tcPr>
          <w:p w14:paraId="2CF7DD3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10.00</w:t>
            </w:r>
          </w:p>
        </w:tc>
        <w:tc>
          <w:tcPr>
            <w:tcW w:w="1234" w:type="dxa"/>
            <w:noWrap w:val="0"/>
            <w:vAlign w:val="center"/>
          </w:tcPr>
          <w:p w14:paraId="7B918A2C">
            <w:pPr>
              <w:jc w:val="center"/>
              <w:rPr>
                <w:rFonts w:ascii="Times New Roman" w:hAnsi="Times New Roman" w:eastAsia="宋体" w:cs="宋体"/>
                <w:color w:val="auto"/>
                <w:sz w:val="21"/>
                <w:szCs w:val="21"/>
              </w:rPr>
            </w:pPr>
          </w:p>
        </w:tc>
        <w:tc>
          <w:tcPr>
            <w:tcW w:w="507" w:type="pct"/>
            <w:noWrap w:val="0"/>
            <w:vAlign w:val="center"/>
          </w:tcPr>
          <w:p w14:paraId="4CFC9B7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4E73F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1" w:type="pct"/>
            <w:noWrap w:val="0"/>
            <w:vAlign w:val="center"/>
          </w:tcPr>
          <w:p w14:paraId="5805E0B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9</w:t>
            </w:r>
          </w:p>
        </w:tc>
        <w:tc>
          <w:tcPr>
            <w:tcW w:w="855" w:type="pct"/>
            <w:noWrap w:val="0"/>
            <w:vAlign w:val="center"/>
          </w:tcPr>
          <w:p w14:paraId="173131F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工程保险费</w:t>
            </w:r>
          </w:p>
        </w:tc>
        <w:tc>
          <w:tcPr>
            <w:tcW w:w="148" w:type="pct"/>
            <w:noWrap w:val="0"/>
            <w:vAlign w:val="center"/>
          </w:tcPr>
          <w:p w14:paraId="19D01BD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01646719">
            <w:pPr>
              <w:jc w:val="center"/>
              <w:rPr>
                <w:rFonts w:ascii="Times New Roman" w:hAnsi="Times New Roman" w:eastAsia="宋体" w:cs="宋体"/>
                <w:color w:val="auto"/>
                <w:sz w:val="21"/>
                <w:szCs w:val="21"/>
              </w:rPr>
            </w:pPr>
          </w:p>
        </w:tc>
        <w:tc>
          <w:tcPr>
            <w:tcW w:w="1317" w:type="dxa"/>
            <w:noWrap w:val="0"/>
            <w:vAlign w:val="center"/>
          </w:tcPr>
          <w:p w14:paraId="607CE35D">
            <w:pPr>
              <w:jc w:val="center"/>
              <w:rPr>
                <w:rFonts w:ascii="Times New Roman" w:hAnsi="Times New Roman" w:eastAsia="宋体" w:cs="宋体"/>
                <w:color w:val="auto"/>
                <w:sz w:val="21"/>
                <w:szCs w:val="21"/>
              </w:rPr>
            </w:pPr>
          </w:p>
        </w:tc>
        <w:tc>
          <w:tcPr>
            <w:tcW w:w="1317" w:type="dxa"/>
            <w:noWrap w:val="0"/>
            <w:vAlign w:val="center"/>
          </w:tcPr>
          <w:p w14:paraId="5CB2B5F7">
            <w:pPr>
              <w:jc w:val="center"/>
              <w:rPr>
                <w:rFonts w:ascii="Times New Roman" w:hAnsi="Times New Roman" w:eastAsia="宋体" w:cs="宋体"/>
                <w:color w:val="auto"/>
                <w:sz w:val="21"/>
                <w:szCs w:val="21"/>
              </w:rPr>
            </w:pPr>
          </w:p>
        </w:tc>
        <w:tc>
          <w:tcPr>
            <w:tcW w:w="1545" w:type="dxa"/>
            <w:noWrap w:val="0"/>
            <w:vAlign w:val="center"/>
          </w:tcPr>
          <w:p w14:paraId="2DBDF202">
            <w:pPr>
              <w:jc w:val="center"/>
              <w:rPr>
                <w:rFonts w:ascii="Times New Roman" w:hAnsi="Times New Roman" w:eastAsia="宋体" w:cs="宋体"/>
                <w:color w:val="auto"/>
                <w:sz w:val="21"/>
                <w:szCs w:val="21"/>
              </w:rPr>
            </w:pPr>
          </w:p>
        </w:tc>
        <w:tc>
          <w:tcPr>
            <w:tcW w:w="1177" w:type="dxa"/>
            <w:noWrap w:val="0"/>
            <w:vAlign w:val="center"/>
          </w:tcPr>
          <w:p w14:paraId="3C5A852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10</w:t>
            </w:r>
          </w:p>
        </w:tc>
        <w:tc>
          <w:tcPr>
            <w:tcW w:w="1622" w:type="dxa"/>
            <w:noWrap w:val="0"/>
            <w:vAlign w:val="center"/>
          </w:tcPr>
          <w:p w14:paraId="711C157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10.00</w:t>
            </w:r>
          </w:p>
        </w:tc>
        <w:tc>
          <w:tcPr>
            <w:tcW w:w="1234" w:type="dxa"/>
            <w:noWrap w:val="0"/>
            <w:vAlign w:val="center"/>
          </w:tcPr>
          <w:p w14:paraId="3AB04869">
            <w:pPr>
              <w:jc w:val="center"/>
              <w:rPr>
                <w:rFonts w:ascii="Times New Roman" w:hAnsi="Times New Roman" w:eastAsia="宋体" w:cs="宋体"/>
                <w:color w:val="auto"/>
                <w:sz w:val="21"/>
                <w:szCs w:val="21"/>
              </w:rPr>
            </w:pPr>
          </w:p>
        </w:tc>
        <w:tc>
          <w:tcPr>
            <w:tcW w:w="507" w:type="pct"/>
            <w:noWrap w:val="0"/>
            <w:vAlign w:val="center"/>
          </w:tcPr>
          <w:p w14:paraId="426A49F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35388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6CF3DCD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9"/>
                <w:sz w:val="21"/>
                <w:szCs w:val="21"/>
              </w:rPr>
              <w:t>10</w:t>
            </w:r>
          </w:p>
        </w:tc>
        <w:tc>
          <w:tcPr>
            <w:tcW w:w="855" w:type="pct"/>
            <w:noWrap w:val="0"/>
            <w:vAlign w:val="center"/>
          </w:tcPr>
          <w:p w14:paraId="4744F60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招标代理服务费</w:t>
            </w:r>
          </w:p>
        </w:tc>
        <w:tc>
          <w:tcPr>
            <w:tcW w:w="148" w:type="pct"/>
            <w:noWrap w:val="0"/>
            <w:vAlign w:val="center"/>
          </w:tcPr>
          <w:p w14:paraId="11CA6D9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483AFD55">
            <w:pPr>
              <w:jc w:val="center"/>
              <w:rPr>
                <w:rFonts w:ascii="Times New Roman" w:hAnsi="Times New Roman" w:eastAsia="宋体" w:cs="宋体"/>
                <w:color w:val="auto"/>
                <w:sz w:val="21"/>
                <w:szCs w:val="21"/>
              </w:rPr>
            </w:pPr>
          </w:p>
        </w:tc>
        <w:tc>
          <w:tcPr>
            <w:tcW w:w="1317" w:type="dxa"/>
            <w:noWrap w:val="0"/>
            <w:vAlign w:val="center"/>
          </w:tcPr>
          <w:p w14:paraId="7FB79398">
            <w:pPr>
              <w:jc w:val="center"/>
              <w:rPr>
                <w:rFonts w:ascii="Times New Roman" w:hAnsi="Times New Roman" w:eastAsia="宋体" w:cs="宋体"/>
                <w:color w:val="auto"/>
                <w:sz w:val="21"/>
                <w:szCs w:val="21"/>
              </w:rPr>
            </w:pPr>
          </w:p>
        </w:tc>
        <w:tc>
          <w:tcPr>
            <w:tcW w:w="1317" w:type="dxa"/>
            <w:noWrap w:val="0"/>
            <w:vAlign w:val="center"/>
          </w:tcPr>
          <w:p w14:paraId="411704A3">
            <w:pPr>
              <w:jc w:val="center"/>
              <w:rPr>
                <w:rFonts w:ascii="Times New Roman" w:hAnsi="Times New Roman" w:eastAsia="宋体" w:cs="宋体"/>
                <w:color w:val="auto"/>
                <w:sz w:val="21"/>
                <w:szCs w:val="21"/>
              </w:rPr>
            </w:pPr>
          </w:p>
        </w:tc>
        <w:tc>
          <w:tcPr>
            <w:tcW w:w="1545" w:type="dxa"/>
            <w:noWrap w:val="0"/>
            <w:vAlign w:val="center"/>
          </w:tcPr>
          <w:p w14:paraId="09ED4BAE">
            <w:pPr>
              <w:jc w:val="center"/>
              <w:rPr>
                <w:rFonts w:ascii="Times New Roman" w:hAnsi="Times New Roman" w:eastAsia="宋体" w:cs="宋体"/>
                <w:color w:val="auto"/>
                <w:sz w:val="21"/>
                <w:szCs w:val="21"/>
              </w:rPr>
            </w:pPr>
          </w:p>
        </w:tc>
        <w:tc>
          <w:tcPr>
            <w:tcW w:w="1177" w:type="dxa"/>
            <w:noWrap w:val="0"/>
            <w:vAlign w:val="center"/>
          </w:tcPr>
          <w:p w14:paraId="0CD5F2E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4</w:t>
            </w:r>
          </w:p>
        </w:tc>
        <w:tc>
          <w:tcPr>
            <w:tcW w:w="1622" w:type="dxa"/>
            <w:noWrap w:val="0"/>
            <w:vAlign w:val="center"/>
          </w:tcPr>
          <w:p w14:paraId="73F571D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4.00</w:t>
            </w:r>
          </w:p>
        </w:tc>
        <w:tc>
          <w:tcPr>
            <w:tcW w:w="1234" w:type="dxa"/>
            <w:noWrap w:val="0"/>
            <w:vAlign w:val="center"/>
          </w:tcPr>
          <w:p w14:paraId="2192BFDC">
            <w:pPr>
              <w:jc w:val="center"/>
              <w:rPr>
                <w:rFonts w:ascii="Times New Roman" w:hAnsi="Times New Roman" w:eastAsia="宋体" w:cs="宋体"/>
                <w:color w:val="auto"/>
                <w:sz w:val="21"/>
                <w:szCs w:val="21"/>
              </w:rPr>
            </w:pPr>
          </w:p>
        </w:tc>
        <w:tc>
          <w:tcPr>
            <w:tcW w:w="507" w:type="pct"/>
            <w:noWrap w:val="0"/>
            <w:vAlign w:val="center"/>
          </w:tcPr>
          <w:p w14:paraId="4B36A33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4"/>
                <w:sz w:val="21"/>
                <w:szCs w:val="21"/>
              </w:rPr>
              <w:t>由中标单位承担</w:t>
            </w:r>
          </w:p>
        </w:tc>
      </w:tr>
      <w:tr w14:paraId="35419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1" w:type="pct"/>
            <w:noWrap w:val="0"/>
            <w:vAlign w:val="center"/>
          </w:tcPr>
          <w:p w14:paraId="54BB4E8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0"/>
                <w:sz w:val="21"/>
                <w:szCs w:val="21"/>
              </w:rPr>
              <w:t>11</w:t>
            </w:r>
          </w:p>
        </w:tc>
        <w:tc>
          <w:tcPr>
            <w:tcW w:w="855" w:type="pct"/>
            <w:noWrap w:val="0"/>
            <w:vAlign w:val="center"/>
          </w:tcPr>
          <w:p w14:paraId="236F81D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工程量清单审核费</w:t>
            </w:r>
          </w:p>
        </w:tc>
        <w:tc>
          <w:tcPr>
            <w:tcW w:w="148" w:type="pct"/>
            <w:noWrap w:val="0"/>
            <w:vAlign w:val="center"/>
          </w:tcPr>
          <w:p w14:paraId="030E13D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6EE1F79A">
            <w:pPr>
              <w:jc w:val="center"/>
              <w:rPr>
                <w:rFonts w:ascii="Times New Roman" w:hAnsi="Times New Roman" w:eastAsia="宋体" w:cs="宋体"/>
                <w:color w:val="auto"/>
                <w:sz w:val="21"/>
                <w:szCs w:val="21"/>
              </w:rPr>
            </w:pPr>
          </w:p>
        </w:tc>
        <w:tc>
          <w:tcPr>
            <w:tcW w:w="1317" w:type="dxa"/>
            <w:noWrap w:val="0"/>
            <w:vAlign w:val="center"/>
          </w:tcPr>
          <w:p w14:paraId="084DF4CE">
            <w:pPr>
              <w:jc w:val="center"/>
              <w:rPr>
                <w:rFonts w:ascii="Times New Roman" w:hAnsi="Times New Roman" w:eastAsia="宋体" w:cs="宋体"/>
                <w:color w:val="auto"/>
                <w:sz w:val="21"/>
                <w:szCs w:val="21"/>
              </w:rPr>
            </w:pPr>
          </w:p>
        </w:tc>
        <w:tc>
          <w:tcPr>
            <w:tcW w:w="1317" w:type="dxa"/>
            <w:noWrap w:val="0"/>
            <w:vAlign w:val="center"/>
          </w:tcPr>
          <w:p w14:paraId="193037C8">
            <w:pPr>
              <w:jc w:val="center"/>
              <w:rPr>
                <w:rFonts w:ascii="Times New Roman" w:hAnsi="Times New Roman" w:eastAsia="宋体" w:cs="宋体"/>
                <w:color w:val="auto"/>
                <w:sz w:val="21"/>
                <w:szCs w:val="21"/>
              </w:rPr>
            </w:pPr>
          </w:p>
        </w:tc>
        <w:tc>
          <w:tcPr>
            <w:tcW w:w="1545" w:type="dxa"/>
            <w:noWrap w:val="0"/>
            <w:vAlign w:val="center"/>
          </w:tcPr>
          <w:p w14:paraId="06D1E132">
            <w:pPr>
              <w:jc w:val="center"/>
              <w:rPr>
                <w:rFonts w:ascii="Times New Roman" w:hAnsi="Times New Roman" w:eastAsia="宋体" w:cs="宋体"/>
                <w:color w:val="auto"/>
                <w:sz w:val="21"/>
                <w:szCs w:val="21"/>
              </w:rPr>
            </w:pPr>
          </w:p>
        </w:tc>
        <w:tc>
          <w:tcPr>
            <w:tcW w:w="1177" w:type="dxa"/>
            <w:noWrap w:val="0"/>
            <w:vAlign w:val="center"/>
          </w:tcPr>
          <w:p w14:paraId="35ED19F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7.77</w:t>
            </w:r>
          </w:p>
        </w:tc>
        <w:tc>
          <w:tcPr>
            <w:tcW w:w="1622" w:type="dxa"/>
            <w:noWrap w:val="0"/>
            <w:vAlign w:val="center"/>
          </w:tcPr>
          <w:p w14:paraId="5E0134A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7.77</w:t>
            </w:r>
          </w:p>
        </w:tc>
        <w:tc>
          <w:tcPr>
            <w:tcW w:w="1234" w:type="dxa"/>
            <w:noWrap w:val="0"/>
            <w:vAlign w:val="center"/>
          </w:tcPr>
          <w:p w14:paraId="7C727547">
            <w:pPr>
              <w:jc w:val="center"/>
              <w:rPr>
                <w:rFonts w:ascii="Times New Roman" w:hAnsi="Times New Roman" w:eastAsia="宋体" w:cs="宋体"/>
                <w:color w:val="auto"/>
                <w:sz w:val="21"/>
                <w:szCs w:val="21"/>
              </w:rPr>
            </w:pPr>
          </w:p>
        </w:tc>
        <w:tc>
          <w:tcPr>
            <w:tcW w:w="507" w:type="pct"/>
            <w:noWrap w:val="0"/>
            <w:vAlign w:val="center"/>
          </w:tcPr>
          <w:p w14:paraId="3B0A9D8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5A471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3115962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9"/>
                <w:sz w:val="21"/>
                <w:szCs w:val="21"/>
              </w:rPr>
              <w:t>12</w:t>
            </w:r>
          </w:p>
        </w:tc>
        <w:tc>
          <w:tcPr>
            <w:tcW w:w="855" w:type="pct"/>
            <w:noWrap w:val="0"/>
            <w:vAlign w:val="center"/>
          </w:tcPr>
          <w:p w14:paraId="21B7FC4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施工图审查费</w:t>
            </w:r>
          </w:p>
        </w:tc>
        <w:tc>
          <w:tcPr>
            <w:tcW w:w="148" w:type="pct"/>
            <w:noWrap w:val="0"/>
            <w:vAlign w:val="center"/>
          </w:tcPr>
          <w:p w14:paraId="082C5C2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346A4C58">
            <w:pPr>
              <w:jc w:val="center"/>
              <w:rPr>
                <w:rFonts w:ascii="Times New Roman" w:hAnsi="Times New Roman" w:eastAsia="宋体" w:cs="宋体"/>
                <w:color w:val="auto"/>
                <w:sz w:val="21"/>
                <w:szCs w:val="21"/>
              </w:rPr>
            </w:pPr>
          </w:p>
        </w:tc>
        <w:tc>
          <w:tcPr>
            <w:tcW w:w="1317" w:type="dxa"/>
            <w:noWrap w:val="0"/>
            <w:vAlign w:val="center"/>
          </w:tcPr>
          <w:p w14:paraId="577B7053">
            <w:pPr>
              <w:jc w:val="center"/>
              <w:rPr>
                <w:rFonts w:ascii="Times New Roman" w:hAnsi="Times New Roman" w:eastAsia="宋体" w:cs="宋体"/>
                <w:color w:val="auto"/>
                <w:sz w:val="21"/>
                <w:szCs w:val="21"/>
              </w:rPr>
            </w:pPr>
          </w:p>
        </w:tc>
        <w:tc>
          <w:tcPr>
            <w:tcW w:w="1317" w:type="dxa"/>
            <w:noWrap w:val="0"/>
            <w:vAlign w:val="center"/>
          </w:tcPr>
          <w:p w14:paraId="6618FBA3">
            <w:pPr>
              <w:jc w:val="center"/>
              <w:rPr>
                <w:rFonts w:ascii="Times New Roman" w:hAnsi="Times New Roman" w:eastAsia="宋体" w:cs="宋体"/>
                <w:color w:val="auto"/>
                <w:sz w:val="21"/>
                <w:szCs w:val="21"/>
              </w:rPr>
            </w:pPr>
          </w:p>
        </w:tc>
        <w:tc>
          <w:tcPr>
            <w:tcW w:w="1545" w:type="dxa"/>
            <w:noWrap w:val="0"/>
            <w:vAlign w:val="center"/>
          </w:tcPr>
          <w:p w14:paraId="2E295035">
            <w:pPr>
              <w:jc w:val="center"/>
              <w:rPr>
                <w:rFonts w:ascii="Times New Roman" w:hAnsi="Times New Roman" w:eastAsia="宋体" w:cs="宋体"/>
                <w:color w:val="auto"/>
                <w:sz w:val="21"/>
                <w:szCs w:val="21"/>
              </w:rPr>
            </w:pPr>
          </w:p>
        </w:tc>
        <w:tc>
          <w:tcPr>
            <w:tcW w:w="1177" w:type="dxa"/>
            <w:noWrap w:val="0"/>
            <w:vAlign w:val="center"/>
          </w:tcPr>
          <w:p w14:paraId="5C4ACAB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7.81</w:t>
            </w:r>
          </w:p>
        </w:tc>
        <w:tc>
          <w:tcPr>
            <w:tcW w:w="1622" w:type="dxa"/>
            <w:noWrap w:val="0"/>
            <w:vAlign w:val="center"/>
          </w:tcPr>
          <w:p w14:paraId="5BCAF6C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7.81</w:t>
            </w:r>
          </w:p>
        </w:tc>
        <w:tc>
          <w:tcPr>
            <w:tcW w:w="1234" w:type="dxa"/>
            <w:noWrap w:val="0"/>
            <w:vAlign w:val="center"/>
          </w:tcPr>
          <w:p w14:paraId="48FA813E">
            <w:pPr>
              <w:jc w:val="center"/>
              <w:rPr>
                <w:rFonts w:ascii="Times New Roman" w:hAnsi="Times New Roman" w:eastAsia="宋体" w:cs="宋体"/>
                <w:color w:val="auto"/>
                <w:sz w:val="21"/>
                <w:szCs w:val="21"/>
              </w:rPr>
            </w:pPr>
          </w:p>
        </w:tc>
        <w:tc>
          <w:tcPr>
            <w:tcW w:w="507" w:type="pct"/>
            <w:noWrap w:val="0"/>
            <w:vAlign w:val="center"/>
          </w:tcPr>
          <w:p w14:paraId="3E759D4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70A17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261" w:type="pct"/>
            <w:noWrap w:val="0"/>
            <w:vAlign w:val="center"/>
          </w:tcPr>
          <w:p w14:paraId="0712770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三</w:t>
            </w:r>
          </w:p>
        </w:tc>
        <w:tc>
          <w:tcPr>
            <w:tcW w:w="855" w:type="pct"/>
            <w:noWrap w:val="0"/>
            <w:vAlign w:val="center"/>
          </w:tcPr>
          <w:p w14:paraId="6419A79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预备费</w:t>
            </w:r>
          </w:p>
        </w:tc>
        <w:tc>
          <w:tcPr>
            <w:tcW w:w="148" w:type="pct"/>
            <w:noWrap w:val="0"/>
            <w:vAlign w:val="center"/>
          </w:tcPr>
          <w:p w14:paraId="08DC8DE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5A29A109">
            <w:pPr>
              <w:jc w:val="center"/>
              <w:rPr>
                <w:rFonts w:ascii="Times New Roman" w:hAnsi="Times New Roman" w:eastAsia="宋体" w:cs="宋体"/>
                <w:color w:val="auto"/>
                <w:sz w:val="21"/>
                <w:szCs w:val="21"/>
              </w:rPr>
            </w:pPr>
          </w:p>
        </w:tc>
        <w:tc>
          <w:tcPr>
            <w:tcW w:w="1317" w:type="dxa"/>
            <w:noWrap w:val="0"/>
            <w:vAlign w:val="center"/>
          </w:tcPr>
          <w:p w14:paraId="0EDF9BCF">
            <w:pPr>
              <w:jc w:val="center"/>
              <w:rPr>
                <w:rFonts w:ascii="Times New Roman" w:hAnsi="Times New Roman" w:eastAsia="宋体" w:cs="宋体"/>
                <w:color w:val="auto"/>
                <w:sz w:val="21"/>
                <w:szCs w:val="21"/>
              </w:rPr>
            </w:pPr>
          </w:p>
        </w:tc>
        <w:tc>
          <w:tcPr>
            <w:tcW w:w="1317" w:type="dxa"/>
            <w:noWrap w:val="0"/>
            <w:vAlign w:val="center"/>
          </w:tcPr>
          <w:p w14:paraId="4302CE92">
            <w:pPr>
              <w:jc w:val="center"/>
              <w:rPr>
                <w:rFonts w:ascii="Times New Roman" w:hAnsi="Times New Roman" w:eastAsia="宋体" w:cs="宋体"/>
                <w:color w:val="auto"/>
                <w:sz w:val="21"/>
                <w:szCs w:val="21"/>
              </w:rPr>
            </w:pPr>
          </w:p>
        </w:tc>
        <w:tc>
          <w:tcPr>
            <w:tcW w:w="1545" w:type="dxa"/>
            <w:noWrap w:val="0"/>
            <w:vAlign w:val="center"/>
          </w:tcPr>
          <w:p w14:paraId="422E86CB">
            <w:pPr>
              <w:jc w:val="center"/>
              <w:rPr>
                <w:rFonts w:ascii="Times New Roman" w:hAnsi="Times New Roman" w:eastAsia="宋体" w:cs="宋体"/>
                <w:color w:val="auto"/>
                <w:sz w:val="21"/>
                <w:szCs w:val="21"/>
              </w:rPr>
            </w:pPr>
          </w:p>
        </w:tc>
        <w:tc>
          <w:tcPr>
            <w:tcW w:w="1177" w:type="dxa"/>
            <w:noWrap w:val="0"/>
            <w:vAlign w:val="center"/>
          </w:tcPr>
          <w:p w14:paraId="3F152E1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128.13</w:t>
            </w:r>
          </w:p>
        </w:tc>
        <w:tc>
          <w:tcPr>
            <w:tcW w:w="1622" w:type="dxa"/>
            <w:noWrap w:val="0"/>
            <w:vAlign w:val="center"/>
          </w:tcPr>
          <w:p w14:paraId="18FB322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128.13</w:t>
            </w:r>
          </w:p>
        </w:tc>
        <w:tc>
          <w:tcPr>
            <w:tcW w:w="1234" w:type="dxa"/>
            <w:noWrap w:val="0"/>
            <w:vAlign w:val="center"/>
          </w:tcPr>
          <w:p w14:paraId="63D3FAE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2.08%</w:t>
            </w:r>
          </w:p>
        </w:tc>
        <w:tc>
          <w:tcPr>
            <w:tcW w:w="507" w:type="pct"/>
            <w:noWrap w:val="0"/>
            <w:vAlign w:val="center"/>
          </w:tcPr>
          <w:p w14:paraId="70B7C12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69C55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0ADA4F7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1</w:t>
            </w:r>
          </w:p>
        </w:tc>
        <w:tc>
          <w:tcPr>
            <w:tcW w:w="855" w:type="pct"/>
            <w:noWrap w:val="0"/>
            <w:vAlign w:val="center"/>
          </w:tcPr>
          <w:p w14:paraId="342311D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基本预备费</w:t>
            </w:r>
          </w:p>
        </w:tc>
        <w:tc>
          <w:tcPr>
            <w:tcW w:w="148" w:type="pct"/>
            <w:noWrap w:val="0"/>
            <w:vAlign w:val="center"/>
          </w:tcPr>
          <w:p w14:paraId="4BCD0CE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77AA5113">
            <w:pPr>
              <w:jc w:val="center"/>
              <w:rPr>
                <w:rFonts w:ascii="Times New Roman" w:hAnsi="Times New Roman" w:eastAsia="宋体" w:cs="宋体"/>
                <w:color w:val="auto"/>
                <w:sz w:val="21"/>
                <w:szCs w:val="21"/>
              </w:rPr>
            </w:pPr>
          </w:p>
        </w:tc>
        <w:tc>
          <w:tcPr>
            <w:tcW w:w="1317" w:type="dxa"/>
            <w:noWrap w:val="0"/>
            <w:vAlign w:val="center"/>
          </w:tcPr>
          <w:p w14:paraId="22342422">
            <w:pPr>
              <w:jc w:val="center"/>
              <w:rPr>
                <w:rFonts w:ascii="Times New Roman" w:hAnsi="Times New Roman" w:eastAsia="宋体" w:cs="宋体"/>
                <w:color w:val="auto"/>
                <w:sz w:val="21"/>
                <w:szCs w:val="21"/>
              </w:rPr>
            </w:pPr>
          </w:p>
        </w:tc>
        <w:tc>
          <w:tcPr>
            <w:tcW w:w="1317" w:type="dxa"/>
            <w:noWrap w:val="0"/>
            <w:vAlign w:val="center"/>
          </w:tcPr>
          <w:p w14:paraId="43B68997">
            <w:pPr>
              <w:jc w:val="center"/>
              <w:rPr>
                <w:rFonts w:ascii="Times New Roman" w:hAnsi="Times New Roman" w:eastAsia="宋体" w:cs="宋体"/>
                <w:color w:val="auto"/>
                <w:sz w:val="21"/>
                <w:szCs w:val="21"/>
              </w:rPr>
            </w:pPr>
          </w:p>
        </w:tc>
        <w:tc>
          <w:tcPr>
            <w:tcW w:w="1545" w:type="dxa"/>
            <w:noWrap w:val="0"/>
            <w:vAlign w:val="center"/>
          </w:tcPr>
          <w:p w14:paraId="14A68470">
            <w:pPr>
              <w:jc w:val="center"/>
              <w:rPr>
                <w:rFonts w:ascii="Times New Roman" w:hAnsi="Times New Roman" w:eastAsia="宋体" w:cs="宋体"/>
                <w:color w:val="auto"/>
                <w:sz w:val="21"/>
                <w:szCs w:val="21"/>
              </w:rPr>
            </w:pPr>
          </w:p>
        </w:tc>
        <w:tc>
          <w:tcPr>
            <w:tcW w:w="1177" w:type="dxa"/>
            <w:noWrap w:val="0"/>
            <w:vAlign w:val="center"/>
          </w:tcPr>
          <w:p w14:paraId="0DEBB52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128.13</w:t>
            </w:r>
          </w:p>
        </w:tc>
        <w:tc>
          <w:tcPr>
            <w:tcW w:w="1622" w:type="dxa"/>
            <w:noWrap w:val="0"/>
            <w:vAlign w:val="center"/>
          </w:tcPr>
          <w:p w14:paraId="1D9DFAB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128.13</w:t>
            </w:r>
          </w:p>
        </w:tc>
        <w:tc>
          <w:tcPr>
            <w:tcW w:w="1234" w:type="dxa"/>
            <w:noWrap w:val="0"/>
            <w:vAlign w:val="center"/>
          </w:tcPr>
          <w:p w14:paraId="2C62F7A4">
            <w:pPr>
              <w:jc w:val="center"/>
              <w:rPr>
                <w:rFonts w:ascii="Times New Roman" w:hAnsi="Times New Roman" w:eastAsia="宋体" w:cs="宋体"/>
                <w:color w:val="auto"/>
                <w:sz w:val="21"/>
                <w:szCs w:val="21"/>
              </w:rPr>
            </w:pPr>
          </w:p>
        </w:tc>
        <w:tc>
          <w:tcPr>
            <w:tcW w:w="507" w:type="pct"/>
            <w:noWrap w:val="0"/>
            <w:vAlign w:val="center"/>
          </w:tcPr>
          <w:p w14:paraId="552F445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[一+二]*5%</w:t>
            </w:r>
          </w:p>
        </w:tc>
      </w:tr>
      <w:tr w14:paraId="3A589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672A342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2</w:t>
            </w:r>
          </w:p>
        </w:tc>
        <w:tc>
          <w:tcPr>
            <w:tcW w:w="855" w:type="pct"/>
            <w:noWrap w:val="0"/>
            <w:vAlign w:val="center"/>
          </w:tcPr>
          <w:p w14:paraId="22B1615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涨价预备费</w:t>
            </w:r>
          </w:p>
        </w:tc>
        <w:tc>
          <w:tcPr>
            <w:tcW w:w="148" w:type="pct"/>
            <w:noWrap w:val="0"/>
            <w:vAlign w:val="center"/>
          </w:tcPr>
          <w:p w14:paraId="5532D68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48DCA65E">
            <w:pPr>
              <w:jc w:val="center"/>
              <w:rPr>
                <w:rFonts w:ascii="Times New Roman" w:hAnsi="Times New Roman" w:eastAsia="宋体" w:cs="宋体"/>
                <w:color w:val="auto"/>
                <w:sz w:val="21"/>
                <w:szCs w:val="21"/>
              </w:rPr>
            </w:pPr>
          </w:p>
        </w:tc>
        <w:tc>
          <w:tcPr>
            <w:tcW w:w="1317" w:type="dxa"/>
            <w:noWrap w:val="0"/>
            <w:vAlign w:val="center"/>
          </w:tcPr>
          <w:p w14:paraId="56797200">
            <w:pPr>
              <w:jc w:val="center"/>
              <w:rPr>
                <w:rFonts w:ascii="Times New Roman" w:hAnsi="Times New Roman" w:eastAsia="宋体" w:cs="宋体"/>
                <w:color w:val="auto"/>
                <w:sz w:val="21"/>
                <w:szCs w:val="21"/>
              </w:rPr>
            </w:pPr>
          </w:p>
        </w:tc>
        <w:tc>
          <w:tcPr>
            <w:tcW w:w="1317" w:type="dxa"/>
            <w:noWrap w:val="0"/>
            <w:vAlign w:val="center"/>
          </w:tcPr>
          <w:p w14:paraId="060A8D65">
            <w:pPr>
              <w:jc w:val="center"/>
              <w:rPr>
                <w:rFonts w:ascii="Times New Roman" w:hAnsi="Times New Roman" w:eastAsia="宋体" w:cs="宋体"/>
                <w:color w:val="auto"/>
                <w:sz w:val="21"/>
                <w:szCs w:val="21"/>
              </w:rPr>
            </w:pPr>
          </w:p>
        </w:tc>
        <w:tc>
          <w:tcPr>
            <w:tcW w:w="1545" w:type="dxa"/>
            <w:noWrap w:val="0"/>
            <w:vAlign w:val="center"/>
          </w:tcPr>
          <w:p w14:paraId="43C69A3E">
            <w:pPr>
              <w:jc w:val="center"/>
              <w:rPr>
                <w:rFonts w:ascii="Times New Roman" w:hAnsi="Times New Roman" w:eastAsia="宋体" w:cs="宋体"/>
                <w:color w:val="auto"/>
                <w:sz w:val="21"/>
                <w:szCs w:val="21"/>
              </w:rPr>
            </w:pPr>
          </w:p>
        </w:tc>
        <w:tc>
          <w:tcPr>
            <w:tcW w:w="1177" w:type="dxa"/>
            <w:noWrap w:val="0"/>
            <w:vAlign w:val="center"/>
          </w:tcPr>
          <w:p w14:paraId="3E116E1F">
            <w:pPr>
              <w:jc w:val="center"/>
              <w:rPr>
                <w:rFonts w:ascii="Times New Roman" w:hAnsi="Times New Roman" w:eastAsia="宋体" w:cs="宋体"/>
                <w:color w:val="auto"/>
                <w:sz w:val="21"/>
                <w:szCs w:val="21"/>
              </w:rPr>
            </w:pPr>
          </w:p>
        </w:tc>
        <w:tc>
          <w:tcPr>
            <w:tcW w:w="1622" w:type="dxa"/>
            <w:noWrap w:val="0"/>
            <w:vAlign w:val="center"/>
          </w:tcPr>
          <w:p w14:paraId="467EBC1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234" w:type="dxa"/>
            <w:noWrap w:val="0"/>
            <w:vAlign w:val="center"/>
          </w:tcPr>
          <w:p w14:paraId="5AAC0746">
            <w:pPr>
              <w:jc w:val="center"/>
              <w:rPr>
                <w:rFonts w:ascii="Times New Roman" w:hAnsi="Times New Roman" w:eastAsia="宋体" w:cs="宋体"/>
                <w:color w:val="auto"/>
                <w:sz w:val="21"/>
                <w:szCs w:val="21"/>
              </w:rPr>
            </w:pPr>
          </w:p>
        </w:tc>
        <w:tc>
          <w:tcPr>
            <w:tcW w:w="507" w:type="pct"/>
            <w:noWrap w:val="0"/>
            <w:vAlign w:val="center"/>
          </w:tcPr>
          <w:p w14:paraId="60D4A5A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按规定不计</w:t>
            </w:r>
          </w:p>
        </w:tc>
      </w:tr>
      <w:tr w14:paraId="366A9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1" w:type="pct"/>
            <w:noWrap w:val="0"/>
            <w:vAlign w:val="center"/>
          </w:tcPr>
          <w:p w14:paraId="28622FF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z w:val="21"/>
                <w:szCs w:val="21"/>
              </w:rPr>
              <w:t>四</w:t>
            </w:r>
          </w:p>
        </w:tc>
        <w:tc>
          <w:tcPr>
            <w:tcW w:w="855" w:type="pct"/>
            <w:noWrap w:val="0"/>
            <w:vAlign w:val="center"/>
          </w:tcPr>
          <w:p w14:paraId="72B61A1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1"/>
                <w:sz w:val="21"/>
                <w:szCs w:val="21"/>
              </w:rPr>
              <w:t>铺底流动资金</w:t>
            </w:r>
          </w:p>
        </w:tc>
        <w:tc>
          <w:tcPr>
            <w:tcW w:w="148" w:type="pct"/>
            <w:noWrap w:val="0"/>
            <w:vAlign w:val="center"/>
          </w:tcPr>
          <w:p w14:paraId="5A8DB8B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59112622">
            <w:pPr>
              <w:jc w:val="center"/>
              <w:rPr>
                <w:rFonts w:ascii="Times New Roman" w:hAnsi="Times New Roman" w:eastAsia="宋体" w:cs="宋体"/>
                <w:color w:val="auto"/>
                <w:sz w:val="21"/>
                <w:szCs w:val="21"/>
              </w:rPr>
            </w:pPr>
          </w:p>
        </w:tc>
        <w:tc>
          <w:tcPr>
            <w:tcW w:w="1317" w:type="dxa"/>
            <w:noWrap w:val="0"/>
            <w:vAlign w:val="center"/>
          </w:tcPr>
          <w:p w14:paraId="23471D23">
            <w:pPr>
              <w:jc w:val="center"/>
              <w:rPr>
                <w:rFonts w:ascii="Times New Roman" w:hAnsi="Times New Roman" w:eastAsia="宋体" w:cs="宋体"/>
                <w:color w:val="auto"/>
                <w:sz w:val="21"/>
                <w:szCs w:val="21"/>
              </w:rPr>
            </w:pPr>
          </w:p>
        </w:tc>
        <w:tc>
          <w:tcPr>
            <w:tcW w:w="1317" w:type="dxa"/>
            <w:noWrap w:val="0"/>
            <w:vAlign w:val="center"/>
          </w:tcPr>
          <w:p w14:paraId="29E9B9E8">
            <w:pPr>
              <w:jc w:val="center"/>
              <w:rPr>
                <w:rFonts w:ascii="Times New Roman" w:hAnsi="Times New Roman" w:eastAsia="宋体" w:cs="宋体"/>
                <w:color w:val="auto"/>
                <w:sz w:val="21"/>
                <w:szCs w:val="21"/>
              </w:rPr>
            </w:pPr>
          </w:p>
        </w:tc>
        <w:tc>
          <w:tcPr>
            <w:tcW w:w="1545" w:type="dxa"/>
            <w:noWrap w:val="0"/>
            <w:vAlign w:val="center"/>
          </w:tcPr>
          <w:p w14:paraId="1D50ECF9">
            <w:pPr>
              <w:jc w:val="center"/>
              <w:rPr>
                <w:rFonts w:ascii="Times New Roman" w:hAnsi="Times New Roman" w:eastAsia="宋体" w:cs="宋体"/>
                <w:color w:val="auto"/>
                <w:sz w:val="21"/>
                <w:szCs w:val="21"/>
              </w:rPr>
            </w:pPr>
          </w:p>
        </w:tc>
        <w:tc>
          <w:tcPr>
            <w:tcW w:w="1177" w:type="dxa"/>
            <w:noWrap w:val="0"/>
            <w:vAlign w:val="center"/>
          </w:tcPr>
          <w:p w14:paraId="7490056B">
            <w:pPr>
              <w:jc w:val="center"/>
              <w:rPr>
                <w:rFonts w:ascii="Times New Roman" w:hAnsi="Times New Roman" w:eastAsia="宋体" w:cs="宋体"/>
                <w:color w:val="auto"/>
                <w:sz w:val="21"/>
                <w:szCs w:val="21"/>
              </w:rPr>
            </w:pPr>
          </w:p>
        </w:tc>
        <w:tc>
          <w:tcPr>
            <w:tcW w:w="1622" w:type="dxa"/>
            <w:noWrap w:val="0"/>
            <w:vAlign w:val="center"/>
          </w:tcPr>
          <w:p w14:paraId="794780C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1609.24</w:t>
            </w:r>
          </w:p>
        </w:tc>
        <w:tc>
          <w:tcPr>
            <w:tcW w:w="1234" w:type="dxa"/>
            <w:noWrap w:val="0"/>
            <w:vAlign w:val="center"/>
          </w:tcPr>
          <w:p w14:paraId="04885C0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26.09%</w:t>
            </w:r>
          </w:p>
        </w:tc>
        <w:tc>
          <w:tcPr>
            <w:tcW w:w="507" w:type="pct"/>
            <w:noWrap w:val="0"/>
            <w:vAlign w:val="center"/>
          </w:tcPr>
          <w:p w14:paraId="4229FB2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r w14:paraId="1B31D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1" w:hRule="atLeast"/>
        </w:trPr>
        <w:tc>
          <w:tcPr>
            <w:tcW w:w="1116" w:type="pct"/>
            <w:gridSpan w:val="2"/>
            <w:noWrap w:val="0"/>
            <w:vAlign w:val="center"/>
          </w:tcPr>
          <w:p w14:paraId="0B4C703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r>
              <w:rPr>
                <w:rFonts w:ascii="Times New Roman" w:hAnsi="Times New Roman" w:eastAsia="宋体" w:cs="宋体"/>
                <w:color w:val="auto"/>
                <w:spacing w:val="-2"/>
                <w:sz w:val="21"/>
                <w:szCs w:val="21"/>
              </w:rPr>
              <w:t>项目总投资</w:t>
            </w:r>
          </w:p>
        </w:tc>
        <w:tc>
          <w:tcPr>
            <w:tcW w:w="148" w:type="pct"/>
            <w:noWrap w:val="0"/>
            <w:vAlign w:val="center"/>
          </w:tcPr>
          <w:p w14:paraId="604EA2A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c>
          <w:tcPr>
            <w:tcW w:w="986" w:type="dxa"/>
            <w:noWrap w:val="0"/>
            <w:vAlign w:val="center"/>
          </w:tcPr>
          <w:p w14:paraId="2A637566">
            <w:pPr>
              <w:jc w:val="center"/>
              <w:rPr>
                <w:rFonts w:ascii="Times New Roman" w:hAnsi="Times New Roman" w:eastAsia="宋体" w:cs="宋体"/>
                <w:color w:val="auto"/>
                <w:sz w:val="21"/>
                <w:szCs w:val="21"/>
              </w:rPr>
            </w:pPr>
          </w:p>
        </w:tc>
        <w:tc>
          <w:tcPr>
            <w:tcW w:w="1317" w:type="dxa"/>
            <w:noWrap w:val="0"/>
            <w:vAlign w:val="center"/>
          </w:tcPr>
          <w:p w14:paraId="486E40E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2267.53</w:t>
            </w:r>
          </w:p>
        </w:tc>
        <w:tc>
          <w:tcPr>
            <w:tcW w:w="1317" w:type="dxa"/>
            <w:noWrap w:val="0"/>
            <w:vAlign w:val="center"/>
          </w:tcPr>
          <w:p w14:paraId="1ED4F22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1791.72</w:t>
            </w:r>
          </w:p>
        </w:tc>
        <w:tc>
          <w:tcPr>
            <w:tcW w:w="1545" w:type="dxa"/>
            <w:noWrap w:val="0"/>
            <w:vAlign w:val="center"/>
          </w:tcPr>
          <w:p w14:paraId="576BA28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109.75</w:t>
            </w:r>
          </w:p>
        </w:tc>
        <w:tc>
          <w:tcPr>
            <w:tcW w:w="1177" w:type="dxa"/>
            <w:noWrap w:val="0"/>
            <w:vAlign w:val="center"/>
          </w:tcPr>
          <w:p w14:paraId="436F92B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390.76</w:t>
            </w:r>
          </w:p>
        </w:tc>
        <w:tc>
          <w:tcPr>
            <w:tcW w:w="1622" w:type="dxa"/>
            <w:noWrap w:val="0"/>
            <w:vAlign w:val="center"/>
          </w:tcPr>
          <w:p w14:paraId="5CE0A2A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6169</w:t>
            </w:r>
          </w:p>
        </w:tc>
        <w:tc>
          <w:tcPr>
            <w:tcW w:w="1234" w:type="dxa"/>
            <w:noWrap w:val="0"/>
            <w:vAlign w:val="center"/>
          </w:tcPr>
          <w:p w14:paraId="5B91E13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100.00%</w:t>
            </w:r>
          </w:p>
        </w:tc>
        <w:tc>
          <w:tcPr>
            <w:tcW w:w="507" w:type="pct"/>
            <w:noWrap w:val="0"/>
            <w:vAlign w:val="center"/>
          </w:tcPr>
          <w:p w14:paraId="6150AA0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21"/>
              </w:rPr>
            </w:pPr>
          </w:p>
        </w:tc>
      </w:tr>
    </w:tbl>
    <w:p w14:paraId="4A1316A1">
      <w:pPr>
        <w:pStyle w:val="12"/>
        <w:rPr>
          <w:rFonts w:ascii="Times New Roman" w:hAnsi="Times New Roman" w:eastAsia="宋体" w:cs="宋体"/>
          <w:color w:val="auto"/>
        </w:rPr>
      </w:pPr>
    </w:p>
    <w:p w14:paraId="12763777">
      <w:pPr>
        <w:rPr>
          <w:rFonts w:ascii="Times New Roman" w:hAnsi="Times New Roman" w:eastAsia="宋体" w:cs="宋体"/>
          <w:color w:val="auto"/>
        </w:rPr>
        <w:sectPr>
          <w:headerReference r:id="rId20" w:type="default"/>
          <w:footerReference r:id="rId21" w:type="default"/>
          <w:pgSz w:w="16840" w:h="11907"/>
          <w:pgMar w:top="1340" w:right="1333" w:bottom="1148" w:left="1327" w:header="1068" w:footer="961" w:gutter="0"/>
          <w:pgBorders w:offsetFrom="page">
            <w:top w:val="none" w:sz="0" w:space="0"/>
            <w:left w:val="none" w:sz="0" w:space="0"/>
            <w:bottom w:val="none" w:sz="0" w:space="0"/>
            <w:right w:val="none" w:sz="0" w:space="0"/>
          </w:pgBorders>
          <w:pgNumType w:fmt="decimal"/>
          <w:cols w:space="720" w:num="1"/>
        </w:sectPr>
      </w:pPr>
    </w:p>
    <w:p w14:paraId="6B60D40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附表2：产品销售收入与销售税金估算表</w:t>
      </w:r>
    </w:p>
    <w:tbl>
      <w:tblPr>
        <w:tblStyle w:val="26"/>
        <w:tblW w:w="141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
        <w:gridCol w:w="1932"/>
        <w:gridCol w:w="782"/>
        <w:gridCol w:w="782"/>
        <w:gridCol w:w="782"/>
        <w:gridCol w:w="782"/>
        <w:gridCol w:w="781"/>
        <w:gridCol w:w="783"/>
        <w:gridCol w:w="783"/>
        <w:gridCol w:w="783"/>
        <w:gridCol w:w="783"/>
        <w:gridCol w:w="782"/>
        <w:gridCol w:w="783"/>
        <w:gridCol w:w="783"/>
        <w:gridCol w:w="782"/>
        <w:gridCol w:w="783"/>
        <w:gridCol w:w="795"/>
      </w:tblGrid>
      <w:tr w14:paraId="0D2BD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96" w:type="dxa"/>
            <w:vMerge w:val="restart"/>
            <w:tcBorders>
              <w:bottom w:val="nil"/>
            </w:tcBorders>
            <w:noWrap w:val="0"/>
            <w:vAlign w:val="center"/>
          </w:tcPr>
          <w:p w14:paraId="3B976F67">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7"/>
                <w:sz w:val="21"/>
                <w:szCs w:val="12"/>
              </w:rPr>
              <w:t>序号</w:t>
            </w:r>
          </w:p>
        </w:tc>
        <w:tc>
          <w:tcPr>
            <w:tcW w:w="1932" w:type="dxa"/>
            <w:vMerge w:val="restart"/>
            <w:tcBorders>
              <w:bottom w:val="nil"/>
            </w:tcBorders>
            <w:noWrap w:val="0"/>
            <w:vAlign w:val="center"/>
          </w:tcPr>
          <w:p w14:paraId="34C3F2F0">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1"/>
                <w:sz w:val="21"/>
                <w:szCs w:val="12"/>
              </w:rPr>
              <w:t>项目</w:t>
            </w:r>
          </w:p>
        </w:tc>
        <w:tc>
          <w:tcPr>
            <w:tcW w:w="782" w:type="dxa"/>
            <w:vMerge w:val="restart"/>
            <w:tcBorders>
              <w:bottom w:val="nil"/>
            </w:tcBorders>
            <w:noWrap w:val="0"/>
            <w:vAlign w:val="center"/>
          </w:tcPr>
          <w:p w14:paraId="6943F6C2">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7"/>
                <w:sz w:val="21"/>
                <w:szCs w:val="12"/>
              </w:rPr>
              <w:t>合计</w:t>
            </w:r>
          </w:p>
        </w:tc>
        <w:tc>
          <w:tcPr>
            <w:tcW w:w="10967" w:type="dxa"/>
            <w:gridSpan w:val="14"/>
            <w:noWrap w:val="0"/>
            <w:vAlign w:val="center"/>
          </w:tcPr>
          <w:p w14:paraId="212AC41E">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8"/>
                <w:sz w:val="21"/>
                <w:szCs w:val="12"/>
              </w:rPr>
              <w:t>运营期</w:t>
            </w:r>
          </w:p>
        </w:tc>
      </w:tr>
      <w:tr w14:paraId="04656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96" w:type="dxa"/>
            <w:vMerge w:val="continue"/>
            <w:tcBorders>
              <w:top w:val="nil"/>
            </w:tcBorders>
            <w:noWrap w:val="0"/>
            <w:vAlign w:val="center"/>
          </w:tcPr>
          <w:p w14:paraId="30233D39">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rPr>
            </w:pPr>
          </w:p>
        </w:tc>
        <w:tc>
          <w:tcPr>
            <w:tcW w:w="1932" w:type="dxa"/>
            <w:vMerge w:val="continue"/>
            <w:tcBorders>
              <w:top w:val="nil"/>
            </w:tcBorders>
            <w:noWrap w:val="0"/>
            <w:vAlign w:val="center"/>
          </w:tcPr>
          <w:p w14:paraId="72F12571">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rPr>
            </w:pPr>
          </w:p>
        </w:tc>
        <w:tc>
          <w:tcPr>
            <w:tcW w:w="782" w:type="dxa"/>
            <w:vMerge w:val="continue"/>
            <w:tcBorders>
              <w:top w:val="nil"/>
            </w:tcBorders>
            <w:noWrap w:val="0"/>
            <w:vAlign w:val="center"/>
          </w:tcPr>
          <w:p w14:paraId="161C1872">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rPr>
            </w:pPr>
          </w:p>
        </w:tc>
        <w:tc>
          <w:tcPr>
            <w:tcW w:w="782" w:type="dxa"/>
            <w:noWrap w:val="0"/>
            <w:vAlign w:val="center"/>
          </w:tcPr>
          <w:p w14:paraId="3014F31D">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2"/>
                <w:sz w:val="21"/>
                <w:szCs w:val="12"/>
              </w:rPr>
              <w:t>2</w:t>
            </w:r>
          </w:p>
        </w:tc>
        <w:tc>
          <w:tcPr>
            <w:tcW w:w="782" w:type="dxa"/>
            <w:noWrap w:val="0"/>
            <w:vAlign w:val="center"/>
          </w:tcPr>
          <w:p w14:paraId="0C4FFBB8">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z w:val="21"/>
                <w:szCs w:val="12"/>
              </w:rPr>
              <w:t>3</w:t>
            </w:r>
          </w:p>
        </w:tc>
        <w:tc>
          <w:tcPr>
            <w:tcW w:w="782" w:type="dxa"/>
            <w:noWrap w:val="0"/>
            <w:vAlign w:val="center"/>
          </w:tcPr>
          <w:p w14:paraId="0E13084C">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2"/>
                <w:sz w:val="21"/>
                <w:szCs w:val="12"/>
              </w:rPr>
              <w:t>4</w:t>
            </w:r>
          </w:p>
        </w:tc>
        <w:tc>
          <w:tcPr>
            <w:tcW w:w="781" w:type="dxa"/>
            <w:noWrap w:val="0"/>
            <w:vAlign w:val="center"/>
          </w:tcPr>
          <w:p w14:paraId="30C4518A">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z w:val="21"/>
                <w:szCs w:val="12"/>
              </w:rPr>
              <w:t>5</w:t>
            </w:r>
          </w:p>
        </w:tc>
        <w:tc>
          <w:tcPr>
            <w:tcW w:w="783" w:type="dxa"/>
            <w:noWrap w:val="0"/>
            <w:vAlign w:val="center"/>
          </w:tcPr>
          <w:p w14:paraId="0574B757">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z w:val="21"/>
                <w:szCs w:val="12"/>
              </w:rPr>
              <w:t>6</w:t>
            </w:r>
          </w:p>
        </w:tc>
        <w:tc>
          <w:tcPr>
            <w:tcW w:w="783" w:type="dxa"/>
            <w:noWrap w:val="0"/>
            <w:vAlign w:val="center"/>
          </w:tcPr>
          <w:p w14:paraId="76787EF1">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z w:val="21"/>
                <w:szCs w:val="12"/>
              </w:rPr>
              <w:t>7</w:t>
            </w:r>
          </w:p>
        </w:tc>
        <w:tc>
          <w:tcPr>
            <w:tcW w:w="783" w:type="dxa"/>
            <w:noWrap w:val="0"/>
            <w:vAlign w:val="center"/>
          </w:tcPr>
          <w:p w14:paraId="0FB7A060">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z w:val="21"/>
                <w:szCs w:val="12"/>
              </w:rPr>
              <w:t>8</w:t>
            </w:r>
          </w:p>
        </w:tc>
        <w:tc>
          <w:tcPr>
            <w:tcW w:w="783" w:type="dxa"/>
            <w:noWrap w:val="0"/>
            <w:vAlign w:val="center"/>
          </w:tcPr>
          <w:p w14:paraId="606B319F">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z w:val="21"/>
                <w:szCs w:val="12"/>
              </w:rPr>
              <w:t>9</w:t>
            </w:r>
          </w:p>
        </w:tc>
        <w:tc>
          <w:tcPr>
            <w:tcW w:w="782" w:type="dxa"/>
            <w:noWrap w:val="0"/>
            <w:vAlign w:val="center"/>
          </w:tcPr>
          <w:p w14:paraId="764CF6D8">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3"/>
                <w:sz w:val="21"/>
                <w:szCs w:val="12"/>
              </w:rPr>
              <w:t>10</w:t>
            </w:r>
          </w:p>
        </w:tc>
        <w:tc>
          <w:tcPr>
            <w:tcW w:w="783" w:type="dxa"/>
            <w:noWrap w:val="0"/>
            <w:vAlign w:val="center"/>
          </w:tcPr>
          <w:p w14:paraId="35E004E5">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3"/>
                <w:sz w:val="21"/>
                <w:szCs w:val="12"/>
              </w:rPr>
              <w:t>11</w:t>
            </w:r>
          </w:p>
        </w:tc>
        <w:tc>
          <w:tcPr>
            <w:tcW w:w="783" w:type="dxa"/>
            <w:noWrap w:val="0"/>
            <w:vAlign w:val="center"/>
          </w:tcPr>
          <w:p w14:paraId="09807CE7">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3"/>
                <w:sz w:val="21"/>
                <w:szCs w:val="12"/>
              </w:rPr>
              <w:t>12</w:t>
            </w:r>
          </w:p>
        </w:tc>
        <w:tc>
          <w:tcPr>
            <w:tcW w:w="782" w:type="dxa"/>
            <w:noWrap w:val="0"/>
            <w:vAlign w:val="center"/>
          </w:tcPr>
          <w:p w14:paraId="3F2A5B7A">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3"/>
                <w:sz w:val="21"/>
                <w:szCs w:val="12"/>
              </w:rPr>
              <w:t>13</w:t>
            </w:r>
          </w:p>
        </w:tc>
        <w:tc>
          <w:tcPr>
            <w:tcW w:w="783" w:type="dxa"/>
            <w:noWrap w:val="0"/>
            <w:vAlign w:val="center"/>
          </w:tcPr>
          <w:p w14:paraId="6EC47E63">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3"/>
                <w:sz w:val="21"/>
                <w:szCs w:val="12"/>
              </w:rPr>
              <w:t>14</w:t>
            </w:r>
          </w:p>
        </w:tc>
        <w:tc>
          <w:tcPr>
            <w:tcW w:w="795" w:type="dxa"/>
            <w:noWrap w:val="0"/>
            <w:vAlign w:val="center"/>
          </w:tcPr>
          <w:p w14:paraId="0FA8BC7B">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3"/>
                <w:sz w:val="21"/>
                <w:szCs w:val="12"/>
              </w:rPr>
              <w:t>15</w:t>
            </w:r>
          </w:p>
        </w:tc>
      </w:tr>
      <w:tr w14:paraId="40F3E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96" w:type="dxa"/>
            <w:noWrap w:val="0"/>
            <w:vAlign w:val="center"/>
          </w:tcPr>
          <w:p w14:paraId="788F43E4">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rPr>
            </w:pPr>
          </w:p>
        </w:tc>
        <w:tc>
          <w:tcPr>
            <w:tcW w:w="1932" w:type="dxa"/>
            <w:noWrap w:val="0"/>
            <w:vAlign w:val="center"/>
          </w:tcPr>
          <w:p w14:paraId="31641AB7">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8"/>
                <w:sz w:val="21"/>
                <w:szCs w:val="12"/>
              </w:rPr>
              <w:t>生产负荷</w:t>
            </w:r>
          </w:p>
        </w:tc>
        <w:tc>
          <w:tcPr>
            <w:tcW w:w="782" w:type="dxa"/>
            <w:noWrap w:val="0"/>
            <w:vAlign w:val="center"/>
          </w:tcPr>
          <w:p w14:paraId="6C757F29">
            <w:pPr>
              <w:jc w:val="center"/>
              <w:rPr>
                <w:rFonts w:ascii="Times New Roman" w:hAnsi="Times New Roman" w:eastAsia="宋体" w:cs="宋体"/>
                <w:color w:val="auto"/>
                <w:sz w:val="21"/>
              </w:rPr>
            </w:pPr>
          </w:p>
        </w:tc>
        <w:tc>
          <w:tcPr>
            <w:tcW w:w="782" w:type="dxa"/>
            <w:noWrap w:val="0"/>
            <w:vAlign w:val="center"/>
          </w:tcPr>
          <w:p w14:paraId="7F3E9D7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37.50%</w:t>
            </w:r>
          </w:p>
        </w:tc>
        <w:tc>
          <w:tcPr>
            <w:tcW w:w="782" w:type="dxa"/>
            <w:noWrap w:val="0"/>
            <w:vAlign w:val="center"/>
          </w:tcPr>
          <w:p w14:paraId="49B6EDAE">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60%</w:t>
            </w:r>
          </w:p>
        </w:tc>
        <w:tc>
          <w:tcPr>
            <w:tcW w:w="782" w:type="dxa"/>
            <w:noWrap w:val="0"/>
            <w:vAlign w:val="center"/>
          </w:tcPr>
          <w:p w14:paraId="3D1E8FB8">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80%</w:t>
            </w:r>
          </w:p>
        </w:tc>
        <w:tc>
          <w:tcPr>
            <w:tcW w:w="781" w:type="dxa"/>
            <w:noWrap w:val="0"/>
            <w:vAlign w:val="center"/>
          </w:tcPr>
          <w:p w14:paraId="07F5FD12">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83" w:type="dxa"/>
            <w:noWrap w:val="0"/>
            <w:vAlign w:val="center"/>
          </w:tcPr>
          <w:p w14:paraId="6497DA8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83" w:type="dxa"/>
            <w:noWrap w:val="0"/>
            <w:vAlign w:val="center"/>
          </w:tcPr>
          <w:p w14:paraId="3C50439B">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83" w:type="dxa"/>
            <w:noWrap w:val="0"/>
            <w:vAlign w:val="center"/>
          </w:tcPr>
          <w:p w14:paraId="7A3051D6">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83" w:type="dxa"/>
            <w:noWrap w:val="0"/>
            <w:vAlign w:val="center"/>
          </w:tcPr>
          <w:p w14:paraId="410D4D28">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82" w:type="dxa"/>
            <w:noWrap w:val="0"/>
            <w:vAlign w:val="center"/>
          </w:tcPr>
          <w:p w14:paraId="622B15B3">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83" w:type="dxa"/>
            <w:noWrap w:val="0"/>
            <w:vAlign w:val="center"/>
          </w:tcPr>
          <w:p w14:paraId="437CD4A3">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83" w:type="dxa"/>
            <w:noWrap w:val="0"/>
            <w:vAlign w:val="center"/>
          </w:tcPr>
          <w:p w14:paraId="6E666B36">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82" w:type="dxa"/>
            <w:noWrap w:val="0"/>
            <w:vAlign w:val="center"/>
          </w:tcPr>
          <w:p w14:paraId="2C0D5E00">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83" w:type="dxa"/>
            <w:noWrap w:val="0"/>
            <w:vAlign w:val="center"/>
          </w:tcPr>
          <w:p w14:paraId="355C3A42">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95" w:type="dxa"/>
            <w:noWrap w:val="0"/>
            <w:vAlign w:val="center"/>
          </w:tcPr>
          <w:p w14:paraId="1DAD2C7C">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w:t>
            </w:r>
          </w:p>
        </w:tc>
      </w:tr>
      <w:tr w14:paraId="71DC8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96" w:type="dxa"/>
            <w:noWrap w:val="0"/>
            <w:vAlign w:val="center"/>
          </w:tcPr>
          <w:p w14:paraId="4222E386">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z w:val="21"/>
                <w:szCs w:val="12"/>
              </w:rPr>
              <w:t>1</w:t>
            </w:r>
          </w:p>
        </w:tc>
        <w:tc>
          <w:tcPr>
            <w:tcW w:w="1932" w:type="dxa"/>
            <w:noWrap w:val="0"/>
            <w:vAlign w:val="center"/>
          </w:tcPr>
          <w:p w14:paraId="4E3886DD">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7"/>
                <w:sz w:val="21"/>
                <w:szCs w:val="12"/>
              </w:rPr>
              <w:t>营业收入</w:t>
            </w:r>
          </w:p>
        </w:tc>
        <w:tc>
          <w:tcPr>
            <w:tcW w:w="782" w:type="dxa"/>
            <w:noWrap w:val="0"/>
            <w:vAlign w:val="center"/>
          </w:tcPr>
          <w:p w14:paraId="3A494C21">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127750</w:t>
            </w:r>
          </w:p>
        </w:tc>
        <w:tc>
          <w:tcPr>
            <w:tcW w:w="782" w:type="dxa"/>
            <w:noWrap w:val="0"/>
            <w:vAlign w:val="center"/>
          </w:tcPr>
          <w:p w14:paraId="008BCBD0">
            <w:pPr>
              <w:keepNext w:val="0"/>
              <w:keepLines w:val="0"/>
              <w:widowControl/>
              <w:suppressLineNumbers w:val="0"/>
              <w:jc w:val="center"/>
              <w:textAlignment w:val="center"/>
              <w:rPr>
                <w:rFonts w:hint="default" w:ascii="Times New Roman" w:hAnsi="Times New Roman" w:eastAsia="宋体" w:cs="宋体"/>
                <w:color w:val="auto"/>
                <w:sz w:val="21"/>
                <w:szCs w:val="12"/>
                <w:lang w:val="en-US" w:eastAsia="zh-CN"/>
              </w:rPr>
            </w:pPr>
            <w:r>
              <w:rPr>
                <w:rFonts w:hint="default" w:ascii="Times New Roman" w:hAnsi="Times New Roman" w:eastAsia="宋体" w:cs="宋体"/>
                <w:i w:val="0"/>
                <w:iCs w:val="0"/>
                <w:snapToGrid w:val="0"/>
                <w:color w:val="auto"/>
                <w:kern w:val="0"/>
                <w:sz w:val="18"/>
                <w:szCs w:val="18"/>
                <w:u w:val="none"/>
                <w:lang w:val="en-US" w:eastAsia="zh-CN" w:bidi="ar"/>
              </w:rPr>
              <w:t>3750</w:t>
            </w:r>
          </w:p>
        </w:tc>
        <w:tc>
          <w:tcPr>
            <w:tcW w:w="782" w:type="dxa"/>
            <w:noWrap w:val="0"/>
            <w:vAlign w:val="center"/>
          </w:tcPr>
          <w:p w14:paraId="32A3AFD4">
            <w:pPr>
              <w:keepNext w:val="0"/>
              <w:keepLines w:val="0"/>
              <w:widowControl/>
              <w:suppressLineNumbers w:val="0"/>
              <w:jc w:val="center"/>
              <w:textAlignment w:val="center"/>
              <w:rPr>
                <w:rFonts w:hint="default" w:ascii="Times New Roman" w:hAnsi="Times New Roman" w:eastAsia="宋体" w:cs="宋体"/>
                <w:color w:val="auto"/>
                <w:sz w:val="21"/>
                <w:szCs w:val="12"/>
                <w:lang w:val="en-US" w:eastAsia="zh-CN"/>
              </w:rPr>
            </w:pPr>
            <w:r>
              <w:rPr>
                <w:rFonts w:hint="default" w:ascii="Times New Roman" w:hAnsi="Times New Roman" w:eastAsia="宋体" w:cs="宋体"/>
                <w:i w:val="0"/>
                <w:iCs w:val="0"/>
                <w:snapToGrid w:val="0"/>
                <w:color w:val="auto"/>
                <w:kern w:val="0"/>
                <w:sz w:val="18"/>
                <w:szCs w:val="18"/>
                <w:u w:val="none"/>
                <w:lang w:val="en-US" w:eastAsia="zh-CN" w:bidi="ar"/>
              </w:rPr>
              <w:t>6000</w:t>
            </w:r>
          </w:p>
        </w:tc>
        <w:tc>
          <w:tcPr>
            <w:tcW w:w="782" w:type="dxa"/>
            <w:noWrap w:val="0"/>
            <w:vAlign w:val="center"/>
          </w:tcPr>
          <w:p w14:paraId="0156F229">
            <w:pPr>
              <w:keepNext w:val="0"/>
              <w:keepLines w:val="0"/>
              <w:widowControl/>
              <w:suppressLineNumbers w:val="0"/>
              <w:jc w:val="center"/>
              <w:textAlignment w:val="center"/>
              <w:rPr>
                <w:rFonts w:hint="default" w:ascii="Times New Roman" w:hAnsi="Times New Roman" w:eastAsia="宋体" w:cs="宋体"/>
                <w:color w:val="auto"/>
                <w:sz w:val="21"/>
                <w:szCs w:val="12"/>
                <w:lang w:val="en-US" w:eastAsia="zh-CN"/>
              </w:rPr>
            </w:pPr>
            <w:r>
              <w:rPr>
                <w:rFonts w:hint="default" w:ascii="Times New Roman" w:hAnsi="Times New Roman" w:eastAsia="宋体" w:cs="宋体"/>
                <w:i w:val="0"/>
                <w:iCs w:val="0"/>
                <w:snapToGrid w:val="0"/>
                <w:color w:val="auto"/>
                <w:kern w:val="0"/>
                <w:sz w:val="18"/>
                <w:szCs w:val="18"/>
                <w:u w:val="none"/>
                <w:lang w:val="en-US" w:eastAsia="zh-CN" w:bidi="ar"/>
              </w:rPr>
              <w:t>8000</w:t>
            </w:r>
          </w:p>
        </w:tc>
        <w:tc>
          <w:tcPr>
            <w:tcW w:w="781" w:type="dxa"/>
            <w:noWrap w:val="0"/>
            <w:vAlign w:val="center"/>
          </w:tcPr>
          <w:p w14:paraId="19B44A87">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178433D7">
            <w:pPr>
              <w:keepNext w:val="0"/>
              <w:keepLines w:val="0"/>
              <w:widowControl/>
              <w:suppressLineNumbers w:val="0"/>
              <w:jc w:val="center"/>
              <w:textAlignment w:val="center"/>
              <w:rPr>
                <w:rFonts w:hint="default" w:ascii="Times New Roman" w:hAnsi="Times New Roman" w:eastAsia="宋体" w:cs="宋体"/>
                <w:color w:val="auto"/>
                <w:sz w:val="21"/>
                <w:szCs w:val="12"/>
                <w:lang w:val="en-US" w:eastAsia="zh-CN"/>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4420DF4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6575449F">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2CB18737">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2" w:type="dxa"/>
            <w:noWrap w:val="0"/>
            <w:vAlign w:val="center"/>
          </w:tcPr>
          <w:p w14:paraId="04C92059">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4FEC8A02">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2013C60F">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2" w:type="dxa"/>
            <w:noWrap w:val="0"/>
            <w:vAlign w:val="center"/>
          </w:tcPr>
          <w:p w14:paraId="473005C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0BA58320">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95" w:type="dxa"/>
            <w:noWrap w:val="0"/>
            <w:vAlign w:val="center"/>
          </w:tcPr>
          <w:p w14:paraId="04BD69E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r>
      <w:tr w14:paraId="49ADA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96" w:type="dxa"/>
            <w:noWrap w:val="0"/>
            <w:vAlign w:val="center"/>
          </w:tcPr>
          <w:p w14:paraId="2ECA4DC3">
            <w:pPr>
              <w:keepNext w:val="0"/>
              <w:keepLines w:val="0"/>
              <w:pageBreakBefore w:val="0"/>
              <w:widowControl/>
              <w:wordWrap/>
              <w:overflowPunct/>
              <w:topLinePunct w:val="0"/>
              <w:bidi w:val="0"/>
              <w:spacing w:line="240" w:lineRule="auto"/>
              <w:ind w:left="0"/>
              <w:jc w:val="center"/>
              <w:rPr>
                <w:rFonts w:hint="eastAsia" w:ascii="Times New Roman" w:hAnsi="Times New Roman" w:eastAsia="宋体" w:cs="宋体"/>
                <w:color w:val="auto"/>
                <w:sz w:val="21"/>
                <w:szCs w:val="12"/>
                <w:lang w:val="en-US" w:eastAsia="zh-CN"/>
              </w:rPr>
            </w:pPr>
            <w:r>
              <w:rPr>
                <w:rFonts w:ascii="Times New Roman" w:hAnsi="Times New Roman" w:eastAsia="宋体" w:cs="宋体"/>
                <w:color w:val="auto"/>
                <w:spacing w:val="-1"/>
                <w:sz w:val="21"/>
                <w:szCs w:val="12"/>
              </w:rPr>
              <w:t>1.</w:t>
            </w:r>
            <w:r>
              <w:rPr>
                <w:rFonts w:hint="eastAsia" w:ascii="Times New Roman" w:hAnsi="Times New Roman" w:eastAsia="宋体" w:cs="宋体"/>
                <w:color w:val="auto"/>
                <w:spacing w:val="-1"/>
                <w:sz w:val="21"/>
                <w:szCs w:val="12"/>
                <w:lang w:val="en-US" w:eastAsia="zh-CN"/>
              </w:rPr>
              <w:t>1</w:t>
            </w:r>
          </w:p>
        </w:tc>
        <w:tc>
          <w:tcPr>
            <w:tcW w:w="1932" w:type="dxa"/>
            <w:noWrap w:val="0"/>
            <w:vAlign w:val="center"/>
          </w:tcPr>
          <w:p w14:paraId="73F60CEC">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8"/>
                <w:sz w:val="21"/>
                <w:szCs w:val="12"/>
              </w:rPr>
              <w:t>马铃薯</w:t>
            </w:r>
            <w:r>
              <w:rPr>
                <w:rFonts w:hint="eastAsia" w:ascii="Times New Roman" w:hAnsi="Times New Roman" w:eastAsia="宋体" w:cs="宋体"/>
                <w:color w:val="auto"/>
                <w:spacing w:val="8"/>
                <w:sz w:val="21"/>
                <w:szCs w:val="12"/>
                <w:lang w:val="en-US" w:eastAsia="zh-CN"/>
              </w:rPr>
              <w:t>淀</w:t>
            </w:r>
            <w:r>
              <w:rPr>
                <w:rFonts w:ascii="Times New Roman" w:hAnsi="Times New Roman" w:eastAsia="宋体" w:cs="宋体"/>
                <w:color w:val="auto"/>
                <w:spacing w:val="8"/>
                <w:sz w:val="21"/>
                <w:szCs w:val="12"/>
              </w:rPr>
              <w:t>粉</w:t>
            </w:r>
          </w:p>
        </w:tc>
        <w:tc>
          <w:tcPr>
            <w:tcW w:w="782" w:type="dxa"/>
            <w:noWrap w:val="0"/>
            <w:vAlign w:val="center"/>
          </w:tcPr>
          <w:p w14:paraId="6F84F410">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18"/>
                <w:szCs w:val="18"/>
                <w:u w:val="none"/>
                <w:lang w:val="en-US" w:eastAsia="zh-CN" w:bidi="ar"/>
              </w:rPr>
              <w:t>127750</w:t>
            </w:r>
          </w:p>
        </w:tc>
        <w:tc>
          <w:tcPr>
            <w:tcW w:w="782" w:type="dxa"/>
            <w:noWrap w:val="0"/>
            <w:vAlign w:val="center"/>
          </w:tcPr>
          <w:p w14:paraId="5F62532E">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3750</w:t>
            </w:r>
          </w:p>
        </w:tc>
        <w:tc>
          <w:tcPr>
            <w:tcW w:w="782" w:type="dxa"/>
            <w:noWrap w:val="0"/>
            <w:vAlign w:val="center"/>
          </w:tcPr>
          <w:p w14:paraId="7179A9FE">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6000</w:t>
            </w:r>
          </w:p>
        </w:tc>
        <w:tc>
          <w:tcPr>
            <w:tcW w:w="782" w:type="dxa"/>
            <w:noWrap w:val="0"/>
            <w:vAlign w:val="center"/>
          </w:tcPr>
          <w:p w14:paraId="7A50E55B">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8000</w:t>
            </w:r>
          </w:p>
        </w:tc>
        <w:tc>
          <w:tcPr>
            <w:tcW w:w="781" w:type="dxa"/>
            <w:noWrap w:val="0"/>
            <w:vAlign w:val="center"/>
          </w:tcPr>
          <w:p w14:paraId="3ED01267">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0AAC1668">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6686B10A">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259A6B3A">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663AB684">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2" w:type="dxa"/>
            <w:noWrap w:val="0"/>
            <w:vAlign w:val="center"/>
          </w:tcPr>
          <w:p w14:paraId="7BC5A343">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6BD40796">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7AF0B03E">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2" w:type="dxa"/>
            <w:noWrap w:val="0"/>
            <w:vAlign w:val="center"/>
          </w:tcPr>
          <w:p w14:paraId="0DC8E1E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46AEBEF6">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95" w:type="dxa"/>
            <w:noWrap w:val="0"/>
            <w:vAlign w:val="center"/>
          </w:tcPr>
          <w:p w14:paraId="1A5625FF">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r>
      <w:tr w14:paraId="4C86B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96" w:type="dxa"/>
            <w:noWrap w:val="0"/>
            <w:vAlign w:val="center"/>
          </w:tcPr>
          <w:p w14:paraId="3CF36706">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rPr>
            </w:pPr>
          </w:p>
        </w:tc>
        <w:tc>
          <w:tcPr>
            <w:tcW w:w="1932" w:type="dxa"/>
            <w:noWrap w:val="0"/>
            <w:vAlign w:val="center"/>
          </w:tcPr>
          <w:p w14:paraId="45083BDE">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6"/>
                <w:sz w:val="21"/>
                <w:szCs w:val="12"/>
              </w:rPr>
              <w:t>单价（元）</w:t>
            </w:r>
          </w:p>
        </w:tc>
        <w:tc>
          <w:tcPr>
            <w:tcW w:w="782" w:type="dxa"/>
            <w:noWrap w:val="0"/>
            <w:vAlign w:val="center"/>
          </w:tcPr>
          <w:p w14:paraId="7CCD795E">
            <w:pPr>
              <w:jc w:val="center"/>
              <w:rPr>
                <w:rFonts w:ascii="Times New Roman" w:hAnsi="Times New Roman" w:eastAsia="宋体" w:cs="宋体"/>
                <w:color w:val="auto"/>
                <w:sz w:val="21"/>
              </w:rPr>
            </w:pPr>
          </w:p>
        </w:tc>
        <w:tc>
          <w:tcPr>
            <w:tcW w:w="782" w:type="dxa"/>
            <w:noWrap w:val="0"/>
            <w:vAlign w:val="center"/>
          </w:tcPr>
          <w:p w14:paraId="3E8EEA7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2" w:type="dxa"/>
            <w:noWrap w:val="0"/>
            <w:vAlign w:val="center"/>
          </w:tcPr>
          <w:p w14:paraId="5C1F64CE">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2" w:type="dxa"/>
            <w:noWrap w:val="0"/>
            <w:vAlign w:val="center"/>
          </w:tcPr>
          <w:p w14:paraId="7579FBC6">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1" w:type="dxa"/>
            <w:noWrap w:val="0"/>
            <w:vAlign w:val="center"/>
          </w:tcPr>
          <w:p w14:paraId="119F2194">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1E89662C">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3ECF0577">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342D1BE0">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0074EEAB">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2" w:type="dxa"/>
            <w:noWrap w:val="0"/>
            <w:vAlign w:val="center"/>
          </w:tcPr>
          <w:p w14:paraId="7464E696">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17A288F6">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019FE5F4">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2" w:type="dxa"/>
            <w:noWrap w:val="0"/>
            <w:vAlign w:val="center"/>
          </w:tcPr>
          <w:p w14:paraId="64EC3F49">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078E038E">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95" w:type="dxa"/>
            <w:noWrap w:val="0"/>
            <w:vAlign w:val="center"/>
          </w:tcPr>
          <w:p w14:paraId="2392F9EA">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r>
      <w:tr w14:paraId="16B76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96" w:type="dxa"/>
            <w:noWrap w:val="0"/>
            <w:vAlign w:val="center"/>
          </w:tcPr>
          <w:p w14:paraId="545E91CE">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rPr>
            </w:pPr>
          </w:p>
        </w:tc>
        <w:tc>
          <w:tcPr>
            <w:tcW w:w="1932" w:type="dxa"/>
            <w:noWrap w:val="0"/>
            <w:vAlign w:val="center"/>
          </w:tcPr>
          <w:p w14:paraId="3573C86E">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5"/>
                <w:sz w:val="21"/>
                <w:szCs w:val="12"/>
              </w:rPr>
              <w:t>数量（t）</w:t>
            </w:r>
          </w:p>
        </w:tc>
        <w:tc>
          <w:tcPr>
            <w:tcW w:w="782" w:type="dxa"/>
            <w:noWrap w:val="0"/>
            <w:vAlign w:val="center"/>
          </w:tcPr>
          <w:p w14:paraId="2F0A208D">
            <w:pPr>
              <w:jc w:val="center"/>
              <w:rPr>
                <w:rFonts w:ascii="Times New Roman" w:hAnsi="Times New Roman" w:eastAsia="宋体" w:cs="宋体"/>
                <w:color w:val="auto"/>
                <w:sz w:val="21"/>
              </w:rPr>
            </w:pPr>
          </w:p>
        </w:tc>
        <w:tc>
          <w:tcPr>
            <w:tcW w:w="782" w:type="dxa"/>
            <w:noWrap w:val="0"/>
            <w:vAlign w:val="center"/>
          </w:tcPr>
          <w:p w14:paraId="31CF6752">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3750</w:t>
            </w:r>
          </w:p>
        </w:tc>
        <w:tc>
          <w:tcPr>
            <w:tcW w:w="782" w:type="dxa"/>
            <w:noWrap w:val="0"/>
            <w:vAlign w:val="center"/>
          </w:tcPr>
          <w:p w14:paraId="654F9EFB">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6000</w:t>
            </w:r>
          </w:p>
        </w:tc>
        <w:tc>
          <w:tcPr>
            <w:tcW w:w="782" w:type="dxa"/>
            <w:noWrap w:val="0"/>
            <w:vAlign w:val="center"/>
          </w:tcPr>
          <w:p w14:paraId="359C5E14">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8000</w:t>
            </w:r>
          </w:p>
        </w:tc>
        <w:tc>
          <w:tcPr>
            <w:tcW w:w="781" w:type="dxa"/>
            <w:noWrap w:val="0"/>
            <w:vAlign w:val="center"/>
          </w:tcPr>
          <w:p w14:paraId="4CC71901">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07C61946">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061CFB21">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05AAA39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54E17EC4">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2" w:type="dxa"/>
            <w:noWrap w:val="0"/>
            <w:vAlign w:val="center"/>
          </w:tcPr>
          <w:p w14:paraId="1F5C5104">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4C4B40BD">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3D8670AD">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2" w:type="dxa"/>
            <w:noWrap w:val="0"/>
            <w:vAlign w:val="center"/>
          </w:tcPr>
          <w:p w14:paraId="20DF7F0F">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83" w:type="dxa"/>
            <w:noWrap w:val="0"/>
            <w:vAlign w:val="center"/>
          </w:tcPr>
          <w:p w14:paraId="4D05AC60">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c>
          <w:tcPr>
            <w:tcW w:w="795" w:type="dxa"/>
            <w:noWrap w:val="0"/>
            <w:vAlign w:val="center"/>
          </w:tcPr>
          <w:p w14:paraId="5209F704">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10000</w:t>
            </w:r>
          </w:p>
        </w:tc>
      </w:tr>
      <w:tr w14:paraId="3AE2F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96" w:type="dxa"/>
            <w:noWrap w:val="0"/>
            <w:vAlign w:val="center"/>
          </w:tcPr>
          <w:p w14:paraId="2A637F73">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rPr>
            </w:pPr>
          </w:p>
        </w:tc>
        <w:tc>
          <w:tcPr>
            <w:tcW w:w="1932" w:type="dxa"/>
            <w:noWrap w:val="0"/>
            <w:vAlign w:val="center"/>
          </w:tcPr>
          <w:p w14:paraId="05F39E08">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6"/>
                <w:sz w:val="21"/>
                <w:szCs w:val="12"/>
              </w:rPr>
              <w:t>销项税额（13%）</w:t>
            </w:r>
          </w:p>
        </w:tc>
        <w:tc>
          <w:tcPr>
            <w:tcW w:w="782" w:type="dxa"/>
            <w:noWrap w:val="0"/>
            <w:vAlign w:val="center"/>
          </w:tcPr>
          <w:p w14:paraId="49F82F56">
            <w:pPr>
              <w:jc w:val="center"/>
              <w:rPr>
                <w:rFonts w:ascii="Times New Roman" w:hAnsi="Times New Roman" w:eastAsia="宋体" w:cs="宋体"/>
                <w:color w:val="auto"/>
                <w:sz w:val="21"/>
              </w:rPr>
            </w:pPr>
          </w:p>
        </w:tc>
        <w:tc>
          <w:tcPr>
            <w:tcW w:w="782" w:type="dxa"/>
            <w:noWrap w:val="0"/>
            <w:vAlign w:val="center"/>
          </w:tcPr>
          <w:p w14:paraId="19A9C67A">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487.5</w:t>
            </w:r>
          </w:p>
        </w:tc>
        <w:tc>
          <w:tcPr>
            <w:tcW w:w="782" w:type="dxa"/>
            <w:noWrap w:val="0"/>
            <w:vAlign w:val="center"/>
          </w:tcPr>
          <w:p w14:paraId="29BCFCCC">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780</w:t>
            </w:r>
          </w:p>
        </w:tc>
        <w:tc>
          <w:tcPr>
            <w:tcW w:w="782" w:type="dxa"/>
            <w:noWrap w:val="0"/>
            <w:vAlign w:val="center"/>
          </w:tcPr>
          <w:p w14:paraId="145BD9DF">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1040</w:t>
            </w:r>
          </w:p>
        </w:tc>
        <w:tc>
          <w:tcPr>
            <w:tcW w:w="781" w:type="dxa"/>
            <w:noWrap w:val="0"/>
            <w:vAlign w:val="center"/>
          </w:tcPr>
          <w:p w14:paraId="57A3E7EB">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3" w:type="dxa"/>
            <w:noWrap w:val="0"/>
            <w:vAlign w:val="center"/>
          </w:tcPr>
          <w:p w14:paraId="53A21B11">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3" w:type="dxa"/>
            <w:noWrap w:val="0"/>
            <w:vAlign w:val="center"/>
          </w:tcPr>
          <w:p w14:paraId="009E6CC6">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3" w:type="dxa"/>
            <w:noWrap w:val="0"/>
            <w:vAlign w:val="center"/>
          </w:tcPr>
          <w:p w14:paraId="4075DC68">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3" w:type="dxa"/>
            <w:noWrap w:val="0"/>
            <w:vAlign w:val="center"/>
          </w:tcPr>
          <w:p w14:paraId="26BAFEF7">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2" w:type="dxa"/>
            <w:noWrap w:val="0"/>
            <w:vAlign w:val="center"/>
          </w:tcPr>
          <w:p w14:paraId="6BA2D8BE">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3" w:type="dxa"/>
            <w:noWrap w:val="0"/>
            <w:vAlign w:val="center"/>
          </w:tcPr>
          <w:p w14:paraId="30930469">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3" w:type="dxa"/>
            <w:noWrap w:val="0"/>
            <w:vAlign w:val="center"/>
          </w:tcPr>
          <w:p w14:paraId="0C2FD959">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2" w:type="dxa"/>
            <w:noWrap w:val="0"/>
            <w:vAlign w:val="center"/>
          </w:tcPr>
          <w:p w14:paraId="1207DC4E">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3" w:type="dxa"/>
            <w:noWrap w:val="0"/>
            <w:vAlign w:val="center"/>
          </w:tcPr>
          <w:p w14:paraId="3825EF51">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95" w:type="dxa"/>
            <w:noWrap w:val="0"/>
            <w:vAlign w:val="center"/>
          </w:tcPr>
          <w:p w14:paraId="70719E92">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r>
      <w:tr w14:paraId="6BFEF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96" w:type="dxa"/>
            <w:noWrap w:val="0"/>
            <w:vAlign w:val="center"/>
          </w:tcPr>
          <w:p w14:paraId="4324656A">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2"/>
                <w:sz w:val="21"/>
                <w:szCs w:val="12"/>
              </w:rPr>
              <w:t>2</w:t>
            </w:r>
          </w:p>
        </w:tc>
        <w:tc>
          <w:tcPr>
            <w:tcW w:w="1932" w:type="dxa"/>
            <w:noWrap w:val="0"/>
            <w:vAlign w:val="center"/>
          </w:tcPr>
          <w:p w14:paraId="16506D7E">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8"/>
                <w:sz w:val="21"/>
                <w:szCs w:val="12"/>
              </w:rPr>
              <w:t>营业收入税收及附加</w:t>
            </w:r>
          </w:p>
        </w:tc>
        <w:tc>
          <w:tcPr>
            <w:tcW w:w="782" w:type="dxa"/>
            <w:noWrap w:val="0"/>
            <w:vAlign w:val="center"/>
          </w:tcPr>
          <w:p w14:paraId="2E29D88E">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368.42</w:t>
            </w:r>
          </w:p>
        </w:tc>
        <w:tc>
          <w:tcPr>
            <w:tcW w:w="782" w:type="dxa"/>
            <w:noWrap w:val="0"/>
            <w:vAlign w:val="center"/>
          </w:tcPr>
          <w:p w14:paraId="3EDC980F">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8.7</w:t>
            </w:r>
          </w:p>
        </w:tc>
        <w:tc>
          <w:tcPr>
            <w:tcW w:w="782" w:type="dxa"/>
            <w:noWrap w:val="0"/>
            <w:vAlign w:val="center"/>
          </w:tcPr>
          <w:p w14:paraId="27FA0E3A">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17.4</w:t>
            </w:r>
          </w:p>
        </w:tc>
        <w:tc>
          <w:tcPr>
            <w:tcW w:w="782" w:type="dxa"/>
            <w:noWrap w:val="0"/>
            <w:vAlign w:val="center"/>
          </w:tcPr>
          <w:p w14:paraId="2CD51612">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23.21</w:t>
            </w:r>
          </w:p>
        </w:tc>
        <w:tc>
          <w:tcPr>
            <w:tcW w:w="781" w:type="dxa"/>
            <w:noWrap w:val="0"/>
            <w:vAlign w:val="center"/>
          </w:tcPr>
          <w:p w14:paraId="717A8692">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29.01</w:t>
            </w:r>
          </w:p>
        </w:tc>
        <w:tc>
          <w:tcPr>
            <w:tcW w:w="783" w:type="dxa"/>
            <w:noWrap w:val="0"/>
            <w:vAlign w:val="center"/>
          </w:tcPr>
          <w:p w14:paraId="74D0EEA3">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29.01</w:t>
            </w:r>
          </w:p>
        </w:tc>
        <w:tc>
          <w:tcPr>
            <w:tcW w:w="783" w:type="dxa"/>
            <w:noWrap w:val="0"/>
            <w:vAlign w:val="center"/>
          </w:tcPr>
          <w:p w14:paraId="5FE7405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29.01</w:t>
            </w:r>
          </w:p>
        </w:tc>
        <w:tc>
          <w:tcPr>
            <w:tcW w:w="783" w:type="dxa"/>
            <w:noWrap w:val="0"/>
            <w:vAlign w:val="center"/>
          </w:tcPr>
          <w:p w14:paraId="49BE1F19">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29.01</w:t>
            </w:r>
          </w:p>
        </w:tc>
        <w:tc>
          <w:tcPr>
            <w:tcW w:w="783" w:type="dxa"/>
            <w:noWrap w:val="0"/>
            <w:vAlign w:val="center"/>
          </w:tcPr>
          <w:p w14:paraId="455B9026">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29.01</w:t>
            </w:r>
          </w:p>
        </w:tc>
        <w:tc>
          <w:tcPr>
            <w:tcW w:w="782" w:type="dxa"/>
            <w:noWrap w:val="0"/>
            <w:vAlign w:val="center"/>
          </w:tcPr>
          <w:p w14:paraId="3677C5F6">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29.01</w:t>
            </w:r>
          </w:p>
        </w:tc>
        <w:tc>
          <w:tcPr>
            <w:tcW w:w="783" w:type="dxa"/>
            <w:noWrap w:val="0"/>
            <w:vAlign w:val="center"/>
          </w:tcPr>
          <w:p w14:paraId="44B8594B">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29.01</w:t>
            </w:r>
          </w:p>
        </w:tc>
        <w:tc>
          <w:tcPr>
            <w:tcW w:w="783" w:type="dxa"/>
            <w:noWrap w:val="0"/>
            <w:vAlign w:val="center"/>
          </w:tcPr>
          <w:p w14:paraId="655D5BD7">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29.01</w:t>
            </w:r>
          </w:p>
        </w:tc>
        <w:tc>
          <w:tcPr>
            <w:tcW w:w="782" w:type="dxa"/>
            <w:noWrap w:val="0"/>
            <w:vAlign w:val="center"/>
          </w:tcPr>
          <w:p w14:paraId="0D7057A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29.01</w:t>
            </w:r>
          </w:p>
        </w:tc>
        <w:tc>
          <w:tcPr>
            <w:tcW w:w="783" w:type="dxa"/>
            <w:noWrap w:val="0"/>
            <w:vAlign w:val="center"/>
          </w:tcPr>
          <w:p w14:paraId="7A5F7ABB">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29.01</w:t>
            </w:r>
          </w:p>
        </w:tc>
        <w:tc>
          <w:tcPr>
            <w:tcW w:w="795" w:type="dxa"/>
            <w:noWrap w:val="0"/>
            <w:vAlign w:val="center"/>
          </w:tcPr>
          <w:p w14:paraId="07DFDEA6">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29.01</w:t>
            </w:r>
          </w:p>
        </w:tc>
      </w:tr>
      <w:tr w14:paraId="0198B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96" w:type="dxa"/>
            <w:noWrap w:val="0"/>
            <w:vAlign w:val="center"/>
          </w:tcPr>
          <w:p w14:paraId="2CCBE2F5">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1"/>
                <w:sz w:val="21"/>
                <w:szCs w:val="12"/>
              </w:rPr>
              <w:t>2.1</w:t>
            </w:r>
          </w:p>
        </w:tc>
        <w:tc>
          <w:tcPr>
            <w:tcW w:w="1932" w:type="dxa"/>
            <w:noWrap w:val="0"/>
            <w:vAlign w:val="center"/>
          </w:tcPr>
          <w:p w14:paraId="1B6D6FAF">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6"/>
                <w:sz w:val="21"/>
                <w:szCs w:val="12"/>
              </w:rPr>
              <w:t>营业税</w:t>
            </w:r>
          </w:p>
        </w:tc>
        <w:tc>
          <w:tcPr>
            <w:tcW w:w="782" w:type="dxa"/>
            <w:noWrap w:val="0"/>
            <w:vAlign w:val="center"/>
          </w:tcPr>
          <w:p w14:paraId="0F9E57D2">
            <w:pPr>
              <w:jc w:val="center"/>
              <w:rPr>
                <w:rFonts w:ascii="Times New Roman" w:hAnsi="Times New Roman" w:eastAsia="宋体" w:cs="宋体"/>
                <w:color w:val="auto"/>
                <w:sz w:val="21"/>
              </w:rPr>
            </w:pPr>
          </w:p>
        </w:tc>
        <w:tc>
          <w:tcPr>
            <w:tcW w:w="782" w:type="dxa"/>
            <w:noWrap w:val="0"/>
            <w:vAlign w:val="center"/>
          </w:tcPr>
          <w:p w14:paraId="79CBE982">
            <w:pPr>
              <w:jc w:val="center"/>
              <w:rPr>
                <w:rFonts w:ascii="Times New Roman" w:hAnsi="Times New Roman" w:eastAsia="宋体" w:cs="宋体"/>
                <w:color w:val="auto"/>
                <w:sz w:val="21"/>
              </w:rPr>
            </w:pPr>
          </w:p>
        </w:tc>
        <w:tc>
          <w:tcPr>
            <w:tcW w:w="782" w:type="dxa"/>
            <w:noWrap w:val="0"/>
            <w:vAlign w:val="center"/>
          </w:tcPr>
          <w:p w14:paraId="531B08BA">
            <w:pPr>
              <w:jc w:val="center"/>
              <w:rPr>
                <w:rFonts w:ascii="Times New Roman" w:hAnsi="Times New Roman" w:eastAsia="宋体" w:cs="宋体"/>
                <w:color w:val="auto"/>
                <w:sz w:val="21"/>
              </w:rPr>
            </w:pPr>
          </w:p>
        </w:tc>
        <w:tc>
          <w:tcPr>
            <w:tcW w:w="782" w:type="dxa"/>
            <w:noWrap w:val="0"/>
            <w:vAlign w:val="center"/>
          </w:tcPr>
          <w:p w14:paraId="4F4914DA">
            <w:pPr>
              <w:jc w:val="center"/>
              <w:rPr>
                <w:rFonts w:ascii="Times New Roman" w:hAnsi="Times New Roman" w:eastAsia="宋体" w:cs="宋体"/>
                <w:color w:val="auto"/>
                <w:sz w:val="21"/>
              </w:rPr>
            </w:pPr>
          </w:p>
        </w:tc>
        <w:tc>
          <w:tcPr>
            <w:tcW w:w="781" w:type="dxa"/>
            <w:noWrap w:val="0"/>
            <w:vAlign w:val="center"/>
          </w:tcPr>
          <w:p w14:paraId="1E7E671A">
            <w:pPr>
              <w:jc w:val="center"/>
              <w:rPr>
                <w:rFonts w:ascii="Times New Roman" w:hAnsi="Times New Roman" w:eastAsia="宋体" w:cs="宋体"/>
                <w:color w:val="auto"/>
                <w:sz w:val="21"/>
              </w:rPr>
            </w:pPr>
          </w:p>
        </w:tc>
        <w:tc>
          <w:tcPr>
            <w:tcW w:w="783" w:type="dxa"/>
            <w:noWrap w:val="0"/>
            <w:vAlign w:val="center"/>
          </w:tcPr>
          <w:p w14:paraId="17454B38">
            <w:pPr>
              <w:jc w:val="center"/>
              <w:rPr>
                <w:rFonts w:ascii="Times New Roman" w:hAnsi="Times New Roman" w:eastAsia="宋体" w:cs="宋体"/>
                <w:color w:val="auto"/>
                <w:sz w:val="21"/>
              </w:rPr>
            </w:pPr>
          </w:p>
        </w:tc>
        <w:tc>
          <w:tcPr>
            <w:tcW w:w="783" w:type="dxa"/>
            <w:noWrap w:val="0"/>
            <w:vAlign w:val="center"/>
          </w:tcPr>
          <w:p w14:paraId="033B4129">
            <w:pPr>
              <w:jc w:val="center"/>
              <w:rPr>
                <w:rFonts w:ascii="Times New Roman" w:hAnsi="Times New Roman" w:eastAsia="宋体" w:cs="宋体"/>
                <w:color w:val="auto"/>
                <w:sz w:val="21"/>
              </w:rPr>
            </w:pPr>
          </w:p>
        </w:tc>
        <w:tc>
          <w:tcPr>
            <w:tcW w:w="783" w:type="dxa"/>
            <w:noWrap w:val="0"/>
            <w:vAlign w:val="center"/>
          </w:tcPr>
          <w:p w14:paraId="484E0E22">
            <w:pPr>
              <w:jc w:val="center"/>
              <w:rPr>
                <w:rFonts w:ascii="Times New Roman" w:hAnsi="Times New Roman" w:eastAsia="宋体" w:cs="宋体"/>
                <w:color w:val="auto"/>
                <w:sz w:val="21"/>
              </w:rPr>
            </w:pPr>
          </w:p>
        </w:tc>
        <w:tc>
          <w:tcPr>
            <w:tcW w:w="783" w:type="dxa"/>
            <w:noWrap w:val="0"/>
            <w:vAlign w:val="center"/>
          </w:tcPr>
          <w:p w14:paraId="26675066">
            <w:pPr>
              <w:jc w:val="center"/>
              <w:rPr>
                <w:rFonts w:ascii="Times New Roman" w:hAnsi="Times New Roman" w:eastAsia="宋体" w:cs="宋体"/>
                <w:color w:val="auto"/>
                <w:sz w:val="21"/>
              </w:rPr>
            </w:pPr>
          </w:p>
        </w:tc>
        <w:tc>
          <w:tcPr>
            <w:tcW w:w="782" w:type="dxa"/>
            <w:noWrap w:val="0"/>
            <w:vAlign w:val="center"/>
          </w:tcPr>
          <w:p w14:paraId="6E1D6FDF">
            <w:pPr>
              <w:jc w:val="center"/>
              <w:rPr>
                <w:rFonts w:ascii="Times New Roman" w:hAnsi="Times New Roman" w:eastAsia="宋体" w:cs="宋体"/>
                <w:color w:val="auto"/>
                <w:sz w:val="21"/>
              </w:rPr>
            </w:pPr>
          </w:p>
        </w:tc>
        <w:tc>
          <w:tcPr>
            <w:tcW w:w="783" w:type="dxa"/>
            <w:noWrap w:val="0"/>
            <w:vAlign w:val="center"/>
          </w:tcPr>
          <w:p w14:paraId="3EAB52EA">
            <w:pPr>
              <w:jc w:val="center"/>
              <w:rPr>
                <w:rFonts w:ascii="Times New Roman" w:hAnsi="Times New Roman" w:eastAsia="宋体" w:cs="宋体"/>
                <w:color w:val="auto"/>
                <w:sz w:val="21"/>
              </w:rPr>
            </w:pPr>
          </w:p>
        </w:tc>
        <w:tc>
          <w:tcPr>
            <w:tcW w:w="783" w:type="dxa"/>
            <w:noWrap w:val="0"/>
            <w:vAlign w:val="center"/>
          </w:tcPr>
          <w:p w14:paraId="229D2C91">
            <w:pPr>
              <w:jc w:val="center"/>
              <w:rPr>
                <w:rFonts w:ascii="Times New Roman" w:hAnsi="Times New Roman" w:eastAsia="宋体" w:cs="宋体"/>
                <w:color w:val="auto"/>
                <w:sz w:val="21"/>
              </w:rPr>
            </w:pPr>
          </w:p>
        </w:tc>
        <w:tc>
          <w:tcPr>
            <w:tcW w:w="782" w:type="dxa"/>
            <w:noWrap w:val="0"/>
            <w:vAlign w:val="center"/>
          </w:tcPr>
          <w:p w14:paraId="65848A9C">
            <w:pPr>
              <w:jc w:val="center"/>
              <w:rPr>
                <w:rFonts w:ascii="Times New Roman" w:hAnsi="Times New Roman" w:eastAsia="宋体" w:cs="宋体"/>
                <w:color w:val="auto"/>
                <w:sz w:val="21"/>
              </w:rPr>
            </w:pPr>
          </w:p>
        </w:tc>
        <w:tc>
          <w:tcPr>
            <w:tcW w:w="783" w:type="dxa"/>
            <w:noWrap w:val="0"/>
            <w:vAlign w:val="center"/>
          </w:tcPr>
          <w:p w14:paraId="66007173">
            <w:pPr>
              <w:jc w:val="center"/>
              <w:rPr>
                <w:rFonts w:ascii="Times New Roman" w:hAnsi="Times New Roman" w:eastAsia="宋体" w:cs="宋体"/>
                <w:color w:val="auto"/>
                <w:sz w:val="21"/>
              </w:rPr>
            </w:pPr>
          </w:p>
        </w:tc>
        <w:tc>
          <w:tcPr>
            <w:tcW w:w="795" w:type="dxa"/>
            <w:noWrap w:val="0"/>
            <w:vAlign w:val="center"/>
          </w:tcPr>
          <w:p w14:paraId="3569D771">
            <w:pPr>
              <w:jc w:val="center"/>
              <w:rPr>
                <w:rFonts w:ascii="Times New Roman" w:hAnsi="Times New Roman" w:eastAsia="宋体" w:cs="宋体"/>
                <w:color w:val="auto"/>
                <w:sz w:val="21"/>
              </w:rPr>
            </w:pPr>
          </w:p>
        </w:tc>
      </w:tr>
      <w:tr w14:paraId="126E5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96" w:type="dxa"/>
            <w:noWrap w:val="0"/>
            <w:vAlign w:val="center"/>
          </w:tcPr>
          <w:p w14:paraId="713AC3DF">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3"/>
                <w:sz w:val="21"/>
                <w:szCs w:val="12"/>
              </w:rPr>
              <w:t>2.2</w:t>
            </w:r>
          </w:p>
        </w:tc>
        <w:tc>
          <w:tcPr>
            <w:tcW w:w="1932" w:type="dxa"/>
            <w:noWrap w:val="0"/>
            <w:vAlign w:val="center"/>
          </w:tcPr>
          <w:p w14:paraId="654FA5E1">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7"/>
                <w:sz w:val="21"/>
                <w:szCs w:val="12"/>
              </w:rPr>
              <w:t>消费税</w:t>
            </w:r>
          </w:p>
        </w:tc>
        <w:tc>
          <w:tcPr>
            <w:tcW w:w="782" w:type="dxa"/>
            <w:noWrap w:val="0"/>
            <w:vAlign w:val="center"/>
          </w:tcPr>
          <w:p w14:paraId="7EAF1A07">
            <w:pPr>
              <w:jc w:val="center"/>
              <w:rPr>
                <w:rFonts w:ascii="Times New Roman" w:hAnsi="Times New Roman" w:eastAsia="宋体" w:cs="宋体"/>
                <w:color w:val="auto"/>
                <w:sz w:val="21"/>
              </w:rPr>
            </w:pPr>
          </w:p>
        </w:tc>
        <w:tc>
          <w:tcPr>
            <w:tcW w:w="782" w:type="dxa"/>
            <w:noWrap w:val="0"/>
            <w:vAlign w:val="center"/>
          </w:tcPr>
          <w:p w14:paraId="275F61CA">
            <w:pPr>
              <w:jc w:val="center"/>
              <w:rPr>
                <w:rFonts w:ascii="Times New Roman" w:hAnsi="Times New Roman" w:eastAsia="宋体" w:cs="宋体"/>
                <w:color w:val="auto"/>
                <w:sz w:val="21"/>
              </w:rPr>
            </w:pPr>
          </w:p>
        </w:tc>
        <w:tc>
          <w:tcPr>
            <w:tcW w:w="782" w:type="dxa"/>
            <w:noWrap w:val="0"/>
            <w:vAlign w:val="center"/>
          </w:tcPr>
          <w:p w14:paraId="43255841">
            <w:pPr>
              <w:jc w:val="center"/>
              <w:rPr>
                <w:rFonts w:ascii="Times New Roman" w:hAnsi="Times New Roman" w:eastAsia="宋体" w:cs="宋体"/>
                <w:color w:val="auto"/>
                <w:sz w:val="21"/>
              </w:rPr>
            </w:pPr>
          </w:p>
        </w:tc>
        <w:tc>
          <w:tcPr>
            <w:tcW w:w="782" w:type="dxa"/>
            <w:noWrap w:val="0"/>
            <w:vAlign w:val="center"/>
          </w:tcPr>
          <w:p w14:paraId="22E4BBCB">
            <w:pPr>
              <w:jc w:val="center"/>
              <w:rPr>
                <w:rFonts w:ascii="Times New Roman" w:hAnsi="Times New Roman" w:eastAsia="宋体" w:cs="宋体"/>
                <w:color w:val="auto"/>
                <w:sz w:val="21"/>
              </w:rPr>
            </w:pPr>
          </w:p>
        </w:tc>
        <w:tc>
          <w:tcPr>
            <w:tcW w:w="781" w:type="dxa"/>
            <w:noWrap w:val="0"/>
            <w:vAlign w:val="center"/>
          </w:tcPr>
          <w:p w14:paraId="1FDFE662">
            <w:pPr>
              <w:jc w:val="center"/>
              <w:rPr>
                <w:rFonts w:ascii="Times New Roman" w:hAnsi="Times New Roman" w:eastAsia="宋体" w:cs="宋体"/>
                <w:color w:val="auto"/>
                <w:sz w:val="21"/>
              </w:rPr>
            </w:pPr>
          </w:p>
        </w:tc>
        <w:tc>
          <w:tcPr>
            <w:tcW w:w="783" w:type="dxa"/>
            <w:noWrap w:val="0"/>
            <w:vAlign w:val="center"/>
          </w:tcPr>
          <w:p w14:paraId="4FC4AD7B">
            <w:pPr>
              <w:jc w:val="center"/>
              <w:rPr>
                <w:rFonts w:ascii="Times New Roman" w:hAnsi="Times New Roman" w:eastAsia="宋体" w:cs="宋体"/>
                <w:color w:val="auto"/>
                <w:sz w:val="21"/>
              </w:rPr>
            </w:pPr>
          </w:p>
        </w:tc>
        <w:tc>
          <w:tcPr>
            <w:tcW w:w="783" w:type="dxa"/>
            <w:noWrap w:val="0"/>
            <w:vAlign w:val="center"/>
          </w:tcPr>
          <w:p w14:paraId="7B9AD317">
            <w:pPr>
              <w:jc w:val="center"/>
              <w:rPr>
                <w:rFonts w:ascii="Times New Roman" w:hAnsi="Times New Roman" w:eastAsia="宋体" w:cs="宋体"/>
                <w:color w:val="auto"/>
                <w:sz w:val="21"/>
              </w:rPr>
            </w:pPr>
          </w:p>
        </w:tc>
        <w:tc>
          <w:tcPr>
            <w:tcW w:w="783" w:type="dxa"/>
            <w:noWrap w:val="0"/>
            <w:vAlign w:val="center"/>
          </w:tcPr>
          <w:p w14:paraId="0028B2F5">
            <w:pPr>
              <w:jc w:val="center"/>
              <w:rPr>
                <w:rFonts w:ascii="Times New Roman" w:hAnsi="Times New Roman" w:eastAsia="宋体" w:cs="宋体"/>
                <w:color w:val="auto"/>
                <w:sz w:val="21"/>
              </w:rPr>
            </w:pPr>
          </w:p>
        </w:tc>
        <w:tc>
          <w:tcPr>
            <w:tcW w:w="783" w:type="dxa"/>
            <w:noWrap w:val="0"/>
            <w:vAlign w:val="center"/>
          </w:tcPr>
          <w:p w14:paraId="3BDF805B">
            <w:pPr>
              <w:jc w:val="center"/>
              <w:rPr>
                <w:rFonts w:ascii="Times New Roman" w:hAnsi="Times New Roman" w:eastAsia="宋体" w:cs="宋体"/>
                <w:color w:val="auto"/>
                <w:sz w:val="21"/>
              </w:rPr>
            </w:pPr>
          </w:p>
        </w:tc>
        <w:tc>
          <w:tcPr>
            <w:tcW w:w="782" w:type="dxa"/>
            <w:noWrap w:val="0"/>
            <w:vAlign w:val="center"/>
          </w:tcPr>
          <w:p w14:paraId="6A355C5E">
            <w:pPr>
              <w:jc w:val="center"/>
              <w:rPr>
                <w:rFonts w:ascii="Times New Roman" w:hAnsi="Times New Roman" w:eastAsia="宋体" w:cs="宋体"/>
                <w:color w:val="auto"/>
                <w:sz w:val="21"/>
              </w:rPr>
            </w:pPr>
          </w:p>
        </w:tc>
        <w:tc>
          <w:tcPr>
            <w:tcW w:w="783" w:type="dxa"/>
            <w:noWrap w:val="0"/>
            <w:vAlign w:val="center"/>
          </w:tcPr>
          <w:p w14:paraId="146FDC7D">
            <w:pPr>
              <w:jc w:val="center"/>
              <w:rPr>
                <w:rFonts w:ascii="Times New Roman" w:hAnsi="Times New Roman" w:eastAsia="宋体" w:cs="宋体"/>
                <w:color w:val="auto"/>
                <w:sz w:val="21"/>
              </w:rPr>
            </w:pPr>
          </w:p>
        </w:tc>
        <w:tc>
          <w:tcPr>
            <w:tcW w:w="783" w:type="dxa"/>
            <w:noWrap w:val="0"/>
            <w:vAlign w:val="center"/>
          </w:tcPr>
          <w:p w14:paraId="50CFADBE">
            <w:pPr>
              <w:jc w:val="center"/>
              <w:rPr>
                <w:rFonts w:ascii="Times New Roman" w:hAnsi="Times New Roman" w:eastAsia="宋体" w:cs="宋体"/>
                <w:color w:val="auto"/>
                <w:sz w:val="21"/>
              </w:rPr>
            </w:pPr>
          </w:p>
        </w:tc>
        <w:tc>
          <w:tcPr>
            <w:tcW w:w="782" w:type="dxa"/>
            <w:noWrap w:val="0"/>
            <w:vAlign w:val="center"/>
          </w:tcPr>
          <w:p w14:paraId="0D9E15A9">
            <w:pPr>
              <w:jc w:val="center"/>
              <w:rPr>
                <w:rFonts w:ascii="Times New Roman" w:hAnsi="Times New Roman" w:eastAsia="宋体" w:cs="宋体"/>
                <w:color w:val="auto"/>
                <w:sz w:val="21"/>
              </w:rPr>
            </w:pPr>
          </w:p>
        </w:tc>
        <w:tc>
          <w:tcPr>
            <w:tcW w:w="783" w:type="dxa"/>
            <w:noWrap w:val="0"/>
            <w:vAlign w:val="center"/>
          </w:tcPr>
          <w:p w14:paraId="57297C39">
            <w:pPr>
              <w:jc w:val="center"/>
              <w:rPr>
                <w:rFonts w:ascii="Times New Roman" w:hAnsi="Times New Roman" w:eastAsia="宋体" w:cs="宋体"/>
                <w:color w:val="auto"/>
                <w:sz w:val="21"/>
              </w:rPr>
            </w:pPr>
          </w:p>
        </w:tc>
        <w:tc>
          <w:tcPr>
            <w:tcW w:w="795" w:type="dxa"/>
            <w:noWrap w:val="0"/>
            <w:vAlign w:val="center"/>
          </w:tcPr>
          <w:p w14:paraId="6F2FE51A">
            <w:pPr>
              <w:jc w:val="center"/>
              <w:rPr>
                <w:rFonts w:ascii="Times New Roman" w:hAnsi="Times New Roman" w:eastAsia="宋体" w:cs="宋体"/>
                <w:color w:val="auto"/>
                <w:sz w:val="21"/>
              </w:rPr>
            </w:pPr>
          </w:p>
        </w:tc>
      </w:tr>
      <w:tr w14:paraId="103A6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96" w:type="dxa"/>
            <w:noWrap w:val="0"/>
            <w:vAlign w:val="center"/>
          </w:tcPr>
          <w:p w14:paraId="341707D8">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3"/>
                <w:sz w:val="21"/>
                <w:szCs w:val="12"/>
              </w:rPr>
              <w:t>2.3</w:t>
            </w:r>
          </w:p>
        </w:tc>
        <w:tc>
          <w:tcPr>
            <w:tcW w:w="1932" w:type="dxa"/>
            <w:noWrap w:val="0"/>
            <w:vAlign w:val="center"/>
          </w:tcPr>
          <w:p w14:paraId="48689626">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7"/>
                <w:sz w:val="21"/>
                <w:szCs w:val="12"/>
              </w:rPr>
              <w:t>城市维护建设税（5%）</w:t>
            </w:r>
          </w:p>
        </w:tc>
        <w:tc>
          <w:tcPr>
            <w:tcW w:w="782" w:type="dxa"/>
            <w:noWrap w:val="0"/>
            <w:vAlign w:val="center"/>
          </w:tcPr>
          <w:p w14:paraId="0F4CA238">
            <w:pPr>
              <w:jc w:val="center"/>
              <w:rPr>
                <w:rFonts w:ascii="Times New Roman" w:hAnsi="Times New Roman" w:eastAsia="宋体" w:cs="宋体"/>
                <w:color w:val="auto"/>
                <w:sz w:val="21"/>
              </w:rPr>
            </w:pPr>
          </w:p>
        </w:tc>
        <w:tc>
          <w:tcPr>
            <w:tcW w:w="782" w:type="dxa"/>
            <w:noWrap w:val="0"/>
            <w:vAlign w:val="center"/>
          </w:tcPr>
          <w:p w14:paraId="46B805AF">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5.44</w:t>
            </w:r>
          </w:p>
        </w:tc>
        <w:tc>
          <w:tcPr>
            <w:tcW w:w="782" w:type="dxa"/>
            <w:noWrap w:val="0"/>
            <w:vAlign w:val="center"/>
          </w:tcPr>
          <w:p w14:paraId="639120A4">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8.7</w:t>
            </w:r>
          </w:p>
        </w:tc>
        <w:tc>
          <w:tcPr>
            <w:tcW w:w="782" w:type="dxa"/>
            <w:noWrap w:val="0"/>
            <w:vAlign w:val="center"/>
          </w:tcPr>
          <w:p w14:paraId="62667F93">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11.61</w:t>
            </w:r>
          </w:p>
        </w:tc>
        <w:tc>
          <w:tcPr>
            <w:tcW w:w="781" w:type="dxa"/>
            <w:noWrap w:val="0"/>
            <w:vAlign w:val="center"/>
          </w:tcPr>
          <w:p w14:paraId="5A49936F">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14.51</w:t>
            </w:r>
          </w:p>
        </w:tc>
        <w:tc>
          <w:tcPr>
            <w:tcW w:w="783" w:type="dxa"/>
            <w:noWrap w:val="0"/>
            <w:vAlign w:val="center"/>
          </w:tcPr>
          <w:p w14:paraId="5EC2F52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14.51</w:t>
            </w:r>
          </w:p>
        </w:tc>
        <w:tc>
          <w:tcPr>
            <w:tcW w:w="783" w:type="dxa"/>
            <w:noWrap w:val="0"/>
            <w:vAlign w:val="center"/>
          </w:tcPr>
          <w:p w14:paraId="45AD367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14.51</w:t>
            </w:r>
          </w:p>
        </w:tc>
        <w:tc>
          <w:tcPr>
            <w:tcW w:w="783" w:type="dxa"/>
            <w:noWrap w:val="0"/>
            <w:vAlign w:val="center"/>
          </w:tcPr>
          <w:p w14:paraId="3F2E86E0">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14.51</w:t>
            </w:r>
          </w:p>
        </w:tc>
        <w:tc>
          <w:tcPr>
            <w:tcW w:w="783" w:type="dxa"/>
            <w:noWrap w:val="0"/>
            <w:vAlign w:val="center"/>
          </w:tcPr>
          <w:p w14:paraId="0EE135DF">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14.51</w:t>
            </w:r>
          </w:p>
        </w:tc>
        <w:tc>
          <w:tcPr>
            <w:tcW w:w="782" w:type="dxa"/>
            <w:noWrap w:val="0"/>
            <w:vAlign w:val="center"/>
          </w:tcPr>
          <w:p w14:paraId="562FEB9C">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14.51</w:t>
            </w:r>
          </w:p>
        </w:tc>
        <w:tc>
          <w:tcPr>
            <w:tcW w:w="783" w:type="dxa"/>
            <w:noWrap w:val="0"/>
            <w:vAlign w:val="center"/>
          </w:tcPr>
          <w:p w14:paraId="7D032111">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14.51</w:t>
            </w:r>
          </w:p>
        </w:tc>
        <w:tc>
          <w:tcPr>
            <w:tcW w:w="783" w:type="dxa"/>
            <w:noWrap w:val="0"/>
            <w:vAlign w:val="center"/>
          </w:tcPr>
          <w:p w14:paraId="7974D36B">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14.51</w:t>
            </w:r>
          </w:p>
        </w:tc>
        <w:tc>
          <w:tcPr>
            <w:tcW w:w="782" w:type="dxa"/>
            <w:noWrap w:val="0"/>
            <w:vAlign w:val="center"/>
          </w:tcPr>
          <w:p w14:paraId="446B0CA3">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14.51</w:t>
            </w:r>
          </w:p>
        </w:tc>
        <w:tc>
          <w:tcPr>
            <w:tcW w:w="783" w:type="dxa"/>
            <w:noWrap w:val="0"/>
            <w:vAlign w:val="center"/>
          </w:tcPr>
          <w:p w14:paraId="40ED6890">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14.51</w:t>
            </w:r>
          </w:p>
        </w:tc>
        <w:tc>
          <w:tcPr>
            <w:tcW w:w="795" w:type="dxa"/>
            <w:noWrap w:val="0"/>
            <w:vAlign w:val="center"/>
          </w:tcPr>
          <w:p w14:paraId="6EC7121C">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14.51</w:t>
            </w:r>
          </w:p>
        </w:tc>
      </w:tr>
      <w:tr w14:paraId="3541F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96" w:type="dxa"/>
            <w:noWrap w:val="0"/>
            <w:vAlign w:val="center"/>
          </w:tcPr>
          <w:p w14:paraId="063D3516">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3"/>
                <w:sz w:val="21"/>
                <w:szCs w:val="12"/>
              </w:rPr>
              <w:t>2.4</w:t>
            </w:r>
          </w:p>
        </w:tc>
        <w:tc>
          <w:tcPr>
            <w:tcW w:w="1932" w:type="dxa"/>
            <w:noWrap w:val="0"/>
            <w:vAlign w:val="center"/>
          </w:tcPr>
          <w:p w14:paraId="09ADFD11">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7"/>
                <w:sz w:val="21"/>
                <w:szCs w:val="12"/>
              </w:rPr>
              <w:t>教育费附加（3%）</w:t>
            </w:r>
          </w:p>
        </w:tc>
        <w:tc>
          <w:tcPr>
            <w:tcW w:w="782" w:type="dxa"/>
            <w:noWrap w:val="0"/>
            <w:vAlign w:val="center"/>
          </w:tcPr>
          <w:p w14:paraId="2171870D">
            <w:pPr>
              <w:jc w:val="center"/>
              <w:rPr>
                <w:rFonts w:ascii="Times New Roman" w:hAnsi="Times New Roman" w:eastAsia="宋体" w:cs="宋体"/>
                <w:color w:val="auto"/>
                <w:sz w:val="21"/>
              </w:rPr>
            </w:pPr>
          </w:p>
        </w:tc>
        <w:tc>
          <w:tcPr>
            <w:tcW w:w="782" w:type="dxa"/>
            <w:noWrap w:val="0"/>
            <w:vAlign w:val="center"/>
          </w:tcPr>
          <w:p w14:paraId="24B4E92A">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3.26</w:t>
            </w:r>
          </w:p>
        </w:tc>
        <w:tc>
          <w:tcPr>
            <w:tcW w:w="782" w:type="dxa"/>
            <w:noWrap w:val="0"/>
            <w:vAlign w:val="center"/>
          </w:tcPr>
          <w:p w14:paraId="60A27C3A">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5.22</w:t>
            </w:r>
          </w:p>
        </w:tc>
        <w:tc>
          <w:tcPr>
            <w:tcW w:w="782" w:type="dxa"/>
            <w:noWrap w:val="0"/>
            <w:vAlign w:val="center"/>
          </w:tcPr>
          <w:p w14:paraId="797DCDFC">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6.96</w:t>
            </w:r>
          </w:p>
        </w:tc>
        <w:tc>
          <w:tcPr>
            <w:tcW w:w="781" w:type="dxa"/>
            <w:noWrap w:val="0"/>
            <w:vAlign w:val="center"/>
          </w:tcPr>
          <w:p w14:paraId="5127401E">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8.7</w:t>
            </w:r>
          </w:p>
        </w:tc>
        <w:tc>
          <w:tcPr>
            <w:tcW w:w="783" w:type="dxa"/>
            <w:noWrap w:val="0"/>
            <w:vAlign w:val="center"/>
          </w:tcPr>
          <w:p w14:paraId="50710AC6">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8.7</w:t>
            </w:r>
          </w:p>
        </w:tc>
        <w:tc>
          <w:tcPr>
            <w:tcW w:w="783" w:type="dxa"/>
            <w:noWrap w:val="0"/>
            <w:vAlign w:val="center"/>
          </w:tcPr>
          <w:p w14:paraId="7B211863">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8.7</w:t>
            </w:r>
          </w:p>
        </w:tc>
        <w:tc>
          <w:tcPr>
            <w:tcW w:w="783" w:type="dxa"/>
            <w:noWrap w:val="0"/>
            <w:vAlign w:val="center"/>
          </w:tcPr>
          <w:p w14:paraId="4B1BB588">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8.7</w:t>
            </w:r>
          </w:p>
        </w:tc>
        <w:tc>
          <w:tcPr>
            <w:tcW w:w="783" w:type="dxa"/>
            <w:noWrap w:val="0"/>
            <w:vAlign w:val="center"/>
          </w:tcPr>
          <w:p w14:paraId="167441B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8.7</w:t>
            </w:r>
          </w:p>
        </w:tc>
        <w:tc>
          <w:tcPr>
            <w:tcW w:w="782" w:type="dxa"/>
            <w:noWrap w:val="0"/>
            <w:vAlign w:val="center"/>
          </w:tcPr>
          <w:p w14:paraId="6CCF06CD">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8.7</w:t>
            </w:r>
          </w:p>
        </w:tc>
        <w:tc>
          <w:tcPr>
            <w:tcW w:w="783" w:type="dxa"/>
            <w:noWrap w:val="0"/>
            <w:vAlign w:val="center"/>
          </w:tcPr>
          <w:p w14:paraId="4156781C">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8.7</w:t>
            </w:r>
          </w:p>
        </w:tc>
        <w:tc>
          <w:tcPr>
            <w:tcW w:w="783" w:type="dxa"/>
            <w:noWrap w:val="0"/>
            <w:vAlign w:val="center"/>
          </w:tcPr>
          <w:p w14:paraId="528E4FF9">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8.7</w:t>
            </w:r>
          </w:p>
        </w:tc>
        <w:tc>
          <w:tcPr>
            <w:tcW w:w="782" w:type="dxa"/>
            <w:noWrap w:val="0"/>
            <w:vAlign w:val="center"/>
          </w:tcPr>
          <w:p w14:paraId="5E4CF73F">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8.7</w:t>
            </w:r>
          </w:p>
        </w:tc>
        <w:tc>
          <w:tcPr>
            <w:tcW w:w="783" w:type="dxa"/>
            <w:noWrap w:val="0"/>
            <w:vAlign w:val="center"/>
          </w:tcPr>
          <w:p w14:paraId="6B24B762">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8.7</w:t>
            </w:r>
          </w:p>
        </w:tc>
        <w:tc>
          <w:tcPr>
            <w:tcW w:w="795" w:type="dxa"/>
            <w:noWrap w:val="0"/>
            <w:vAlign w:val="center"/>
          </w:tcPr>
          <w:p w14:paraId="32369402">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8.7</w:t>
            </w:r>
          </w:p>
        </w:tc>
      </w:tr>
      <w:tr w14:paraId="1C533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6" w:type="dxa"/>
            <w:noWrap w:val="0"/>
            <w:vAlign w:val="center"/>
          </w:tcPr>
          <w:p w14:paraId="0FEFA26E">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3"/>
                <w:sz w:val="21"/>
                <w:szCs w:val="12"/>
              </w:rPr>
              <w:t>2.5</w:t>
            </w:r>
          </w:p>
        </w:tc>
        <w:tc>
          <w:tcPr>
            <w:tcW w:w="1932" w:type="dxa"/>
            <w:noWrap w:val="0"/>
            <w:vAlign w:val="center"/>
          </w:tcPr>
          <w:p w14:paraId="55973A91">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7"/>
                <w:sz w:val="21"/>
                <w:szCs w:val="12"/>
              </w:rPr>
              <w:t>地方教育费附加（2%）</w:t>
            </w:r>
          </w:p>
        </w:tc>
        <w:tc>
          <w:tcPr>
            <w:tcW w:w="782" w:type="dxa"/>
            <w:noWrap w:val="0"/>
            <w:vAlign w:val="center"/>
          </w:tcPr>
          <w:p w14:paraId="09AEA82C">
            <w:pPr>
              <w:jc w:val="center"/>
              <w:rPr>
                <w:rFonts w:ascii="Times New Roman" w:hAnsi="Times New Roman" w:eastAsia="宋体" w:cs="宋体"/>
                <w:color w:val="auto"/>
                <w:sz w:val="21"/>
              </w:rPr>
            </w:pPr>
          </w:p>
        </w:tc>
        <w:tc>
          <w:tcPr>
            <w:tcW w:w="782" w:type="dxa"/>
            <w:noWrap w:val="0"/>
            <w:vAlign w:val="center"/>
          </w:tcPr>
          <w:p w14:paraId="717FB79A">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2.18</w:t>
            </w:r>
          </w:p>
        </w:tc>
        <w:tc>
          <w:tcPr>
            <w:tcW w:w="782" w:type="dxa"/>
            <w:noWrap w:val="0"/>
            <w:vAlign w:val="center"/>
          </w:tcPr>
          <w:p w14:paraId="3E42B752">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3.48</w:t>
            </w:r>
          </w:p>
        </w:tc>
        <w:tc>
          <w:tcPr>
            <w:tcW w:w="782" w:type="dxa"/>
            <w:noWrap w:val="0"/>
            <w:vAlign w:val="center"/>
          </w:tcPr>
          <w:p w14:paraId="1FA200FD">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4.64</w:t>
            </w:r>
          </w:p>
        </w:tc>
        <w:tc>
          <w:tcPr>
            <w:tcW w:w="781" w:type="dxa"/>
            <w:noWrap w:val="0"/>
            <w:vAlign w:val="center"/>
          </w:tcPr>
          <w:p w14:paraId="72AB0C97">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5.8</w:t>
            </w:r>
          </w:p>
        </w:tc>
        <w:tc>
          <w:tcPr>
            <w:tcW w:w="783" w:type="dxa"/>
            <w:noWrap w:val="0"/>
            <w:vAlign w:val="center"/>
          </w:tcPr>
          <w:p w14:paraId="5B6BF074">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5.8</w:t>
            </w:r>
          </w:p>
        </w:tc>
        <w:tc>
          <w:tcPr>
            <w:tcW w:w="783" w:type="dxa"/>
            <w:noWrap w:val="0"/>
            <w:vAlign w:val="center"/>
          </w:tcPr>
          <w:p w14:paraId="1D212F0F">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5.8</w:t>
            </w:r>
          </w:p>
        </w:tc>
        <w:tc>
          <w:tcPr>
            <w:tcW w:w="783" w:type="dxa"/>
            <w:noWrap w:val="0"/>
            <w:vAlign w:val="center"/>
          </w:tcPr>
          <w:p w14:paraId="27234F54">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5.8</w:t>
            </w:r>
          </w:p>
        </w:tc>
        <w:tc>
          <w:tcPr>
            <w:tcW w:w="783" w:type="dxa"/>
            <w:noWrap w:val="0"/>
            <w:vAlign w:val="center"/>
          </w:tcPr>
          <w:p w14:paraId="1E8BB066">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5.8</w:t>
            </w:r>
          </w:p>
        </w:tc>
        <w:tc>
          <w:tcPr>
            <w:tcW w:w="782" w:type="dxa"/>
            <w:noWrap w:val="0"/>
            <w:vAlign w:val="center"/>
          </w:tcPr>
          <w:p w14:paraId="71018748">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5.8</w:t>
            </w:r>
          </w:p>
        </w:tc>
        <w:tc>
          <w:tcPr>
            <w:tcW w:w="783" w:type="dxa"/>
            <w:noWrap w:val="0"/>
            <w:vAlign w:val="center"/>
          </w:tcPr>
          <w:p w14:paraId="682243E9">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5.8</w:t>
            </w:r>
          </w:p>
        </w:tc>
        <w:tc>
          <w:tcPr>
            <w:tcW w:w="783" w:type="dxa"/>
            <w:noWrap w:val="0"/>
            <w:vAlign w:val="center"/>
          </w:tcPr>
          <w:p w14:paraId="13E64A69">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5.8</w:t>
            </w:r>
          </w:p>
        </w:tc>
        <w:tc>
          <w:tcPr>
            <w:tcW w:w="782" w:type="dxa"/>
            <w:noWrap w:val="0"/>
            <w:vAlign w:val="center"/>
          </w:tcPr>
          <w:p w14:paraId="3D32E9F0">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5.8</w:t>
            </w:r>
          </w:p>
        </w:tc>
        <w:tc>
          <w:tcPr>
            <w:tcW w:w="783" w:type="dxa"/>
            <w:noWrap w:val="0"/>
            <w:vAlign w:val="center"/>
          </w:tcPr>
          <w:p w14:paraId="15380520">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5.8</w:t>
            </w:r>
          </w:p>
        </w:tc>
        <w:tc>
          <w:tcPr>
            <w:tcW w:w="795" w:type="dxa"/>
            <w:noWrap w:val="0"/>
            <w:vAlign w:val="center"/>
          </w:tcPr>
          <w:p w14:paraId="25E526A7">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5.8</w:t>
            </w:r>
          </w:p>
        </w:tc>
      </w:tr>
      <w:tr w14:paraId="74E44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6" w:type="dxa"/>
            <w:noWrap w:val="0"/>
            <w:vAlign w:val="center"/>
          </w:tcPr>
          <w:p w14:paraId="1A2BD53E">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z w:val="21"/>
                <w:szCs w:val="12"/>
              </w:rPr>
              <w:t>3</w:t>
            </w:r>
          </w:p>
        </w:tc>
        <w:tc>
          <w:tcPr>
            <w:tcW w:w="1932" w:type="dxa"/>
            <w:noWrap w:val="0"/>
            <w:vAlign w:val="center"/>
          </w:tcPr>
          <w:p w14:paraId="18EAC943">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7"/>
                <w:sz w:val="21"/>
                <w:szCs w:val="12"/>
              </w:rPr>
              <w:t>增值税</w:t>
            </w:r>
          </w:p>
        </w:tc>
        <w:tc>
          <w:tcPr>
            <w:tcW w:w="782" w:type="dxa"/>
            <w:noWrap w:val="0"/>
            <w:vAlign w:val="center"/>
          </w:tcPr>
          <w:p w14:paraId="082404BB">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18"/>
                <w:szCs w:val="18"/>
                <w:u w:val="none"/>
                <w:lang w:val="en-US" w:eastAsia="zh-CN" w:bidi="ar"/>
              </w:rPr>
              <w:t>4919.14</w:t>
            </w:r>
          </w:p>
        </w:tc>
        <w:tc>
          <w:tcPr>
            <w:tcW w:w="782" w:type="dxa"/>
            <w:noWrap w:val="0"/>
            <w:vAlign w:val="center"/>
          </w:tcPr>
          <w:p w14:paraId="748588DD">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144.40</w:t>
            </w:r>
          </w:p>
        </w:tc>
        <w:tc>
          <w:tcPr>
            <w:tcW w:w="782" w:type="dxa"/>
            <w:noWrap w:val="0"/>
            <w:vAlign w:val="center"/>
          </w:tcPr>
          <w:p w14:paraId="51B1CE32">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231.04</w:t>
            </w:r>
          </w:p>
        </w:tc>
        <w:tc>
          <w:tcPr>
            <w:tcW w:w="782" w:type="dxa"/>
            <w:noWrap w:val="0"/>
            <w:vAlign w:val="center"/>
          </w:tcPr>
          <w:p w14:paraId="18F5DD23">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308.05</w:t>
            </w:r>
          </w:p>
        </w:tc>
        <w:tc>
          <w:tcPr>
            <w:tcW w:w="781" w:type="dxa"/>
            <w:noWrap w:val="0"/>
            <w:vAlign w:val="center"/>
          </w:tcPr>
          <w:p w14:paraId="04CDB95B">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385.06</w:t>
            </w:r>
          </w:p>
        </w:tc>
        <w:tc>
          <w:tcPr>
            <w:tcW w:w="783" w:type="dxa"/>
            <w:noWrap w:val="0"/>
            <w:vAlign w:val="center"/>
          </w:tcPr>
          <w:p w14:paraId="1CED410E">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385.06</w:t>
            </w:r>
          </w:p>
        </w:tc>
        <w:tc>
          <w:tcPr>
            <w:tcW w:w="783" w:type="dxa"/>
            <w:noWrap w:val="0"/>
            <w:vAlign w:val="center"/>
          </w:tcPr>
          <w:p w14:paraId="5A92653A">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385.06</w:t>
            </w:r>
          </w:p>
        </w:tc>
        <w:tc>
          <w:tcPr>
            <w:tcW w:w="783" w:type="dxa"/>
            <w:noWrap w:val="0"/>
            <w:vAlign w:val="center"/>
          </w:tcPr>
          <w:p w14:paraId="6838D7D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385.06</w:t>
            </w:r>
          </w:p>
        </w:tc>
        <w:tc>
          <w:tcPr>
            <w:tcW w:w="783" w:type="dxa"/>
            <w:noWrap w:val="0"/>
            <w:vAlign w:val="center"/>
          </w:tcPr>
          <w:p w14:paraId="422B71E6">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385.06</w:t>
            </w:r>
          </w:p>
        </w:tc>
        <w:tc>
          <w:tcPr>
            <w:tcW w:w="782" w:type="dxa"/>
            <w:noWrap w:val="0"/>
            <w:vAlign w:val="center"/>
          </w:tcPr>
          <w:p w14:paraId="3402552D">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385.06</w:t>
            </w:r>
          </w:p>
        </w:tc>
        <w:tc>
          <w:tcPr>
            <w:tcW w:w="783" w:type="dxa"/>
            <w:noWrap w:val="0"/>
            <w:vAlign w:val="center"/>
          </w:tcPr>
          <w:p w14:paraId="3F687D97">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385.06</w:t>
            </w:r>
          </w:p>
        </w:tc>
        <w:tc>
          <w:tcPr>
            <w:tcW w:w="783" w:type="dxa"/>
            <w:noWrap w:val="0"/>
            <w:vAlign w:val="center"/>
          </w:tcPr>
          <w:p w14:paraId="0D7BD81A">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385.06</w:t>
            </w:r>
          </w:p>
        </w:tc>
        <w:tc>
          <w:tcPr>
            <w:tcW w:w="782" w:type="dxa"/>
            <w:noWrap w:val="0"/>
            <w:vAlign w:val="center"/>
          </w:tcPr>
          <w:p w14:paraId="218C6D99">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385.06</w:t>
            </w:r>
          </w:p>
        </w:tc>
        <w:tc>
          <w:tcPr>
            <w:tcW w:w="783" w:type="dxa"/>
            <w:noWrap w:val="0"/>
            <w:vAlign w:val="center"/>
          </w:tcPr>
          <w:p w14:paraId="645216EC">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385.06</w:t>
            </w:r>
          </w:p>
        </w:tc>
        <w:tc>
          <w:tcPr>
            <w:tcW w:w="795" w:type="dxa"/>
            <w:noWrap w:val="0"/>
            <w:vAlign w:val="center"/>
          </w:tcPr>
          <w:p w14:paraId="4ADC55E4">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385.06</w:t>
            </w:r>
          </w:p>
        </w:tc>
      </w:tr>
      <w:tr w14:paraId="2663C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6" w:type="dxa"/>
            <w:noWrap w:val="0"/>
            <w:vAlign w:val="center"/>
          </w:tcPr>
          <w:p w14:paraId="150680DC">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rPr>
            </w:pPr>
          </w:p>
        </w:tc>
        <w:tc>
          <w:tcPr>
            <w:tcW w:w="1932" w:type="dxa"/>
            <w:noWrap w:val="0"/>
            <w:vAlign w:val="center"/>
          </w:tcPr>
          <w:p w14:paraId="651A7577">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8"/>
                <w:sz w:val="21"/>
                <w:szCs w:val="12"/>
              </w:rPr>
              <w:t>销项税额</w:t>
            </w:r>
          </w:p>
        </w:tc>
        <w:tc>
          <w:tcPr>
            <w:tcW w:w="782" w:type="dxa"/>
            <w:noWrap w:val="0"/>
            <w:vAlign w:val="center"/>
          </w:tcPr>
          <w:p w14:paraId="2FEFC7D2">
            <w:pPr>
              <w:jc w:val="center"/>
              <w:rPr>
                <w:rFonts w:ascii="Times New Roman" w:hAnsi="Times New Roman" w:eastAsia="宋体" w:cs="宋体"/>
                <w:color w:val="auto"/>
                <w:sz w:val="21"/>
              </w:rPr>
            </w:pPr>
          </w:p>
        </w:tc>
        <w:tc>
          <w:tcPr>
            <w:tcW w:w="782" w:type="dxa"/>
            <w:noWrap w:val="0"/>
            <w:vAlign w:val="center"/>
          </w:tcPr>
          <w:p w14:paraId="0661F75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487.5</w:t>
            </w:r>
          </w:p>
        </w:tc>
        <w:tc>
          <w:tcPr>
            <w:tcW w:w="782" w:type="dxa"/>
            <w:noWrap w:val="0"/>
            <w:vAlign w:val="center"/>
          </w:tcPr>
          <w:p w14:paraId="037E019B">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780</w:t>
            </w:r>
          </w:p>
        </w:tc>
        <w:tc>
          <w:tcPr>
            <w:tcW w:w="782" w:type="dxa"/>
            <w:noWrap w:val="0"/>
            <w:vAlign w:val="center"/>
          </w:tcPr>
          <w:p w14:paraId="30DA6DC0">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1040</w:t>
            </w:r>
          </w:p>
        </w:tc>
        <w:tc>
          <w:tcPr>
            <w:tcW w:w="781" w:type="dxa"/>
            <w:noWrap w:val="0"/>
            <w:vAlign w:val="center"/>
          </w:tcPr>
          <w:p w14:paraId="6805D19D">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3" w:type="dxa"/>
            <w:noWrap w:val="0"/>
            <w:vAlign w:val="center"/>
          </w:tcPr>
          <w:p w14:paraId="63795049">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3" w:type="dxa"/>
            <w:noWrap w:val="0"/>
            <w:vAlign w:val="center"/>
          </w:tcPr>
          <w:p w14:paraId="49787AD9">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3" w:type="dxa"/>
            <w:noWrap w:val="0"/>
            <w:vAlign w:val="center"/>
          </w:tcPr>
          <w:p w14:paraId="4A4DA46F">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3" w:type="dxa"/>
            <w:noWrap w:val="0"/>
            <w:vAlign w:val="center"/>
          </w:tcPr>
          <w:p w14:paraId="27D84C60">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2" w:type="dxa"/>
            <w:noWrap w:val="0"/>
            <w:vAlign w:val="center"/>
          </w:tcPr>
          <w:p w14:paraId="220DF468">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3" w:type="dxa"/>
            <w:noWrap w:val="0"/>
            <w:vAlign w:val="center"/>
          </w:tcPr>
          <w:p w14:paraId="7C78872C">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3" w:type="dxa"/>
            <w:noWrap w:val="0"/>
            <w:vAlign w:val="center"/>
          </w:tcPr>
          <w:p w14:paraId="7DF1D37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2" w:type="dxa"/>
            <w:noWrap w:val="0"/>
            <w:vAlign w:val="center"/>
          </w:tcPr>
          <w:p w14:paraId="743A1C84">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83" w:type="dxa"/>
            <w:noWrap w:val="0"/>
            <w:vAlign w:val="center"/>
          </w:tcPr>
          <w:p w14:paraId="2DADD54C">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c>
          <w:tcPr>
            <w:tcW w:w="795" w:type="dxa"/>
            <w:noWrap w:val="0"/>
            <w:vAlign w:val="center"/>
          </w:tcPr>
          <w:p w14:paraId="4508E799">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1300</w:t>
            </w:r>
          </w:p>
        </w:tc>
      </w:tr>
      <w:tr w14:paraId="6D701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96" w:type="dxa"/>
            <w:noWrap w:val="0"/>
            <w:vAlign w:val="center"/>
          </w:tcPr>
          <w:p w14:paraId="1226ED1D">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rPr>
            </w:pPr>
          </w:p>
        </w:tc>
        <w:tc>
          <w:tcPr>
            <w:tcW w:w="1932" w:type="dxa"/>
            <w:noWrap w:val="0"/>
            <w:vAlign w:val="center"/>
          </w:tcPr>
          <w:p w14:paraId="3A4A0044">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2"/>
              </w:rPr>
            </w:pPr>
            <w:r>
              <w:rPr>
                <w:rFonts w:ascii="Times New Roman" w:hAnsi="Times New Roman" w:eastAsia="宋体" w:cs="宋体"/>
                <w:color w:val="auto"/>
                <w:spacing w:val="8"/>
                <w:sz w:val="21"/>
                <w:szCs w:val="12"/>
              </w:rPr>
              <w:t>进项税额</w:t>
            </w:r>
          </w:p>
        </w:tc>
        <w:tc>
          <w:tcPr>
            <w:tcW w:w="782" w:type="dxa"/>
            <w:noWrap w:val="0"/>
            <w:vAlign w:val="center"/>
          </w:tcPr>
          <w:p w14:paraId="696A41C0">
            <w:pPr>
              <w:jc w:val="center"/>
              <w:rPr>
                <w:rFonts w:ascii="Times New Roman" w:hAnsi="Times New Roman" w:eastAsia="宋体" w:cs="宋体"/>
                <w:color w:val="auto"/>
                <w:sz w:val="21"/>
              </w:rPr>
            </w:pPr>
          </w:p>
        </w:tc>
        <w:tc>
          <w:tcPr>
            <w:tcW w:w="782" w:type="dxa"/>
            <w:noWrap w:val="0"/>
            <w:vAlign w:val="center"/>
          </w:tcPr>
          <w:p w14:paraId="749CF23E">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343.10</w:t>
            </w:r>
          </w:p>
        </w:tc>
        <w:tc>
          <w:tcPr>
            <w:tcW w:w="782" w:type="dxa"/>
            <w:noWrap w:val="0"/>
            <w:vAlign w:val="center"/>
          </w:tcPr>
          <w:p w14:paraId="718325D1">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548.96</w:t>
            </w:r>
          </w:p>
        </w:tc>
        <w:tc>
          <w:tcPr>
            <w:tcW w:w="782" w:type="dxa"/>
            <w:noWrap w:val="0"/>
            <w:vAlign w:val="center"/>
          </w:tcPr>
          <w:p w14:paraId="2A8453FC">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731.95</w:t>
            </w:r>
          </w:p>
        </w:tc>
        <w:tc>
          <w:tcPr>
            <w:tcW w:w="781" w:type="dxa"/>
            <w:noWrap w:val="0"/>
            <w:vAlign w:val="center"/>
          </w:tcPr>
          <w:p w14:paraId="29D6FEC5">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914.94</w:t>
            </w:r>
          </w:p>
        </w:tc>
        <w:tc>
          <w:tcPr>
            <w:tcW w:w="783" w:type="dxa"/>
            <w:noWrap w:val="0"/>
            <w:vAlign w:val="center"/>
          </w:tcPr>
          <w:p w14:paraId="2C3B9EA8">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914.94</w:t>
            </w:r>
          </w:p>
        </w:tc>
        <w:tc>
          <w:tcPr>
            <w:tcW w:w="783" w:type="dxa"/>
            <w:noWrap w:val="0"/>
            <w:vAlign w:val="center"/>
          </w:tcPr>
          <w:p w14:paraId="433A8DB1">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914.94</w:t>
            </w:r>
          </w:p>
        </w:tc>
        <w:tc>
          <w:tcPr>
            <w:tcW w:w="783" w:type="dxa"/>
            <w:noWrap w:val="0"/>
            <w:vAlign w:val="center"/>
          </w:tcPr>
          <w:p w14:paraId="38A1A42A">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914.94</w:t>
            </w:r>
          </w:p>
        </w:tc>
        <w:tc>
          <w:tcPr>
            <w:tcW w:w="783" w:type="dxa"/>
            <w:noWrap w:val="0"/>
            <w:vAlign w:val="center"/>
          </w:tcPr>
          <w:p w14:paraId="1A0B95CF">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914.94</w:t>
            </w:r>
          </w:p>
        </w:tc>
        <w:tc>
          <w:tcPr>
            <w:tcW w:w="782" w:type="dxa"/>
            <w:noWrap w:val="0"/>
            <w:vAlign w:val="center"/>
          </w:tcPr>
          <w:p w14:paraId="77C3F5DA">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914.94</w:t>
            </w:r>
          </w:p>
        </w:tc>
        <w:tc>
          <w:tcPr>
            <w:tcW w:w="783" w:type="dxa"/>
            <w:noWrap w:val="0"/>
            <w:vAlign w:val="center"/>
          </w:tcPr>
          <w:p w14:paraId="462DF7BF">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914.94</w:t>
            </w:r>
          </w:p>
        </w:tc>
        <w:tc>
          <w:tcPr>
            <w:tcW w:w="783" w:type="dxa"/>
            <w:noWrap w:val="0"/>
            <w:vAlign w:val="center"/>
          </w:tcPr>
          <w:p w14:paraId="291795D9">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914.94</w:t>
            </w:r>
          </w:p>
        </w:tc>
        <w:tc>
          <w:tcPr>
            <w:tcW w:w="782" w:type="dxa"/>
            <w:noWrap w:val="0"/>
            <w:vAlign w:val="center"/>
          </w:tcPr>
          <w:p w14:paraId="025BCE74">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914.94</w:t>
            </w:r>
          </w:p>
        </w:tc>
        <w:tc>
          <w:tcPr>
            <w:tcW w:w="783" w:type="dxa"/>
            <w:noWrap w:val="0"/>
            <w:vAlign w:val="center"/>
          </w:tcPr>
          <w:p w14:paraId="39A08D79">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914.94</w:t>
            </w:r>
          </w:p>
        </w:tc>
        <w:tc>
          <w:tcPr>
            <w:tcW w:w="795" w:type="dxa"/>
            <w:noWrap w:val="0"/>
            <w:vAlign w:val="center"/>
          </w:tcPr>
          <w:p w14:paraId="7137382D">
            <w:pPr>
              <w:keepNext w:val="0"/>
              <w:keepLines w:val="0"/>
              <w:widowControl/>
              <w:suppressLineNumbers w:val="0"/>
              <w:jc w:val="center"/>
              <w:textAlignment w:val="center"/>
              <w:rPr>
                <w:rFonts w:ascii="Times New Roman" w:hAnsi="Times New Roman" w:eastAsia="宋体" w:cs="宋体"/>
                <w:color w:val="auto"/>
                <w:sz w:val="21"/>
                <w:szCs w:val="12"/>
              </w:rPr>
            </w:pPr>
            <w:r>
              <w:rPr>
                <w:rFonts w:hint="default" w:ascii="Times New Roman" w:hAnsi="Times New Roman" w:eastAsia="宋体" w:cs="宋体"/>
                <w:i w:val="0"/>
                <w:iCs w:val="0"/>
                <w:snapToGrid w:val="0"/>
                <w:color w:val="auto"/>
                <w:kern w:val="0"/>
                <w:sz w:val="18"/>
                <w:szCs w:val="18"/>
                <w:u w:val="none"/>
                <w:lang w:val="en-US" w:eastAsia="zh-CN" w:bidi="ar"/>
              </w:rPr>
              <w:t>914.94</w:t>
            </w:r>
          </w:p>
        </w:tc>
      </w:tr>
    </w:tbl>
    <w:p w14:paraId="37A82925">
      <w:pPr>
        <w:pStyle w:val="12"/>
        <w:rPr>
          <w:rFonts w:ascii="Times New Roman" w:hAnsi="Times New Roman" w:eastAsia="宋体" w:cs="宋体"/>
          <w:color w:val="auto"/>
        </w:rPr>
      </w:pPr>
    </w:p>
    <w:p w14:paraId="32609E2F">
      <w:pPr>
        <w:rPr>
          <w:rFonts w:ascii="Times New Roman" w:hAnsi="Times New Roman" w:eastAsia="宋体" w:cs="宋体"/>
          <w:color w:val="auto"/>
        </w:rPr>
        <w:sectPr>
          <w:headerReference r:id="rId22" w:type="default"/>
          <w:footerReference r:id="rId23" w:type="default"/>
          <w:pgSz w:w="16840" w:h="11907"/>
          <w:pgMar w:top="1340" w:right="1330" w:bottom="1148" w:left="1327" w:header="1068" w:footer="961" w:gutter="0"/>
          <w:pgBorders w:offsetFrom="page">
            <w:top w:val="none" w:sz="0" w:space="0"/>
            <w:left w:val="none" w:sz="0" w:space="0"/>
            <w:bottom w:val="none" w:sz="0" w:space="0"/>
            <w:right w:val="none" w:sz="0" w:space="0"/>
          </w:pgBorders>
          <w:pgNumType w:fmt="decimal"/>
          <w:cols w:space="720" w:num="1"/>
        </w:sectPr>
      </w:pPr>
    </w:p>
    <w:p w14:paraId="50C06D3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附表3：总成本费用估算表</w:t>
      </w:r>
    </w:p>
    <w:tbl>
      <w:tblPr>
        <w:tblStyle w:val="26"/>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26"/>
        <w:gridCol w:w="2019"/>
        <w:gridCol w:w="870"/>
        <w:gridCol w:w="861"/>
        <w:gridCol w:w="769"/>
        <w:gridCol w:w="769"/>
        <w:gridCol w:w="769"/>
        <w:gridCol w:w="769"/>
        <w:gridCol w:w="769"/>
        <w:gridCol w:w="770"/>
        <w:gridCol w:w="770"/>
        <w:gridCol w:w="770"/>
        <w:gridCol w:w="770"/>
        <w:gridCol w:w="770"/>
        <w:gridCol w:w="770"/>
        <w:gridCol w:w="770"/>
        <w:gridCol w:w="770"/>
      </w:tblGrid>
      <w:tr w14:paraId="50AD2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0" w:type="auto"/>
            <w:vMerge w:val="restart"/>
            <w:tcBorders>
              <w:bottom w:val="nil"/>
            </w:tcBorders>
            <w:noWrap w:val="0"/>
            <w:vAlign w:val="center"/>
          </w:tcPr>
          <w:p w14:paraId="4FD5D4E9">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序号</w:t>
            </w:r>
          </w:p>
        </w:tc>
        <w:tc>
          <w:tcPr>
            <w:tcW w:w="0" w:type="auto"/>
            <w:vMerge w:val="restart"/>
            <w:tcBorders>
              <w:bottom w:val="nil"/>
            </w:tcBorders>
            <w:noWrap w:val="0"/>
            <w:vAlign w:val="center"/>
          </w:tcPr>
          <w:p w14:paraId="6D7B47CE">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z w:val="21"/>
                <w:szCs w:val="14"/>
              </w:rPr>
              <w:t>项目</w:t>
            </w:r>
          </w:p>
        </w:tc>
        <w:tc>
          <w:tcPr>
            <w:tcW w:w="0" w:type="auto"/>
            <w:vMerge w:val="restart"/>
            <w:tcBorders>
              <w:bottom w:val="nil"/>
            </w:tcBorders>
            <w:noWrap w:val="0"/>
            <w:vAlign w:val="center"/>
          </w:tcPr>
          <w:p w14:paraId="3BFAABE7">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合计</w:t>
            </w:r>
          </w:p>
        </w:tc>
        <w:tc>
          <w:tcPr>
            <w:tcW w:w="0" w:type="auto"/>
            <w:gridSpan w:val="14"/>
            <w:noWrap w:val="0"/>
            <w:vAlign w:val="center"/>
          </w:tcPr>
          <w:p w14:paraId="08A236AD">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运营期</w:t>
            </w:r>
          </w:p>
        </w:tc>
      </w:tr>
      <w:tr w14:paraId="2F8C9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vMerge w:val="continue"/>
            <w:tcBorders>
              <w:top w:val="nil"/>
            </w:tcBorders>
            <w:noWrap w:val="0"/>
            <w:vAlign w:val="center"/>
          </w:tcPr>
          <w:p w14:paraId="425E4B56">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rPr>
            </w:pPr>
          </w:p>
        </w:tc>
        <w:tc>
          <w:tcPr>
            <w:tcW w:w="0" w:type="auto"/>
            <w:vMerge w:val="continue"/>
            <w:tcBorders>
              <w:top w:val="nil"/>
            </w:tcBorders>
            <w:noWrap w:val="0"/>
            <w:vAlign w:val="center"/>
          </w:tcPr>
          <w:p w14:paraId="7F5E2FF6">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rPr>
            </w:pPr>
          </w:p>
        </w:tc>
        <w:tc>
          <w:tcPr>
            <w:tcW w:w="0" w:type="auto"/>
            <w:vMerge w:val="continue"/>
            <w:tcBorders>
              <w:top w:val="nil"/>
            </w:tcBorders>
            <w:noWrap w:val="0"/>
            <w:vAlign w:val="center"/>
          </w:tcPr>
          <w:p w14:paraId="3C85D26C">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rPr>
            </w:pPr>
          </w:p>
        </w:tc>
        <w:tc>
          <w:tcPr>
            <w:tcW w:w="0" w:type="auto"/>
            <w:noWrap w:val="0"/>
            <w:vAlign w:val="center"/>
          </w:tcPr>
          <w:p w14:paraId="315E35C5">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w:t>
            </w:r>
          </w:p>
        </w:tc>
        <w:tc>
          <w:tcPr>
            <w:tcW w:w="0" w:type="auto"/>
            <w:noWrap w:val="0"/>
            <w:vAlign w:val="center"/>
          </w:tcPr>
          <w:p w14:paraId="28447E93">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z w:val="21"/>
                <w:szCs w:val="14"/>
              </w:rPr>
              <w:t>3</w:t>
            </w:r>
          </w:p>
        </w:tc>
        <w:tc>
          <w:tcPr>
            <w:tcW w:w="0" w:type="auto"/>
            <w:noWrap w:val="0"/>
            <w:vAlign w:val="center"/>
          </w:tcPr>
          <w:p w14:paraId="30E774E2">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4</w:t>
            </w:r>
          </w:p>
        </w:tc>
        <w:tc>
          <w:tcPr>
            <w:tcW w:w="0" w:type="auto"/>
            <w:noWrap w:val="0"/>
            <w:vAlign w:val="center"/>
          </w:tcPr>
          <w:p w14:paraId="7400ACDC">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z w:val="21"/>
                <w:szCs w:val="14"/>
              </w:rPr>
              <w:t>5</w:t>
            </w:r>
          </w:p>
        </w:tc>
        <w:tc>
          <w:tcPr>
            <w:tcW w:w="0" w:type="auto"/>
            <w:noWrap w:val="0"/>
            <w:vAlign w:val="center"/>
          </w:tcPr>
          <w:p w14:paraId="797F0796">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z w:val="21"/>
                <w:szCs w:val="14"/>
              </w:rPr>
              <w:t>6</w:t>
            </w:r>
          </w:p>
        </w:tc>
        <w:tc>
          <w:tcPr>
            <w:tcW w:w="0" w:type="auto"/>
            <w:noWrap w:val="0"/>
            <w:vAlign w:val="center"/>
          </w:tcPr>
          <w:p w14:paraId="571C6BB2">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z w:val="21"/>
                <w:szCs w:val="14"/>
              </w:rPr>
              <w:t>7</w:t>
            </w:r>
          </w:p>
        </w:tc>
        <w:tc>
          <w:tcPr>
            <w:tcW w:w="0" w:type="auto"/>
            <w:noWrap w:val="0"/>
            <w:vAlign w:val="center"/>
          </w:tcPr>
          <w:p w14:paraId="508C7308">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z w:val="21"/>
                <w:szCs w:val="14"/>
              </w:rPr>
              <w:t>8</w:t>
            </w:r>
          </w:p>
        </w:tc>
        <w:tc>
          <w:tcPr>
            <w:tcW w:w="0" w:type="auto"/>
            <w:noWrap w:val="0"/>
            <w:vAlign w:val="center"/>
          </w:tcPr>
          <w:p w14:paraId="38009D67">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z w:val="21"/>
                <w:szCs w:val="14"/>
              </w:rPr>
              <w:t>9</w:t>
            </w:r>
          </w:p>
        </w:tc>
        <w:tc>
          <w:tcPr>
            <w:tcW w:w="0" w:type="auto"/>
            <w:noWrap w:val="0"/>
            <w:vAlign w:val="center"/>
          </w:tcPr>
          <w:p w14:paraId="7B167043">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10</w:t>
            </w:r>
          </w:p>
        </w:tc>
        <w:tc>
          <w:tcPr>
            <w:tcW w:w="0" w:type="auto"/>
            <w:noWrap w:val="0"/>
            <w:vAlign w:val="center"/>
          </w:tcPr>
          <w:p w14:paraId="742827C3">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11</w:t>
            </w:r>
          </w:p>
        </w:tc>
        <w:tc>
          <w:tcPr>
            <w:tcW w:w="0" w:type="auto"/>
            <w:noWrap w:val="0"/>
            <w:vAlign w:val="center"/>
          </w:tcPr>
          <w:p w14:paraId="57C75EB6">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12</w:t>
            </w:r>
          </w:p>
        </w:tc>
        <w:tc>
          <w:tcPr>
            <w:tcW w:w="0" w:type="auto"/>
            <w:noWrap w:val="0"/>
            <w:vAlign w:val="center"/>
          </w:tcPr>
          <w:p w14:paraId="38F56FF2">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13</w:t>
            </w:r>
          </w:p>
        </w:tc>
        <w:tc>
          <w:tcPr>
            <w:tcW w:w="0" w:type="auto"/>
            <w:noWrap w:val="0"/>
            <w:vAlign w:val="center"/>
          </w:tcPr>
          <w:p w14:paraId="59DFB329">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14</w:t>
            </w:r>
          </w:p>
        </w:tc>
        <w:tc>
          <w:tcPr>
            <w:tcW w:w="0" w:type="auto"/>
            <w:noWrap w:val="0"/>
            <w:vAlign w:val="center"/>
          </w:tcPr>
          <w:p w14:paraId="281C37FC">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15</w:t>
            </w:r>
          </w:p>
        </w:tc>
      </w:tr>
      <w:tr w14:paraId="0BFAD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noWrap w:val="0"/>
            <w:vAlign w:val="center"/>
          </w:tcPr>
          <w:p w14:paraId="49FC0C4C">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rPr>
            </w:pPr>
          </w:p>
        </w:tc>
        <w:tc>
          <w:tcPr>
            <w:tcW w:w="0" w:type="auto"/>
            <w:noWrap w:val="0"/>
            <w:vAlign w:val="center"/>
          </w:tcPr>
          <w:p w14:paraId="73ACDA88">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生产负荷</w:t>
            </w:r>
          </w:p>
        </w:tc>
        <w:tc>
          <w:tcPr>
            <w:tcW w:w="899" w:type="dxa"/>
            <w:noWrap w:val="0"/>
            <w:vAlign w:val="center"/>
          </w:tcPr>
          <w:p w14:paraId="48808AB9">
            <w:pPr>
              <w:jc w:val="center"/>
              <w:rPr>
                <w:rFonts w:ascii="Times New Roman" w:hAnsi="Times New Roman" w:eastAsia="宋体" w:cs="宋体"/>
                <w:color w:val="auto"/>
                <w:sz w:val="21"/>
                <w:szCs w:val="21"/>
              </w:rPr>
            </w:pPr>
          </w:p>
        </w:tc>
        <w:tc>
          <w:tcPr>
            <w:tcW w:w="794" w:type="dxa"/>
            <w:noWrap w:val="0"/>
            <w:vAlign w:val="center"/>
          </w:tcPr>
          <w:p w14:paraId="7448F27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37.50%</w:t>
            </w:r>
          </w:p>
        </w:tc>
        <w:tc>
          <w:tcPr>
            <w:tcW w:w="794" w:type="dxa"/>
            <w:noWrap w:val="0"/>
            <w:vAlign w:val="center"/>
          </w:tcPr>
          <w:p w14:paraId="0972782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60%</w:t>
            </w:r>
          </w:p>
        </w:tc>
        <w:tc>
          <w:tcPr>
            <w:tcW w:w="794" w:type="dxa"/>
            <w:noWrap w:val="0"/>
            <w:vAlign w:val="center"/>
          </w:tcPr>
          <w:p w14:paraId="3B73DCD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80%</w:t>
            </w:r>
          </w:p>
        </w:tc>
        <w:tc>
          <w:tcPr>
            <w:tcW w:w="794" w:type="dxa"/>
            <w:noWrap w:val="0"/>
            <w:vAlign w:val="center"/>
          </w:tcPr>
          <w:p w14:paraId="4BEBE86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94" w:type="dxa"/>
            <w:noWrap w:val="0"/>
            <w:vAlign w:val="center"/>
          </w:tcPr>
          <w:p w14:paraId="65163DC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94" w:type="dxa"/>
            <w:noWrap w:val="0"/>
            <w:vAlign w:val="center"/>
          </w:tcPr>
          <w:p w14:paraId="221431B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94" w:type="dxa"/>
            <w:noWrap w:val="0"/>
            <w:vAlign w:val="center"/>
          </w:tcPr>
          <w:p w14:paraId="5759942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94" w:type="dxa"/>
            <w:noWrap w:val="0"/>
            <w:vAlign w:val="center"/>
          </w:tcPr>
          <w:p w14:paraId="130D60D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94" w:type="dxa"/>
            <w:noWrap w:val="0"/>
            <w:vAlign w:val="center"/>
          </w:tcPr>
          <w:p w14:paraId="28C0D57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94" w:type="dxa"/>
            <w:noWrap w:val="0"/>
            <w:vAlign w:val="center"/>
          </w:tcPr>
          <w:p w14:paraId="44BD7F4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94" w:type="dxa"/>
            <w:noWrap w:val="0"/>
            <w:vAlign w:val="center"/>
          </w:tcPr>
          <w:p w14:paraId="3E0FDFB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94" w:type="dxa"/>
            <w:noWrap w:val="0"/>
            <w:vAlign w:val="center"/>
          </w:tcPr>
          <w:p w14:paraId="21ACCA9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94" w:type="dxa"/>
            <w:noWrap w:val="0"/>
            <w:vAlign w:val="center"/>
          </w:tcPr>
          <w:p w14:paraId="7D9FD04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100%</w:t>
            </w:r>
          </w:p>
        </w:tc>
        <w:tc>
          <w:tcPr>
            <w:tcW w:w="794" w:type="dxa"/>
            <w:noWrap w:val="0"/>
            <w:vAlign w:val="center"/>
          </w:tcPr>
          <w:p w14:paraId="6F13C15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100%</w:t>
            </w:r>
          </w:p>
        </w:tc>
      </w:tr>
      <w:tr w14:paraId="465EC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noWrap w:val="0"/>
            <w:vAlign w:val="center"/>
          </w:tcPr>
          <w:p w14:paraId="4E3ACE24">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z w:val="21"/>
                <w:szCs w:val="14"/>
              </w:rPr>
              <w:t>1</w:t>
            </w:r>
          </w:p>
        </w:tc>
        <w:tc>
          <w:tcPr>
            <w:tcW w:w="0" w:type="auto"/>
            <w:noWrap w:val="0"/>
            <w:vAlign w:val="center"/>
          </w:tcPr>
          <w:p w14:paraId="7141487B">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生产成本</w:t>
            </w:r>
          </w:p>
        </w:tc>
        <w:tc>
          <w:tcPr>
            <w:tcW w:w="899" w:type="dxa"/>
            <w:noWrap w:val="0"/>
            <w:vAlign w:val="center"/>
          </w:tcPr>
          <w:p w14:paraId="0E82A13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126319.22</w:t>
            </w:r>
          </w:p>
        </w:tc>
        <w:tc>
          <w:tcPr>
            <w:tcW w:w="794" w:type="dxa"/>
            <w:noWrap w:val="0"/>
            <w:vAlign w:val="center"/>
          </w:tcPr>
          <w:p w14:paraId="23F0E15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3796.16</w:t>
            </w:r>
          </w:p>
        </w:tc>
        <w:tc>
          <w:tcPr>
            <w:tcW w:w="794" w:type="dxa"/>
            <w:noWrap w:val="0"/>
            <w:vAlign w:val="center"/>
          </w:tcPr>
          <w:p w14:paraId="05F8BDA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5984.06</w:t>
            </w:r>
          </w:p>
        </w:tc>
        <w:tc>
          <w:tcPr>
            <w:tcW w:w="794" w:type="dxa"/>
            <w:noWrap w:val="0"/>
            <w:vAlign w:val="center"/>
          </w:tcPr>
          <w:p w14:paraId="61090BB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7928.85</w:t>
            </w:r>
          </w:p>
        </w:tc>
        <w:tc>
          <w:tcPr>
            <w:tcW w:w="794" w:type="dxa"/>
            <w:noWrap w:val="0"/>
            <w:vAlign w:val="center"/>
          </w:tcPr>
          <w:p w14:paraId="694ACFE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9873.65</w:t>
            </w:r>
          </w:p>
        </w:tc>
        <w:tc>
          <w:tcPr>
            <w:tcW w:w="794" w:type="dxa"/>
            <w:noWrap w:val="0"/>
            <w:vAlign w:val="center"/>
          </w:tcPr>
          <w:p w14:paraId="100CBEB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9873.65</w:t>
            </w:r>
          </w:p>
        </w:tc>
        <w:tc>
          <w:tcPr>
            <w:tcW w:w="794" w:type="dxa"/>
            <w:noWrap w:val="0"/>
            <w:vAlign w:val="center"/>
          </w:tcPr>
          <w:p w14:paraId="2629B07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9873.65</w:t>
            </w:r>
          </w:p>
        </w:tc>
        <w:tc>
          <w:tcPr>
            <w:tcW w:w="794" w:type="dxa"/>
            <w:noWrap w:val="0"/>
            <w:vAlign w:val="center"/>
          </w:tcPr>
          <w:p w14:paraId="789EF34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9873.65</w:t>
            </w:r>
          </w:p>
        </w:tc>
        <w:tc>
          <w:tcPr>
            <w:tcW w:w="794" w:type="dxa"/>
            <w:noWrap w:val="0"/>
            <w:vAlign w:val="center"/>
          </w:tcPr>
          <w:p w14:paraId="0864199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9873.65</w:t>
            </w:r>
          </w:p>
        </w:tc>
        <w:tc>
          <w:tcPr>
            <w:tcW w:w="794" w:type="dxa"/>
            <w:noWrap w:val="0"/>
            <w:vAlign w:val="center"/>
          </w:tcPr>
          <w:p w14:paraId="5DC6925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9873.65</w:t>
            </w:r>
          </w:p>
        </w:tc>
        <w:tc>
          <w:tcPr>
            <w:tcW w:w="794" w:type="dxa"/>
            <w:noWrap w:val="0"/>
            <w:vAlign w:val="center"/>
          </w:tcPr>
          <w:p w14:paraId="03ED398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9873.65</w:t>
            </w:r>
          </w:p>
        </w:tc>
        <w:tc>
          <w:tcPr>
            <w:tcW w:w="794" w:type="dxa"/>
            <w:noWrap w:val="0"/>
            <w:vAlign w:val="center"/>
          </w:tcPr>
          <w:p w14:paraId="3603148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9873.65</w:t>
            </w:r>
          </w:p>
        </w:tc>
        <w:tc>
          <w:tcPr>
            <w:tcW w:w="794" w:type="dxa"/>
            <w:noWrap w:val="0"/>
            <w:vAlign w:val="center"/>
          </w:tcPr>
          <w:p w14:paraId="7F3B5C1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9873.65</w:t>
            </w:r>
          </w:p>
        </w:tc>
        <w:tc>
          <w:tcPr>
            <w:tcW w:w="794" w:type="dxa"/>
            <w:noWrap w:val="0"/>
            <w:vAlign w:val="center"/>
          </w:tcPr>
          <w:p w14:paraId="2D9A1C2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9873.65</w:t>
            </w:r>
          </w:p>
        </w:tc>
        <w:tc>
          <w:tcPr>
            <w:tcW w:w="794" w:type="dxa"/>
            <w:noWrap w:val="0"/>
            <w:vAlign w:val="center"/>
          </w:tcPr>
          <w:p w14:paraId="78C523D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9873.65</w:t>
            </w:r>
          </w:p>
        </w:tc>
      </w:tr>
      <w:tr w14:paraId="299A6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noWrap w:val="0"/>
            <w:vAlign w:val="center"/>
          </w:tcPr>
          <w:p w14:paraId="7E9489CE">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4"/>
                <w:sz w:val="21"/>
                <w:szCs w:val="14"/>
              </w:rPr>
              <w:t>1.1</w:t>
            </w:r>
          </w:p>
        </w:tc>
        <w:tc>
          <w:tcPr>
            <w:tcW w:w="0" w:type="auto"/>
            <w:noWrap w:val="0"/>
            <w:vAlign w:val="center"/>
          </w:tcPr>
          <w:p w14:paraId="2068A51E">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直接材料费</w:t>
            </w:r>
          </w:p>
        </w:tc>
        <w:tc>
          <w:tcPr>
            <w:tcW w:w="899" w:type="dxa"/>
            <w:noWrap w:val="0"/>
            <w:vAlign w:val="center"/>
          </w:tcPr>
          <w:p w14:paraId="6345E280">
            <w:pPr>
              <w:jc w:val="center"/>
              <w:rPr>
                <w:rFonts w:ascii="Times New Roman" w:hAnsi="Times New Roman" w:eastAsia="宋体" w:cs="宋体"/>
                <w:color w:val="auto"/>
                <w:sz w:val="21"/>
                <w:szCs w:val="21"/>
              </w:rPr>
            </w:pPr>
          </w:p>
        </w:tc>
        <w:tc>
          <w:tcPr>
            <w:tcW w:w="794" w:type="dxa"/>
            <w:noWrap w:val="0"/>
            <w:vAlign w:val="center"/>
          </w:tcPr>
          <w:p w14:paraId="102DB6C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3221.25</w:t>
            </w:r>
          </w:p>
        </w:tc>
        <w:tc>
          <w:tcPr>
            <w:tcW w:w="794" w:type="dxa"/>
            <w:noWrap w:val="0"/>
            <w:vAlign w:val="center"/>
          </w:tcPr>
          <w:p w14:paraId="6477C31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5154</w:t>
            </w:r>
          </w:p>
        </w:tc>
        <w:tc>
          <w:tcPr>
            <w:tcW w:w="794" w:type="dxa"/>
            <w:noWrap w:val="0"/>
            <w:vAlign w:val="center"/>
          </w:tcPr>
          <w:p w14:paraId="1EAF7A5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6872</w:t>
            </w:r>
          </w:p>
        </w:tc>
        <w:tc>
          <w:tcPr>
            <w:tcW w:w="794" w:type="dxa"/>
            <w:noWrap w:val="0"/>
            <w:vAlign w:val="center"/>
          </w:tcPr>
          <w:p w14:paraId="76B677A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8590</w:t>
            </w:r>
          </w:p>
        </w:tc>
        <w:tc>
          <w:tcPr>
            <w:tcW w:w="794" w:type="dxa"/>
            <w:noWrap w:val="0"/>
            <w:vAlign w:val="center"/>
          </w:tcPr>
          <w:p w14:paraId="4520E62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8590</w:t>
            </w:r>
          </w:p>
        </w:tc>
        <w:tc>
          <w:tcPr>
            <w:tcW w:w="794" w:type="dxa"/>
            <w:noWrap w:val="0"/>
            <w:vAlign w:val="center"/>
          </w:tcPr>
          <w:p w14:paraId="66885ED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8590</w:t>
            </w:r>
          </w:p>
        </w:tc>
        <w:tc>
          <w:tcPr>
            <w:tcW w:w="794" w:type="dxa"/>
            <w:noWrap w:val="0"/>
            <w:vAlign w:val="center"/>
          </w:tcPr>
          <w:p w14:paraId="62ACC85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8590</w:t>
            </w:r>
          </w:p>
        </w:tc>
        <w:tc>
          <w:tcPr>
            <w:tcW w:w="794" w:type="dxa"/>
            <w:noWrap w:val="0"/>
            <w:vAlign w:val="center"/>
          </w:tcPr>
          <w:p w14:paraId="673BD33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8590</w:t>
            </w:r>
          </w:p>
        </w:tc>
        <w:tc>
          <w:tcPr>
            <w:tcW w:w="794" w:type="dxa"/>
            <w:noWrap w:val="0"/>
            <w:vAlign w:val="center"/>
          </w:tcPr>
          <w:p w14:paraId="26ED2D0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8590</w:t>
            </w:r>
          </w:p>
        </w:tc>
        <w:tc>
          <w:tcPr>
            <w:tcW w:w="794" w:type="dxa"/>
            <w:noWrap w:val="0"/>
            <w:vAlign w:val="center"/>
          </w:tcPr>
          <w:p w14:paraId="5BB3CA6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8590</w:t>
            </w:r>
          </w:p>
        </w:tc>
        <w:tc>
          <w:tcPr>
            <w:tcW w:w="794" w:type="dxa"/>
            <w:noWrap w:val="0"/>
            <w:vAlign w:val="center"/>
          </w:tcPr>
          <w:p w14:paraId="6406E3A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8590</w:t>
            </w:r>
          </w:p>
        </w:tc>
        <w:tc>
          <w:tcPr>
            <w:tcW w:w="794" w:type="dxa"/>
            <w:noWrap w:val="0"/>
            <w:vAlign w:val="center"/>
          </w:tcPr>
          <w:p w14:paraId="75DE342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8590</w:t>
            </w:r>
          </w:p>
        </w:tc>
        <w:tc>
          <w:tcPr>
            <w:tcW w:w="794" w:type="dxa"/>
            <w:noWrap w:val="0"/>
            <w:vAlign w:val="center"/>
          </w:tcPr>
          <w:p w14:paraId="4888210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8590</w:t>
            </w:r>
          </w:p>
        </w:tc>
        <w:tc>
          <w:tcPr>
            <w:tcW w:w="794" w:type="dxa"/>
            <w:noWrap w:val="0"/>
            <w:vAlign w:val="center"/>
          </w:tcPr>
          <w:p w14:paraId="11466AC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8590</w:t>
            </w:r>
          </w:p>
        </w:tc>
      </w:tr>
      <w:tr w14:paraId="6C753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noWrap w:val="0"/>
            <w:vAlign w:val="center"/>
          </w:tcPr>
          <w:p w14:paraId="44989C38">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1.2</w:t>
            </w:r>
          </w:p>
        </w:tc>
        <w:tc>
          <w:tcPr>
            <w:tcW w:w="0" w:type="auto"/>
            <w:noWrap w:val="0"/>
            <w:vAlign w:val="center"/>
          </w:tcPr>
          <w:p w14:paraId="6E0F1C75">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直接燃料及动力费</w:t>
            </w:r>
          </w:p>
        </w:tc>
        <w:tc>
          <w:tcPr>
            <w:tcW w:w="899" w:type="dxa"/>
            <w:noWrap w:val="0"/>
            <w:vAlign w:val="center"/>
          </w:tcPr>
          <w:p w14:paraId="40ADF321">
            <w:pPr>
              <w:jc w:val="center"/>
              <w:rPr>
                <w:rFonts w:ascii="Times New Roman" w:hAnsi="Times New Roman" w:eastAsia="宋体" w:cs="宋体"/>
                <w:color w:val="auto"/>
                <w:sz w:val="21"/>
                <w:szCs w:val="21"/>
              </w:rPr>
            </w:pPr>
          </w:p>
        </w:tc>
        <w:tc>
          <w:tcPr>
            <w:tcW w:w="794" w:type="dxa"/>
            <w:noWrap w:val="0"/>
            <w:vAlign w:val="center"/>
          </w:tcPr>
          <w:p w14:paraId="37337BE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367.6425</w:t>
            </w:r>
          </w:p>
        </w:tc>
        <w:tc>
          <w:tcPr>
            <w:tcW w:w="794" w:type="dxa"/>
            <w:noWrap w:val="0"/>
            <w:vAlign w:val="center"/>
          </w:tcPr>
          <w:p w14:paraId="1E80288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588.228</w:t>
            </w:r>
          </w:p>
        </w:tc>
        <w:tc>
          <w:tcPr>
            <w:tcW w:w="794" w:type="dxa"/>
            <w:noWrap w:val="0"/>
            <w:vAlign w:val="center"/>
          </w:tcPr>
          <w:p w14:paraId="1D05B10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784.30</w:t>
            </w:r>
          </w:p>
        </w:tc>
        <w:tc>
          <w:tcPr>
            <w:tcW w:w="794" w:type="dxa"/>
            <w:noWrap w:val="0"/>
            <w:vAlign w:val="center"/>
          </w:tcPr>
          <w:p w14:paraId="2BE0C9E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980.38</w:t>
            </w:r>
          </w:p>
        </w:tc>
        <w:tc>
          <w:tcPr>
            <w:tcW w:w="794" w:type="dxa"/>
            <w:noWrap w:val="0"/>
            <w:vAlign w:val="center"/>
          </w:tcPr>
          <w:p w14:paraId="487584E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980.38</w:t>
            </w:r>
          </w:p>
        </w:tc>
        <w:tc>
          <w:tcPr>
            <w:tcW w:w="794" w:type="dxa"/>
            <w:noWrap w:val="0"/>
            <w:vAlign w:val="center"/>
          </w:tcPr>
          <w:p w14:paraId="1192974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980.38</w:t>
            </w:r>
          </w:p>
        </w:tc>
        <w:tc>
          <w:tcPr>
            <w:tcW w:w="794" w:type="dxa"/>
            <w:noWrap w:val="0"/>
            <w:vAlign w:val="center"/>
          </w:tcPr>
          <w:p w14:paraId="4E885EC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980.38</w:t>
            </w:r>
          </w:p>
        </w:tc>
        <w:tc>
          <w:tcPr>
            <w:tcW w:w="794" w:type="dxa"/>
            <w:noWrap w:val="0"/>
            <w:vAlign w:val="center"/>
          </w:tcPr>
          <w:p w14:paraId="50F9615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980.38</w:t>
            </w:r>
          </w:p>
        </w:tc>
        <w:tc>
          <w:tcPr>
            <w:tcW w:w="794" w:type="dxa"/>
            <w:noWrap w:val="0"/>
            <w:vAlign w:val="center"/>
          </w:tcPr>
          <w:p w14:paraId="5FC9DED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980.38</w:t>
            </w:r>
          </w:p>
        </w:tc>
        <w:tc>
          <w:tcPr>
            <w:tcW w:w="794" w:type="dxa"/>
            <w:noWrap w:val="0"/>
            <w:vAlign w:val="center"/>
          </w:tcPr>
          <w:p w14:paraId="760B042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980.38</w:t>
            </w:r>
          </w:p>
        </w:tc>
        <w:tc>
          <w:tcPr>
            <w:tcW w:w="794" w:type="dxa"/>
            <w:noWrap w:val="0"/>
            <w:vAlign w:val="center"/>
          </w:tcPr>
          <w:p w14:paraId="05BA36C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980.38</w:t>
            </w:r>
          </w:p>
        </w:tc>
        <w:tc>
          <w:tcPr>
            <w:tcW w:w="794" w:type="dxa"/>
            <w:noWrap w:val="0"/>
            <w:vAlign w:val="center"/>
          </w:tcPr>
          <w:p w14:paraId="700BED4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980.38</w:t>
            </w:r>
          </w:p>
        </w:tc>
        <w:tc>
          <w:tcPr>
            <w:tcW w:w="794" w:type="dxa"/>
            <w:noWrap w:val="0"/>
            <w:vAlign w:val="center"/>
          </w:tcPr>
          <w:p w14:paraId="55EB5DA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980.38</w:t>
            </w:r>
          </w:p>
        </w:tc>
        <w:tc>
          <w:tcPr>
            <w:tcW w:w="794" w:type="dxa"/>
            <w:noWrap w:val="0"/>
            <w:vAlign w:val="center"/>
          </w:tcPr>
          <w:p w14:paraId="78FDAB5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980.38</w:t>
            </w:r>
          </w:p>
        </w:tc>
      </w:tr>
      <w:tr w14:paraId="26DED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noWrap w:val="0"/>
            <w:vAlign w:val="center"/>
          </w:tcPr>
          <w:p w14:paraId="06D4A594">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1.3</w:t>
            </w:r>
          </w:p>
        </w:tc>
        <w:tc>
          <w:tcPr>
            <w:tcW w:w="0" w:type="auto"/>
            <w:noWrap w:val="0"/>
            <w:vAlign w:val="center"/>
          </w:tcPr>
          <w:p w14:paraId="0D3EEA8A">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直接工资及福利费</w:t>
            </w:r>
          </w:p>
        </w:tc>
        <w:tc>
          <w:tcPr>
            <w:tcW w:w="899" w:type="dxa"/>
            <w:noWrap w:val="0"/>
            <w:vAlign w:val="center"/>
          </w:tcPr>
          <w:p w14:paraId="53B4BD9D">
            <w:pPr>
              <w:jc w:val="center"/>
              <w:rPr>
                <w:rFonts w:ascii="Times New Roman" w:hAnsi="Times New Roman" w:eastAsia="宋体" w:cs="宋体"/>
                <w:color w:val="auto"/>
                <w:sz w:val="21"/>
                <w:szCs w:val="21"/>
              </w:rPr>
            </w:pPr>
          </w:p>
        </w:tc>
        <w:tc>
          <w:tcPr>
            <w:tcW w:w="794" w:type="dxa"/>
            <w:noWrap w:val="0"/>
            <w:vAlign w:val="center"/>
          </w:tcPr>
          <w:p w14:paraId="03B08BA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57.6</w:t>
            </w:r>
          </w:p>
        </w:tc>
        <w:tc>
          <w:tcPr>
            <w:tcW w:w="794" w:type="dxa"/>
            <w:noWrap w:val="0"/>
            <w:vAlign w:val="center"/>
          </w:tcPr>
          <w:p w14:paraId="4C8E97B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92.16</w:t>
            </w:r>
          </w:p>
        </w:tc>
        <w:tc>
          <w:tcPr>
            <w:tcW w:w="794" w:type="dxa"/>
            <w:noWrap w:val="0"/>
            <w:vAlign w:val="center"/>
          </w:tcPr>
          <w:p w14:paraId="729608F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122.88</w:t>
            </w:r>
          </w:p>
        </w:tc>
        <w:tc>
          <w:tcPr>
            <w:tcW w:w="794" w:type="dxa"/>
            <w:noWrap w:val="0"/>
            <w:vAlign w:val="center"/>
          </w:tcPr>
          <w:p w14:paraId="135CF92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153.6</w:t>
            </w:r>
          </w:p>
        </w:tc>
        <w:tc>
          <w:tcPr>
            <w:tcW w:w="794" w:type="dxa"/>
            <w:noWrap w:val="0"/>
            <w:vAlign w:val="center"/>
          </w:tcPr>
          <w:p w14:paraId="7993279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153.6</w:t>
            </w:r>
          </w:p>
        </w:tc>
        <w:tc>
          <w:tcPr>
            <w:tcW w:w="794" w:type="dxa"/>
            <w:noWrap w:val="0"/>
            <w:vAlign w:val="center"/>
          </w:tcPr>
          <w:p w14:paraId="51A1E4F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153.6</w:t>
            </w:r>
          </w:p>
        </w:tc>
        <w:tc>
          <w:tcPr>
            <w:tcW w:w="794" w:type="dxa"/>
            <w:noWrap w:val="0"/>
            <w:vAlign w:val="center"/>
          </w:tcPr>
          <w:p w14:paraId="4EA430B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153.6</w:t>
            </w:r>
          </w:p>
        </w:tc>
        <w:tc>
          <w:tcPr>
            <w:tcW w:w="794" w:type="dxa"/>
            <w:noWrap w:val="0"/>
            <w:vAlign w:val="center"/>
          </w:tcPr>
          <w:p w14:paraId="47EA23D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153.6</w:t>
            </w:r>
          </w:p>
        </w:tc>
        <w:tc>
          <w:tcPr>
            <w:tcW w:w="794" w:type="dxa"/>
            <w:noWrap w:val="0"/>
            <w:vAlign w:val="center"/>
          </w:tcPr>
          <w:p w14:paraId="2606351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153.6</w:t>
            </w:r>
          </w:p>
        </w:tc>
        <w:tc>
          <w:tcPr>
            <w:tcW w:w="794" w:type="dxa"/>
            <w:noWrap w:val="0"/>
            <w:vAlign w:val="center"/>
          </w:tcPr>
          <w:p w14:paraId="728EC05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153.6</w:t>
            </w:r>
          </w:p>
        </w:tc>
        <w:tc>
          <w:tcPr>
            <w:tcW w:w="794" w:type="dxa"/>
            <w:noWrap w:val="0"/>
            <w:vAlign w:val="center"/>
          </w:tcPr>
          <w:p w14:paraId="377945C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153.6</w:t>
            </w:r>
          </w:p>
        </w:tc>
        <w:tc>
          <w:tcPr>
            <w:tcW w:w="794" w:type="dxa"/>
            <w:noWrap w:val="0"/>
            <w:vAlign w:val="center"/>
          </w:tcPr>
          <w:p w14:paraId="20455A3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153.6</w:t>
            </w:r>
          </w:p>
        </w:tc>
        <w:tc>
          <w:tcPr>
            <w:tcW w:w="794" w:type="dxa"/>
            <w:noWrap w:val="0"/>
            <w:vAlign w:val="center"/>
          </w:tcPr>
          <w:p w14:paraId="66F9736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153.6</w:t>
            </w:r>
          </w:p>
        </w:tc>
        <w:tc>
          <w:tcPr>
            <w:tcW w:w="794" w:type="dxa"/>
            <w:noWrap w:val="0"/>
            <w:vAlign w:val="center"/>
          </w:tcPr>
          <w:p w14:paraId="2353901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153.6</w:t>
            </w:r>
          </w:p>
        </w:tc>
      </w:tr>
      <w:tr w14:paraId="1E8E7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1ACB2490">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1.4</w:t>
            </w:r>
          </w:p>
        </w:tc>
        <w:tc>
          <w:tcPr>
            <w:tcW w:w="0" w:type="auto"/>
            <w:noWrap w:val="0"/>
            <w:vAlign w:val="center"/>
          </w:tcPr>
          <w:p w14:paraId="7385C93B">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制造费用</w:t>
            </w:r>
          </w:p>
        </w:tc>
        <w:tc>
          <w:tcPr>
            <w:tcW w:w="899" w:type="dxa"/>
            <w:noWrap w:val="0"/>
            <w:vAlign w:val="center"/>
          </w:tcPr>
          <w:p w14:paraId="70DB349C">
            <w:pPr>
              <w:jc w:val="center"/>
              <w:rPr>
                <w:rFonts w:ascii="Times New Roman" w:hAnsi="Times New Roman" w:eastAsia="宋体" w:cs="宋体"/>
                <w:color w:val="auto"/>
                <w:sz w:val="21"/>
                <w:szCs w:val="21"/>
              </w:rPr>
            </w:pPr>
          </w:p>
        </w:tc>
        <w:tc>
          <w:tcPr>
            <w:tcW w:w="794" w:type="dxa"/>
            <w:noWrap w:val="0"/>
            <w:vAlign w:val="center"/>
          </w:tcPr>
          <w:p w14:paraId="312A4A8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149.67</w:t>
            </w:r>
          </w:p>
        </w:tc>
        <w:tc>
          <w:tcPr>
            <w:tcW w:w="794" w:type="dxa"/>
            <w:noWrap w:val="0"/>
            <w:vAlign w:val="center"/>
          </w:tcPr>
          <w:p w14:paraId="55131B6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149.67</w:t>
            </w:r>
          </w:p>
        </w:tc>
        <w:tc>
          <w:tcPr>
            <w:tcW w:w="794" w:type="dxa"/>
            <w:noWrap w:val="0"/>
            <w:vAlign w:val="center"/>
          </w:tcPr>
          <w:p w14:paraId="581FE04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149.67</w:t>
            </w:r>
          </w:p>
        </w:tc>
        <w:tc>
          <w:tcPr>
            <w:tcW w:w="794" w:type="dxa"/>
            <w:noWrap w:val="0"/>
            <w:vAlign w:val="center"/>
          </w:tcPr>
          <w:p w14:paraId="7051267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149.67</w:t>
            </w:r>
          </w:p>
        </w:tc>
        <w:tc>
          <w:tcPr>
            <w:tcW w:w="794" w:type="dxa"/>
            <w:noWrap w:val="0"/>
            <w:vAlign w:val="center"/>
          </w:tcPr>
          <w:p w14:paraId="191A6F0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149.67</w:t>
            </w:r>
          </w:p>
        </w:tc>
        <w:tc>
          <w:tcPr>
            <w:tcW w:w="794" w:type="dxa"/>
            <w:noWrap w:val="0"/>
            <w:vAlign w:val="center"/>
          </w:tcPr>
          <w:p w14:paraId="3E304D9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149.67</w:t>
            </w:r>
          </w:p>
        </w:tc>
        <w:tc>
          <w:tcPr>
            <w:tcW w:w="794" w:type="dxa"/>
            <w:noWrap w:val="0"/>
            <w:vAlign w:val="center"/>
          </w:tcPr>
          <w:p w14:paraId="343532E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149.67</w:t>
            </w:r>
          </w:p>
        </w:tc>
        <w:tc>
          <w:tcPr>
            <w:tcW w:w="794" w:type="dxa"/>
            <w:noWrap w:val="0"/>
            <w:vAlign w:val="center"/>
          </w:tcPr>
          <w:p w14:paraId="7D4B897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149.67</w:t>
            </w:r>
          </w:p>
        </w:tc>
        <w:tc>
          <w:tcPr>
            <w:tcW w:w="794" w:type="dxa"/>
            <w:noWrap w:val="0"/>
            <w:vAlign w:val="center"/>
          </w:tcPr>
          <w:p w14:paraId="74C7E53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149.67</w:t>
            </w:r>
          </w:p>
        </w:tc>
        <w:tc>
          <w:tcPr>
            <w:tcW w:w="794" w:type="dxa"/>
            <w:noWrap w:val="0"/>
            <w:vAlign w:val="center"/>
          </w:tcPr>
          <w:p w14:paraId="0A133DB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149.67</w:t>
            </w:r>
          </w:p>
        </w:tc>
        <w:tc>
          <w:tcPr>
            <w:tcW w:w="794" w:type="dxa"/>
            <w:noWrap w:val="0"/>
            <w:vAlign w:val="center"/>
          </w:tcPr>
          <w:p w14:paraId="343B08A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149.67</w:t>
            </w:r>
          </w:p>
        </w:tc>
        <w:tc>
          <w:tcPr>
            <w:tcW w:w="794" w:type="dxa"/>
            <w:noWrap w:val="0"/>
            <w:vAlign w:val="center"/>
          </w:tcPr>
          <w:p w14:paraId="69C5778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149.67</w:t>
            </w:r>
          </w:p>
        </w:tc>
        <w:tc>
          <w:tcPr>
            <w:tcW w:w="794" w:type="dxa"/>
            <w:noWrap w:val="0"/>
            <w:vAlign w:val="center"/>
          </w:tcPr>
          <w:p w14:paraId="43346AC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149.67</w:t>
            </w:r>
          </w:p>
        </w:tc>
        <w:tc>
          <w:tcPr>
            <w:tcW w:w="794" w:type="dxa"/>
            <w:noWrap w:val="0"/>
            <w:vAlign w:val="center"/>
          </w:tcPr>
          <w:p w14:paraId="09E7BDD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149.67</w:t>
            </w:r>
          </w:p>
        </w:tc>
      </w:tr>
      <w:tr w14:paraId="06802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5BB7E7B9">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1.4.1</w:t>
            </w:r>
          </w:p>
        </w:tc>
        <w:tc>
          <w:tcPr>
            <w:tcW w:w="0" w:type="auto"/>
            <w:noWrap w:val="0"/>
            <w:vAlign w:val="center"/>
          </w:tcPr>
          <w:p w14:paraId="06EDE2C2">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折旧费</w:t>
            </w:r>
          </w:p>
        </w:tc>
        <w:tc>
          <w:tcPr>
            <w:tcW w:w="899" w:type="dxa"/>
            <w:noWrap w:val="0"/>
            <w:vAlign w:val="center"/>
          </w:tcPr>
          <w:p w14:paraId="52EB3581">
            <w:pPr>
              <w:jc w:val="center"/>
              <w:rPr>
                <w:rFonts w:ascii="Times New Roman" w:hAnsi="Times New Roman" w:eastAsia="宋体" w:cs="宋体"/>
                <w:color w:val="auto"/>
                <w:sz w:val="21"/>
                <w:szCs w:val="21"/>
              </w:rPr>
            </w:pPr>
          </w:p>
        </w:tc>
        <w:tc>
          <w:tcPr>
            <w:tcW w:w="794" w:type="dxa"/>
            <w:noWrap w:val="0"/>
            <w:vAlign w:val="center"/>
          </w:tcPr>
          <w:p w14:paraId="6DE72D2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99.78</w:t>
            </w:r>
          </w:p>
        </w:tc>
        <w:tc>
          <w:tcPr>
            <w:tcW w:w="794" w:type="dxa"/>
            <w:noWrap w:val="0"/>
            <w:vAlign w:val="center"/>
          </w:tcPr>
          <w:p w14:paraId="1467195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99.78</w:t>
            </w:r>
          </w:p>
        </w:tc>
        <w:tc>
          <w:tcPr>
            <w:tcW w:w="794" w:type="dxa"/>
            <w:noWrap w:val="0"/>
            <w:vAlign w:val="center"/>
          </w:tcPr>
          <w:p w14:paraId="7975069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99.78</w:t>
            </w:r>
          </w:p>
        </w:tc>
        <w:tc>
          <w:tcPr>
            <w:tcW w:w="794" w:type="dxa"/>
            <w:noWrap w:val="0"/>
            <w:vAlign w:val="center"/>
          </w:tcPr>
          <w:p w14:paraId="09B2525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99.78</w:t>
            </w:r>
          </w:p>
        </w:tc>
        <w:tc>
          <w:tcPr>
            <w:tcW w:w="794" w:type="dxa"/>
            <w:noWrap w:val="0"/>
            <w:vAlign w:val="center"/>
          </w:tcPr>
          <w:p w14:paraId="5443C2C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99.78</w:t>
            </w:r>
          </w:p>
        </w:tc>
        <w:tc>
          <w:tcPr>
            <w:tcW w:w="794" w:type="dxa"/>
            <w:noWrap w:val="0"/>
            <w:vAlign w:val="center"/>
          </w:tcPr>
          <w:p w14:paraId="2101A41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99.78</w:t>
            </w:r>
          </w:p>
        </w:tc>
        <w:tc>
          <w:tcPr>
            <w:tcW w:w="794" w:type="dxa"/>
            <w:noWrap w:val="0"/>
            <w:vAlign w:val="center"/>
          </w:tcPr>
          <w:p w14:paraId="5AED9B6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99.78</w:t>
            </w:r>
          </w:p>
        </w:tc>
        <w:tc>
          <w:tcPr>
            <w:tcW w:w="794" w:type="dxa"/>
            <w:noWrap w:val="0"/>
            <w:vAlign w:val="center"/>
          </w:tcPr>
          <w:p w14:paraId="5E54C1B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99.78</w:t>
            </w:r>
          </w:p>
        </w:tc>
        <w:tc>
          <w:tcPr>
            <w:tcW w:w="794" w:type="dxa"/>
            <w:noWrap w:val="0"/>
            <w:vAlign w:val="center"/>
          </w:tcPr>
          <w:p w14:paraId="44B6A42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99.78</w:t>
            </w:r>
          </w:p>
        </w:tc>
        <w:tc>
          <w:tcPr>
            <w:tcW w:w="794" w:type="dxa"/>
            <w:noWrap w:val="0"/>
            <w:vAlign w:val="center"/>
          </w:tcPr>
          <w:p w14:paraId="265D2CE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99.78</w:t>
            </w:r>
          </w:p>
        </w:tc>
        <w:tc>
          <w:tcPr>
            <w:tcW w:w="794" w:type="dxa"/>
            <w:noWrap w:val="0"/>
            <w:vAlign w:val="center"/>
          </w:tcPr>
          <w:p w14:paraId="23AD9F5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99.78</w:t>
            </w:r>
          </w:p>
        </w:tc>
        <w:tc>
          <w:tcPr>
            <w:tcW w:w="794" w:type="dxa"/>
            <w:noWrap w:val="0"/>
            <w:vAlign w:val="center"/>
          </w:tcPr>
          <w:p w14:paraId="3E0AAF0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99.78</w:t>
            </w:r>
          </w:p>
        </w:tc>
        <w:tc>
          <w:tcPr>
            <w:tcW w:w="794" w:type="dxa"/>
            <w:noWrap w:val="0"/>
            <w:vAlign w:val="center"/>
          </w:tcPr>
          <w:p w14:paraId="517B4D8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99.78</w:t>
            </w:r>
          </w:p>
        </w:tc>
        <w:tc>
          <w:tcPr>
            <w:tcW w:w="794" w:type="dxa"/>
            <w:noWrap w:val="0"/>
            <w:vAlign w:val="center"/>
          </w:tcPr>
          <w:p w14:paraId="05104BC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99.78</w:t>
            </w:r>
          </w:p>
        </w:tc>
      </w:tr>
      <w:tr w14:paraId="302C0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0C782AE7">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z w:val="21"/>
                <w:szCs w:val="14"/>
              </w:rPr>
              <w:t>1.4.2</w:t>
            </w:r>
          </w:p>
        </w:tc>
        <w:tc>
          <w:tcPr>
            <w:tcW w:w="0" w:type="auto"/>
            <w:noWrap w:val="0"/>
            <w:vAlign w:val="center"/>
          </w:tcPr>
          <w:p w14:paraId="4947EEB0">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修理费</w:t>
            </w:r>
          </w:p>
        </w:tc>
        <w:tc>
          <w:tcPr>
            <w:tcW w:w="899" w:type="dxa"/>
            <w:noWrap w:val="0"/>
            <w:vAlign w:val="center"/>
          </w:tcPr>
          <w:p w14:paraId="0C7806DA">
            <w:pPr>
              <w:jc w:val="center"/>
              <w:rPr>
                <w:rFonts w:ascii="Times New Roman" w:hAnsi="Times New Roman" w:eastAsia="宋体" w:cs="宋体"/>
                <w:color w:val="auto"/>
                <w:sz w:val="21"/>
                <w:szCs w:val="21"/>
              </w:rPr>
            </w:pPr>
          </w:p>
        </w:tc>
        <w:tc>
          <w:tcPr>
            <w:tcW w:w="794" w:type="dxa"/>
            <w:noWrap w:val="0"/>
            <w:vAlign w:val="center"/>
          </w:tcPr>
          <w:p w14:paraId="48B9A5B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49.89</w:t>
            </w:r>
          </w:p>
        </w:tc>
        <w:tc>
          <w:tcPr>
            <w:tcW w:w="794" w:type="dxa"/>
            <w:noWrap w:val="0"/>
            <w:vAlign w:val="center"/>
          </w:tcPr>
          <w:p w14:paraId="6E71911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49.89</w:t>
            </w:r>
          </w:p>
        </w:tc>
        <w:tc>
          <w:tcPr>
            <w:tcW w:w="794" w:type="dxa"/>
            <w:noWrap w:val="0"/>
            <w:vAlign w:val="center"/>
          </w:tcPr>
          <w:p w14:paraId="45352F7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49.89</w:t>
            </w:r>
          </w:p>
        </w:tc>
        <w:tc>
          <w:tcPr>
            <w:tcW w:w="794" w:type="dxa"/>
            <w:noWrap w:val="0"/>
            <w:vAlign w:val="center"/>
          </w:tcPr>
          <w:p w14:paraId="4419C67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49.89</w:t>
            </w:r>
          </w:p>
        </w:tc>
        <w:tc>
          <w:tcPr>
            <w:tcW w:w="794" w:type="dxa"/>
            <w:noWrap w:val="0"/>
            <w:vAlign w:val="center"/>
          </w:tcPr>
          <w:p w14:paraId="4AD2D5F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49.89</w:t>
            </w:r>
          </w:p>
        </w:tc>
        <w:tc>
          <w:tcPr>
            <w:tcW w:w="794" w:type="dxa"/>
            <w:noWrap w:val="0"/>
            <w:vAlign w:val="center"/>
          </w:tcPr>
          <w:p w14:paraId="6E6ECD5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49.89</w:t>
            </w:r>
          </w:p>
        </w:tc>
        <w:tc>
          <w:tcPr>
            <w:tcW w:w="794" w:type="dxa"/>
            <w:noWrap w:val="0"/>
            <w:vAlign w:val="center"/>
          </w:tcPr>
          <w:p w14:paraId="78F0F6E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49.89</w:t>
            </w:r>
          </w:p>
        </w:tc>
        <w:tc>
          <w:tcPr>
            <w:tcW w:w="794" w:type="dxa"/>
            <w:noWrap w:val="0"/>
            <w:vAlign w:val="center"/>
          </w:tcPr>
          <w:p w14:paraId="195AC82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49.89</w:t>
            </w:r>
          </w:p>
        </w:tc>
        <w:tc>
          <w:tcPr>
            <w:tcW w:w="794" w:type="dxa"/>
            <w:noWrap w:val="0"/>
            <w:vAlign w:val="center"/>
          </w:tcPr>
          <w:p w14:paraId="47898AD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49.89</w:t>
            </w:r>
          </w:p>
        </w:tc>
        <w:tc>
          <w:tcPr>
            <w:tcW w:w="794" w:type="dxa"/>
            <w:noWrap w:val="0"/>
            <w:vAlign w:val="center"/>
          </w:tcPr>
          <w:p w14:paraId="4D50D04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49.89</w:t>
            </w:r>
          </w:p>
        </w:tc>
        <w:tc>
          <w:tcPr>
            <w:tcW w:w="794" w:type="dxa"/>
            <w:noWrap w:val="0"/>
            <w:vAlign w:val="center"/>
          </w:tcPr>
          <w:p w14:paraId="6F9D152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49.89</w:t>
            </w:r>
          </w:p>
        </w:tc>
        <w:tc>
          <w:tcPr>
            <w:tcW w:w="794" w:type="dxa"/>
            <w:noWrap w:val="0"/>
            <w:vAlign w:val="center"/>
          </w:tcPr>
          <w:p w14:paraId="589EE17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49.89</w:t>
            </w:r>
          </w:p>
        </w:tc>
        <w:tc>
          <w:tcPr>
            <w:tcW w:w="794" w:type="dxa"/>
            <w:noWrap w:val="0"/>
            <w:vAlign w:val="center"/>
          </w:tcPr>
          <w:p w14:paraId="3069D9D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49.89</w:t>
            </w:r>
          </w:p>
        </w:tc>
        <w:tc>
          <w:tcPr>
            <w:tcW w:w="794" w:type="dxa"/>
            <w:noWrap w:val="0"/>
            <w:vAlign w:val="center"/>
          </w:tcPr>
          <w:p w14:paraId="346BD8C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49.89</w:t>
            </w:r>
          </w:p>
        </w:tc>
      </w:tr>
      <w:tr w14:paraId="4870A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0B2FFEF8">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z w:val="21"/>
                <w:szCs w:val="14"/>
              </w:rPr>
              <w:t>1.4.3</w:t>
            </w:r>
          </w:p>
        </w:tc>
        <w:tc>
          <w:tcPr>
            <w:tcW w:w="0" w:type="auto"/>
            <w:noWrap w:val="0"/>
            <w:vAlign w:val="center"/>
          </w:tcPr>
          <w:p w14:paraId="64DED08D">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租赁费用</w:t>
            </w:r>
          </w:p>
        </w:tc>
        <w:tc>
          <w:tcPr>
            <w:tcW w:w="899" w:type="dxa"/>
            <w:noWrap w:val="0"/>
            <w:vAlign w:val="center"/>
          </w:tcPr>
          <w:p w14:paraId="0EE53186">
            <w:pPr>
              <w:jc w:val="center"/>
              <w:rPr>
                <w:rFonts w:ascii="Times New Roman" w:hAnsi="Times New Roman" w:eastAsia="宋体" w:cs="宋体"/>
                <w:color w:val="auto"/>
                <w:sz w:val="21"/>
                <w:szCs w:val="21"/>
              </w:rPr>
            </w:pPr>
          </w:p>
        </w:tc>
        <w:tc>
          <w:tcPr>
            <w:tcW w:w="794" w:type="dxa"/>
            <w:noWrap w:val="0"/>
            <w:vAlign w:val="center"/>
          </w:tcPr>
          <w:p w14:paraId="2A3D961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180</w:t>
            </w:r>
          </w:p>
        </w:tc>
        <w:tc>
          <w:tcPr>
            <w:tcW w:w="794" w:type="dxa"/>
            <w:noWrap w:val="0"/>
            <w:vAlign w:val="center"/>
          </w:tcPr>
          <w:p w14:paraId="2DBFD2D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180</w:t>
            </w:r>
          </w:p>
        </w:tc>
        <w:tc>
          <w:tcPr>
            <w:tcW w:w="794" w:type="dxa"/>
            <w:noWrap w:val="0"/>
            <w:vAlign w:val="center"/>
          </w:tcPr>
          <w:p w14:paraId="6FDA24E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180</w:t>
            </w:r>
          </w:p>
        </w:tc>
        <w:tc>
          <w:tcPr>
            <w:tcW w:w="794" w:type="dxa"/>
            <w:noWrap w:val="0"/>
            <w:vAlign w:val="center"/>
          </w:tcPr>
          <w:p w14:paraId="05B12D9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180</w:t>
            </w:r>
          </w:p>
        </w:tc>
        <w:tc>
          <w:tcPr>
            <w:tcW w:w="794" w:type="dxa"/>
            <w:noWrap w:val="0"/>
            <w:vAlign w:val="center"/>
          </w:tcPr>
          <w:p w14:paraId="40C1619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180</w:t>
            </w:r>
          </w:p>
        </w:tc>
        <w:tc>
          <w:tcPr>
            <w:tcW w:w="794" w:type="dxa"/>
            <w:noWrap w:val="0"/>
            <w:vAlign w:val="center"/>
          </w:tcPr>
          <w:p w14:paraId="479672A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180</w:t>
            </w:r>
          </w:p>
        </w:tc>
        <w:tc>
          <w:tcPr>
            <w:tcW w:w="794" w:type="dxa"/>
            <w:noWrap w:val="0"/>
            <w:vAlign w:val="center"/>
          </w:tcPr>
          <w:p w14:paraId="22EBC6D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180</w:t>
            </w:r>
          </w:p>
        </w:tc>
        <w:tc>
          <w:tcPr>
            <w:tcW w:w="794" w:type="dxa"/>
            <w:noWrap w:val="0"/>
            <w:vAlign w:val="center"/>
          </w:tcPr>
          <w:p w14:paraId="324B034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180</w:t>
            </w:r>
          </w:p>
        </w:tc>
        <w:tc>
          <w:tcPr>
            <w:tcW w:w="794" w:type="dxa"/>
            <w:noWrap w:val="0"/>
            <w:vAlign w:val="center"/>
          </w:tcPr>
          <w:p w14:paraId="2B7A2BB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180</w:t>
            </w:r>
          </w:p>
        </w:tc>
        <w:tc>
          <w:tcPr>
            <w:tcW w:w="794" w:type="dxa"/>
            <w:noWrap w:val="0"/>
            <w:vAlign w:val="center"/>
          </w:tcPr>
          <w:p w14:paraId="05738B7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180</w:t>
            </w:r>
          </w:p>
        </w:tc>
        <w:tc>
          <w:tcPr>
            <w:tcW w:w="794" w:type="dxa"/>
            <w:noWrap w:val="0"/>
            <w:vAlign w:val="center"/>
          </w:tcPr>
          <w:p w14:paraId="204BF9E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180</w:t>
            </w:r>
          </w:p>
        </w:tc>
        <w:tc>
          <w:tcPr>
            <w:tcW w:w="794" w:type="dxa"/>
            <w:noWrap w:val="0"/>
            <w:vAlign w:val="center"/>
          </w:tcPr>
          <w:p w14:paraId="12EE382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180</w:t>
            </w:r>
          </w:p>
        </w:tc>
        <w:tc>
          <w:tcPr>
            <w:tcW w:w="794" w:type="dxa"/>
            <w:noWrap w:val="0"/>
            <w:vAlign w:val="center"/>
          </w:tcPr>
          <w:p w14:paraId="0770E1D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180</w:t>
            </w:r>
          </w:p>
        </w:tc>
        <w:tc>
          <w:tcPr>
            <w:tcW w:w="794" w:type="dxa"/>
            <w:noWrap w:val="0"/>
            <w:vAlign w:val="center"/>
          </w:tcPr>
          <w:p w14:paraId="2111979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180</w:t>
            </w:r>
          </w:p>
        </w:tc>
      </w:tr>
      <w:tr w14:paraId="4CC0C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16C8DCCA">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w:t>
            </w:r>
          </w:p>
        </w:tc>
        <w:tc>
          <w:tcPr>
            <w:tcW w:w="0" w:type="auto"/>
            <w:noWrap w:val="0"/>
            <w:vAlign w:val="center"/>
          </w:tcPr>
          <w:p w14:paraId="71D5850E">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管理费用</w:t>
            </w:r>
          </w:p>
        </w:tc>
        <w:tc>
          <w:tcPr>
            <w:tcW w:w="899" w:type="dxa"/>
            <w:noWrap w:val="0"/>
            <w:vAlign w:val="center"/>
          </w:tcPr>
          <w:p w14:paraId="26C5FF25">
            <w:pPr>
              <w:jc w:val="center"/>
              <w:rPr>
                <w:rFonts w:ascii="Times New Roman" w:hAnsi="Times New Roman" w:eastAsia="宋体" w:cs="宋体"/>
                <w:color w:val="auto"/>
                <w:sz w:val="21"/>
                <w:szCs w:val="21"/>
              </w:rPr>
            </w:pPr>
          </w:p>
        </w:tc>
        <w:tc>
          <w:tcPr>
            <w:tcW w:w="794" w:type="dxa"/>
            <w:noWrap w:val="0"/>
            <w:vAlign w:val="center"/>
          </w:tcPr>
          <w:p w14:paraId="237A19F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102.353625</w:t>
            </w:r>
          </w:p>
        </w:tc>
        <w:tc>
          <w:tcPr>
            <w:tcW w:w="794" w:type="dxa"/>
            <w:noWrap w:val="0"/>
            <w:vAlign w:val="center"/>
          </w:tcPr>
          <w:p w14:paraId="4BBE950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163.7658</w:t>
            </w:r>
          </w:p>
        </w:tc>
        <w:tc>
          <w:tcPr>
            <w:tcW w:w="794" w:type="dxa"/>
            <w:noWrap w:val="0"/>
            <w:vAlign w:val="center"/>
          </w:tcPr>
          <w:p w14:paraId="4655EF3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218.3544</w:t>
            </w:r>
          </w:p>
        </w:tc>
        <w:tc>
          <w:tcPr>
            <w:tcW w:w="794" w:type="dxa"/>
            <w:noWrap w:val="0"/>
            <w:vAlign w:val="center"/>
          </w:tcPr>
          <w:p w14:paraId="61F39B4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50EDFEC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7E944D4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514C9D4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3CDED16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001493B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071114C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2AC646C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483FF59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31B2356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54EFB31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r>
      <w:tr w14:paraId="70AB6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08E78897">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2.1</w:t>
            </w:r>
          </w:p>
        </w:tc>
        <w:tc>
          <w:tcPr>
            <w:tcW w:w="0" w:type="auto"/>
            <w:noWrap w:val="0"/>
            <w:vAlign w:val="center"/>
          </w:tcPr>
          <w:p w14:paraId="676730B3">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无形资产摊销</w:t>
            </w:r>
          </w:p>
        </w:tc>
        <w:tc>
          <w:tcPr>
            <w:tcW w:w="899" w:type="dxa"/>
            <w:noWrap w:val="0"/>
            <w:vAlign w:val="center"/>
          </w:tcPr>
          <w:p w14:paraId="5783639E">
            <w:pPr>
              <w:jc w:val="center"/>
              <w:rPr>
                <w:rFonts w:ascii="Times New Roman" w:hAnsi="Times New Roman" w:eastAsia="宋体" w:cs="宋体"/>
                <w:color w:val="auto"/>
                <w:sz w:val="21"/>
                <w:szCs w:val="21"/>
              </w:rPr>
            </w:pPr>
          </w:p>
        </w:tc>
        <w:tc>
          <w:tcPr>
            <w:tcW w:w="794" w:type="dxa"/>
            <w:noWrap w:val="0"/>
            <w:vAlign w:val="center"/>
          </w:tcPr>
          <w:p w14:paraId="484A5844">
            <w:pPr>
              <w:jc w:val="center"/>
              <w:rPr>
                <w:rFonts w:ascii="Times New Roman" w:hAnsi="Times New Roman" w:eastAsia="宋体" w:cs="宋体"/>
                <w:color w:val="auto"/>
                <w:sz w:val="21"/>
                <w:szCs w:val="21"/>
              </w:rPr>
            </w:pPr>
          </w:p>
        </w:tc>
        <w:tc>
          <w:tcPr>
            <w:tcW w:w="794" w:type="dxa"/>
            <w:noWrap w:val="0"/>
            <w:vAlign w:val="center"/>
          </w:tcPr>
          <w:p w14:paraId="40735506">
            <w:pPr>
              <w:jc w:val="center"/>
              <w:rPr>
                <w:rFonts w:ascii="Times New Roman" w:hAnsi="Times New Roman" w:eastAsia="宋体" w:cs="宋体"/>
                <w:color w:val="auto"/>
                <w:sz w:val="21"/>
                <w:szCs w:val="21"/>
              </w:rPr>
            </w:pPr>
          </w:p>
        </w:tc>
        <w:tc>
          <w:tcPr>
            <w:tcW w:w="794" w:type="dxa"/>
            <w:noWrap w:val="0"/>
            <w:vAlign w:val="center"/>
          </w:tcPr>
          <w:p w14:paraId="23429D1F">
            <w:pPr>
              <w:jc w:val="center"/>
              <w:rPr>
                <w:rFonts w:ascii="Times New Roman" w:hAnsi="Times New Roman" w:eastAsia="宋体" w:cs="宋体"/>
                <w:color w:val="auto"/>
                <w:sz w:val="21"/>
                <w:szCs w:val="21"/>
              </w:rPr>
            </w:pPr>
          </w:p>
        </w:tc>
        <w:tc>
          <w:tcPr>
            <w:tcW w:w="794" w:type="dxa"/>
            <w:noWrap w:val="0"/>
            <w:vAlign w:val="center"/>
          </w:tcPr>
          <w:p w14:paraId="08BB6A6F">
            <w:pPr>
              <w:jc w:val="center"/>
              <w:rPr>
                <w:rFonts w:ascii="Times New Roman" w:hAnsi="Times New Roman" w:eastAsia="宋体" w:cs="宋体"/>
                <w:color w:val="auto"/>
                <w:sz w:val="21"/>
                <w:szCs w:val="21"/>
              </w:rPr>
            </w:pPr>
          </w:p>
        </w:tc>
        <w:tc>
          <w:tcPr>
            <w:tcW w:w="794" w:type="dxa"/>
            <w:noWrap w:val="0"/>
            <w:vAlign w:val="center"/>
          </w:tcPr>
          <w:p w14:paraId="20E8C76F">
            <w:pPr>
              <w:jc w:val="center"/>
              <w:rPr>
                <w:rFonts w:ascii="Times New Roman" w:hAnsi="Times New Roman" w:eastAsia="宋体" w:cs="宋体"/>
                <w:color w:val="auto"/>
                <w:sz w:val="21"/>
                <w:szCs w:val="21"/>
              </w:rPr>
            </w:pPr>
          </w:p>
        </w:tc>
        <w:tc>
          <w:tcPr>
            <w:tcW w:w="794" w:type="dxa"/>
            <w:noWrap w:val="0"/>
            <w:vAlign w:val="center"/>
          </w:tcPr>
          <w:p w14:paraId="0E0685EF">
            <w:pPr>
              <w:jc w:val="center"/>
              <w:rPr>
                <w:rFonts w:ascii="Times New Roman" w:hAnsi="Times New Roman" w:eastAsia="宋体" w:cs="宋体"/>
                <w:color w:val="auto"/>
                <w:sz w:val="21"/>
                <w:szCs w:val="21"/>
              </w:rPr>
            </w:pPr>
          </w:p>
        </w:tc>
        <w:tc>
          <w:tcPr>
            <w:tcW w:w="794" w:type="dxa"/>
            <w:noWrap w:val="0"/>
            <w:vAlign w:val="center"/>
          </w:tcPr>
          <w:p w14:paraId="374215A6">
            <w:pPr>
              <w:jc w:val="center"/>
              <w:rPr>
                <w:rFonts w:ascii="Times New Roman" w:hAnsi="Times New Roman" w:eastAsia="宋体" w:cs="宋体"/>
                <w:color w:val="auto"/>
                <w:sz w:val="21"/>
                <w:szCs w:val="21"/>
              </w:rPr>
            </w:pPr>
          </w:p>
        </w:tc>
        <w:tc>
          <w:tcPr>
            <w:tcW w:w="794" w:type="dxa"/>
            <w:noWrap w:val="0"/>
            <w:vAlign w:val="center"/>
          </w:tcPr>
          <w:p w14:paraId="351DBA66">
            <w:pPr>
              <w:jc w:val="center"/>
              <w:rPr>
                <w:rFonts w:ascii="Times New Roman" w:hAnsi="Times New Roman" w:eastAsia="宋体" w:cs="宋体"/>
                <w:color w:val="auto"/>
                <w:sz w:val="21"/>
                <w:szCs w:val="21"/>
              </w:rPr>
            </w:pPr>
          </w:p>
        </w:tc>
        <w:tc>
          <w:tcPr>
            <w:tcW w:w="794" w:type="dxa"/>
            <w:noWrap w:val="0"/>
            <w:vAlign w:val="center"/>
          </w:tcPr>
          <w:p w14:paraId="45E6CF62">
            <w:pPr>
              <w:jc w:val="center"/>
              <w:rPr>
                <w:rFonts w:ascii="Times New Roman" w:hAnsi="Times New Roman" w:eastAsia="宋体" w:cs="宋体"/>
                <w:color w:val="auto"/>
                <w:sz w:val="21"/>
                <w:szCs w:val="21"/>
              </w:rPr>
            </w:pPr>
          </w:p>
        </w:tc>
        <w:tc>
          <w:tcPr>
            <w:tcW w:w="794" w:type="dxa"/>
            <w:noWrap w:val="0"/>
            <w:vAlign w:val="center"/>
          </w:tcPr>
          <w:p w14:paraId="1E535962">
            <w:pPr>
              <w:jc w:val="center"/>
              <w:rPr>
                <w:rFonts w:ascii="Times New Roman" w:hAnsi="Times New Roman" w:eastAsia="宋体" w:cs="宋体"/>
                <w:color w:val="auto"/>
                <w:sz w:val="21"/>
                <w:szCs w:val="21"/>
              </w:rPr>
            </w:pPr>
          </w:p>
        </w:tc>
        <w:tc>
          <w:tcPr>
            <w:tcW w:w="794" w:type="dxa"/>
            <w:noWrap w:val="0"/>
            <w:vAlign w:val="center"/>
          </w:tcPr>
          <w:p w14:paraId="465E1131">
            <w:pPr>
              <w:jc w:val="center"/>
              <w:rPr>
                <w:rFonts w:ascii="Times New Roman" w:hAnsi="Times New Roman" w:eastAsia="宋体" w:cs="宋体"/>
                <w:color w:val="auto"/>
                <w:sz w:val="21"/>
                <w:szCs w:val="21"/>
              </w:rPr>
            </w:pPr>
          </w:p>
        </w:tc>
        <w:tc>
          <w:tcPr>
            <w:tcW w:w="794" w:type="dxa"/>
            <w:noWrap w:val="0"/>
            <w:vAlign w:val="center"/>
          </w:tcPr>
          <w:p w14:paraId="554E8362">
            <w:pPr>
              <w:jc w:val="center"/>
              <w:rPr>
                <w:rFonts w:ascii="Times New Roman" w:hAnsi="Times New Roman" w:eastAsia="宋体" w:cs="宋体"/>
                <w:color w:val="auto"/>
                <w:sz w:val="21"/>
                <w:szCs w:val="21"/>
              </w:rPr>
            </w:pPr>
          </w:p>
        </w:tc>
        <w:tc>
          <w:tcPr>
            <w:tcW w:w="794" w:type="dxa"/>
            <w:noWrap w:val="0"/>
            <w:vAlign w:val="center"/>
          </w:tcPr>
          <w:p w14:paraId="6C428DE1">
            <w:pPr>
              <w:jc w:val="center"/>
              <w:rPr>
                <w:rFonts w:ascii="Times New Roman" w:hAnsi="Times New Roman" w:eastAsia="宋体" w:cs="宋体"/>
                <w:color w:val="auto"/>
                <w:sz w:val="21"/>
                <w:szCs w:val="21"/>
              </w:rPr>
            </w:pPr>
          </w:p>
        </w:tc>
        <w:tc>
          <w:tcPr>
            <w:tcW w:w="794" w:type="dxa"/>
            <w:noWrap w:val="0"/>
            <w:vAlign w:val="center"/>
          </w:tcPr>
          <w:p w14:paraId="01AE9A04">
            <w:pPr>
              <w:jc w:val="center"/>
              <w:rPr>
                <w:rFonts w:ascii="Times New Roman" w:hAnsi="Times New Roman" w:eastAsia="宋体" w:cs="宋体"/>
                <w:color w:val="auto"/>
                <w:sz w:val="21"/>
                <w:szCs w:val="21"/>
              </w:rPr>
            </w:pPr>
          </w:p>
        </w:tc>
      </w:tr>
      <w:tr w14:paraId="4AF5C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7CBA70FD">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3"/>
                <w:sz w:val="21"/>
                <w:szCs w:val="14"/>
              </w:rPr>
              <w:t>2.2</w:t>
            </w:r>
          </w:p>
        </w:tc>
        <w:tc>
          <w:tcPr>
            <w:tcW w:w="0" w:type="auto"/>
            <w:noWrap w:val="0"/>
            <w:vAlign w:val="center"/>
          </w:tcPr>
          <w:p w14:paraId="692CC178">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其他资产摊销</w:t>
            </w:r>
          </w:p>
        </w:tc>
        <w:tc>
          <w:tcPr>
            <w:tcW w:w="899" w:type="dxa"/>
            <w:noWrap w:val="0"/>
            <w:vAlign w:val="center"/>
          </w:tcPr>
          <w:p w14:paraId="5B14D96A">
            <w:pPr>
              <w:jc w:val="center"/>
              <w:rPr>
                <w:rFonts w:ascii="Times New Roman" w:hAnsi="Times New Roman" w:eastAsia="宋体" w:cs="宋体"/>
                <w:color w:val="auto"/>
                <w:sz w:val="21"/>
                <w:szCs w:val="21"/>
              </w:rPr>
            </w:pPr>
          </w:p>
        </w:tc>
        <w:tc>
          <w:tcPr>
            <w:tcW w:w="794" w:type="dxa"/>
            <w:noWrap w:val="0"/>
            <w:vAlign w:val="center"/>
          </w:tcPr>
          <w:p w14:paraId="31C45C15">
            <w:pPr>
              <w:jc w:val="center"/>
              <w:rPr>
                <w:rFonts w:ascii="Times New Roman" w:hAnsi="Times New Roman" w:eastAsia="宋体" w:cs="宋体"/>
                <w:color w:val="auto"/>
                <w:sz w:val="21"/>
                <w:szCs w:val="21"/>
              </w:rPr>
            </w:pPr>
          </w:p>
        </w:tc>
        <w:tc>
          <w:tcPr>
            <w:tcW w:w="794" w:type="dxa"/>
            <w:noWrap w:val="0"/>
            <w:vAlign w:val="center"/>
          </w:tcPr>
          <w:p w14:paraId="7D1E2967">
            <w:pPr>
              <w:jc w:val="center"/>
              <w:rPr>
                <w:rFonts w:ascii="Times New Roman" w:hAnsi="Times New Roman" w:eastAsia="宋体" w:cs="宋体"/>
                <w:color w:val="auto"/>
                <w:sz w:val="21"/>
                <w:szCs w:val="21"/>
              </w:rPr>
            </w:pPr>
          </w:p>
        </w:tc>
        <w:tc>
          <w:tcPr>
            <w:tcW w:w="794" w:type="dxa"/>
            <w:noWrap w:val="0"/>
            <w:vAlign w:val="center"/>
          </w:tcPr>
          <w:p w14:paraId="6F3779A8">
            <w:pPr>
              <w:jc w:val="center"/>
              <w:rPr>
                <w:rFonts w:ascii="Times New Roman" w:hAnsi="Times New Roman" w:eastAsia="宋体" w:cs="宋体"/>
                <w:color w:val="auto"/>
                <w:sz w:val="21"/>
                <w:szCs w:val="21"/>
              </w:rPr>
            </w:pPr>
          </w:p>
        </w:tc>
        <w:tc>
          <w:tcPr>
            <w:tcW w:w="794" w:type="dxa"/>
            <w:noWrap w:val="0"/>
            <w:vAlign w:val="center"/>
          </w:tcPr>
          <w:p w14:paraId="44A62AE3">
            <w:pPr>
              <w:jc w:val="center"/>
              <w:rPr>
                <w:rFonts w:ascii="Times New Roman" w:hAnsi="Times New Roman" w:eastAsia="宋体" w:cs="宋体"/>
                <w:color w:val="auto"/>
                <w:sz w:val="21"/>
                <w:szCs w:val="21"/>
              </w:rPr>
            </w:pPr>
          </w:p>
        </w:tc>
        <w:tc>
          <w:tcPr>
            <w:tcW w:w="794" w:type="dxa"/>
            <w:noWrap w:val="0"/>
            <w:vAlign w:val="center"/>
          </w:tcPr>
          <w:p w14:paraId="719BC1A3">
            <w:pPr>
              <w:jc w:val="center"/>
              <w:rPr>
                <w:rFonts w:ascii="Times New Roman" w:hAnsi="Times New Roman" w:eastAsia="宋体" w:cs="宋体"/>
                <w:color w:val="auto"/>
                <w:sz w:val="21"/>
                <w:szCs w:val="21"/>
              </w:rPr>
            </w:pPr>
          </w:p>
        </w:tc>
        <w:tc>
          <w:tcPr>
            <w:tcW w:w="794" w:type="dxa"/>
            <w:noWrap w:val="0"/>
            <w:vAlign w:val="center"/>
          </w:tcPr>
          <w:p w14:paraId="629D9EB5">
            <w:pPr>
              <w:jc w:val="center"/>
              <w:rPr>
                <w:rFonts w:ascii="Times New Roman" w:hAnsi="Times New Roman" w:eastAsia="宋体" w:cs="宋体"/>
                <w:color w:val="auto"/>
                <w:sz w:val="21"/>
                <w:szCs w:val="21"/>
              </w:rPr>
            </w:pPr>
          </w:p>
        </w:tc>
        <w:tc>
          <w:tcPr>
            <w:tcW w:w="794" w:type="dxa"/>
            <w:noWrap w:val="0"/>
            <w:vAlign w:val="center"/>
          </w:tcPr>
          <w:p w14:paraId="5D0281CA">
            <w:pPr>
              <w:jc w:val="center"/>
              <w:rPr>
                <w:rFonts w:ascii="Times New Roman" w:hAnsi="Times New Roman" w:eastAsia="宋体" w:cs="宋体"/>
                <w:color w:val="auto"/>
                <w:sz w:val="21"/>
                <w:szCs w:val="21"/>
              </w:rPr>
            </w:pPr>
          </w:p>
        </w:tc>
        <w:tc>
          <w:tcPr>
            <w:tcW w:w="794" w:type="dxa"/>
            <w:noWrap w:val="0"/>
            <w:vAlign w:val="center"/>
          </w:tcPr>
          <w:p w14:paraId="40DE66CA">
            <w:pPr>
              <w:jc w:val="center"/>
              <w:rPr>
                <w:rFonts w:ascii="Times New Roman" w:hAnsi="Times New Roman" w:eastAsia="宋体" w:cs="宋体"/>
                <w:color w:val="auto"/>
                <w:sz w:val="21"/>
                <w:szCs w:val="21"/>
              </w:rPr>
            </w:pPr>
          </w:p>
        </w:tc>
        <w:tc>
          <w:tcPr>
            <w:tcW w:w="794" w:type="dxa"/>
            <w:noWrap w:val="0"/>
            <w:vAlign w:val="center"/>
          </w:tcPr>
          <w:p w14:paraId="5C23D1F5">
            <w:pPr>
              <w:jc w:val="center"/>
              <w:rPr>
                <w:rFonts w:ascii="Times New Roman" w:hAnsi="Times New Roman" w:eastAsia="宋体" w:cs="宋体"/>
                <w:color w:val="auto"/>
                <w:sz w:val="21"/>
                <w:szCs w:val="21"/>
              </w:rPr>
            </w:pPr>
          </w:p>
        </w:tc>
        <w:tc>
          <w:tcPr>
            <w:tcW w:w="794" w:type="dxa"/>
            <w:noWrap w:val="0"/>
            <w:vAlign w:val="center"/>
          </w:tcPr>
          <w:p w14:paraId="772FEC20">
            <w:pPr>
              <w:jc w:val="center"/>
              <w:rPr>
                <w:rFonts w:ascii="Times New Roman" w:hAnsi="Times New Roman" w:eastAsia="宋体" w:cs="宋体"/>
                <w:color w:val="auto"/>
                <w:sz w:val="21"/>
                <w:szCs w:val="21"/>
              </w:rPr>
            </w:pPr>
          </w:p>
        </w:tc>
        <w:tc>
          <w:tcPr>
            <w:tcW w:w="794" w:type="dxa"/>
            <w:noWrap w:val="0"/>
            <w:vAlign w:val="center"/>
          </w:tcPr>
          <w:p w14:paraId="73018527">
            <w:pPr>
              <w:jc w:val="center"/>
              <w:rPr>
                <w:rFonts w:ascii="Times New Roman" w:hAnsi="Times New Roman" w:eastAsia="宋体" w:cs="宋体"/>
                <w:color w:val="auto"/>
                <w:sz w:val="21"/>
                <w:szCs w:val="21"/>
              </w:rPr>
            </w:pPr>
          </w:p>
        </w:tc>
        <w:tc>
          <w:tcPr>
            <w:tcW w:w="794" w:type="dxa"/>
            <w:noWrap w:val="0"/>
            <w:vAlign w:val="center"/>
          </w:tcPr>
          <w:p w14:paraId="611944FE">
            <w:pPr>
              <w:jc w:val="center"/>
              <w:rPr>
                <w:rFonts w:ascii="Times New Roman" w:hAnsi="Times New Roman" w:eastAsia="宋体" w:cs="宋体"/>
                <w:color w:val="auto"/>
                <w:sz w:val="21"/>
                <w:szCs w:val="21"/>
              </w:rPr>
            </w:pPr>
          </w:p>
        </w:tc>
        <w:tc>
          <w:tcPr>
            <w:tcW w:w="794" w:type="dxa"/>
            <w:noWrap w:val="0"/>
            <w:vAlign w:val="center"/>
          </w:tcPr>
          <w:p w14:paraId="016DEADC">
            <w:pPr>
              <w:jc w:val="center"/>
              <w:rPr>
                <w:rFonts w:ascii="Times New Roman" w:hAnsi="Times New Roman" w:eastAsia="宋体" w:cs="宋体"/>
                <w:color w:val="auto"/>
                <w:sz w:val="21"/>
                <w:szCs w:val="21"/>
              </w:rPr>
            </w:pPr>
          </w:p>
        </w:tc>
        <w:tc>
          <w:tcPr>
            <w:tcW w:w="794" w:type="dxa"/>
            <w:noWrap w:val="0"/>
            <w:vAlign w:val="center"/>
          </w:tcPr>
          <w:p w14:paraId="1D1289DD">
            <w:pPr>
              <w:jc w:val="center"/>
              <w:rPr>
                <w:rFonts w:ascii="Times New Roman" w:hAnsi="Times New Roman" w:eastAsia="宋体" w:cs="宋体"/>
                <w:color w:val="auto"/>
                <w:sz w:val="21"/>
                <w:szCs w:val="21"/>
              </w:rPr>
            </w:pPr>
          </w:p>
        </w:tc>
      </w:tr>
      <w:tr w14:paraId="6C423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09C2AB40">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3"/>
                <w:sz w:val="21"/>
                <w:szCs w:val="14"/>
              </w:rPr>
              <w:t>2.3</w:t>
            </w:r>
          </w:p>
        </w:tc>
        <w:tc>
          <w:tcPr>
            <w:tcW w:w="0" w:type="auto"/>
            <w:noWrap w:val="0"/>
            <w:vAlign w:val="center"/>
          </w:tcPr>
          <w:p w14:paraId="288B5C1D">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其他管理费用</w:t>
            </w:r>
          </w:p>
        </w:tc>
        <w:tc>
          <w:tcPr>
            <w:tcW w:w="899" w:type="dxa"/>
            <w:noWrap w:val="0"/>
            <w:vAlign w:val="center"/>
          </w:tcPr>
          <w:p w14:paraId="4E71558A">
            <w:pPr>
              <w:jc w:val="center"/>
              <w:rPr>
                <w:rFonts w:ascii="Times New Roman" w:hAnsi="Times New Roman" w:eastAsia="宋体" w:cs="宋体"/>
                <w:color w:val="auto"/>
                <w:sz w:val="21"/>
                <w:szCs w:val="21"/>
              </w:rPr>
            </w:pPr>
          </w:p>
        </w:tc>
        <w:tc>
          <w:tcPr>
            <w:tcW w:w="794" w:type="dxa"/>
            <w:noWrap w:val="0"/>
            <w:vAlign w:val="center"/>
          </w:tcPr>
          <w:p w14:paraId="534FBE8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102.35</w:t>
            </w:r>
          </w:p>
        </w:tc>
        <w:tc>
          <w:tcPr>
            <w:tcW w:w="794" w:type="dxa"/>
            <w:noWrap w:val="0"/>
            <w:vAlign w:val="center"/>
          </w:tcPr>
          <w:p w14:paraId="5A48C24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163.77</w:t>
            </w:r>
          </w:p>
        </w:tc>
        <w:tc>
          <w:tcPr>
            <w:tcW w:w="794" w:type="dxa"/>
            <w:noWrap w:val="0"/>
            <w:vAlign w:val="center"/>
          </w:tcPr>
          <w:p w14:paraId="12C5FDF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218.35</w:t>
            </w:r>
          </w:p>
        </w:tc>
        <w:tc>
          <w:tcPr>
            <w:tcW w:w="794" w:type="dxa"/>
            <w:noWrap w:val="0"/>
            <w:vAlign w:val="center"/>
          </w:tcPr>
          <w:p w14:paraId="0D3EE38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797E039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38AE77E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4BC22B2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418F084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731C711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2A581EB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4B80DAE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48A61FF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59F738A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c>
          <w:tcPr>
            <w:tcW w:w="794" w:type="dxa"/>
            <w:noWrap w:val="0"/>
            <w:vAlign w:val="center"/>
          </w:tcPr>
          <w:p w14:paraId="07C5C91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272.94</w:t>
            </w:r>
          </w:p>
        </w:tc>
      </w:tr>
      <w:tr w14:paraId="16833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2B80861F">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z w:val="21"/>
                <w:szCs w:val="14"/>
              </w:rPr>
              <w:t>3</w:t>
            </w:r>
          </w:p>
        </w:tc>
        <w:tc>
          <w:tcPr>
            <w:tcW w:w="0" w:type="auto"/>
            <w:noWrap w:val="0"/>
            <w:vAlign w:val="center"/>
          </w:tcPr>
          <w:p w14:paraId="60DABF6A">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财务费用</w:t>
            </w:r>
          </w:p>
        </w:tc>
        <w:tc>
          <w:tcPr>
            <w:tcW w:w="899" w:type="dxa"/>
            <w:noWrap w:val="0"/>
            <w:vAlign w:val="center"/>
          </w:tcPr>
          <w:p w14:paraId="55483766">
            <w:pPr>
              <w:jc w:val="center"/>
              <w:rPr>
                <w:rFonts w:ascii="Times New Roman" w:hAnsi="Times New Roman" w:eastAsia="宋体" w:cs="宋体"/>
                <w:color w:val="auto"/>
                <w:sz w:val="21"/>
                <w:szCs w:val="21"/>
              </w:rPr>
            </w:pPr>
          </w:p>
        </w:tc>
        <w:tc>
          <w:tcPr>
            <w:tcW w:w="794" w:type="dxa"/>
            <w:noWrap w:val="0"/>
            <w:vAlign w:val="center"/>
          </w:tcPr>
          <w:p w14:paraId="3589520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17BD676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21B6133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3D6DE0B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0515C2E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35491AD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2BB12A3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3F07705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07AC69E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547A14E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4F7FCDD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41EF999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1EE7DBC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12EBBEF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r>
      <w:tr w14:paraId="6EC7E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7D5665FA">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z w:val="21"/>
                <w:szCs w:val="14"/>
              </w:rPr>
              <w:t>3.1</w:t>
            </w:r>
          </w:p>
        </w:tc>
        <w:tc>
          <w:tcPr>
            <w:tcW w:w="0" w:type="auto"/>
            <w:noWrap w:val="0"/>
            <w:vAlign w:val="center"/>
          </w:tcPr>
          <w:p w14:paraId="71623FA4">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利息支出</w:t>
            </w:r>
          </w:p>
        </w:tc>
        <w:tc>
          <w:tcPr>
            <w:tcW w:w="899" w:type="dxa"/>
            <w:noWrap w:val="0"/>
            <w:vAlign w:val="center"/>
          </w:tcPr>
          <w:p w14:paraId="29BF0463">
            <w:pPr>
              <w:jc w:val="center"/>
              <w:rPr>
                <w:rFonts w:ascii="Times New Roman" w:hAnsi="Times New Roman" w:eastAsia="宋体" w:cs="宋体"/>
                <w:color w:val="auto"/>
                <w:sz w:val="21"/>
                <w:szCs w:val="21"/>
              </w:rPr>
            </w:pPr>
          </w:p>
        </w:tc>
        <w:tc>
          <w:tcPr>
            <w:tcW w:w="794" w:type="dxa"/>
            <w:noWrap w:val="0"/>
            <w:vAlign w:val="center"/>
          </w:tcPr>
          <w:p w14:paraId="43249F6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79F84DC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56A1DE4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1C12FDB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1A136F2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7837DC4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1076678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56233A7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29A83B7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5B5D195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5F51240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71B5F0F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30D262C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690A624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r>
      <w:tr w14:paraId="42656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5B3BB497">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3"/>
                <w:sz w:val="21"/>
                <w:szCs w:val="14"/>
              </w:rPr>
              <w:t>3.1.1</w:t>
            </w:r>
          </w:p>
        </w:tc>
        <w:tc>
          <w:tcPr>
            <w:tcW w:w="0" w:type="auto"/>
            <w:noWrap w:val="0"/>
            <w:vAlign w:val="center"/>
          </w:tcPr>
          <w:p w14:paraId="597301D6">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长期借款利息</w:t>
            </w:r>
          </w:p>
        </w:tc>
        <w:tc>
          <w:tcPr>
            <w:tcW w:w="899" w:type="dxa"/>
            <w:noWrap w:val="0"/>
            <w:vAlign w:val="center"/>
          </w:tcPr>
          <w:p w14:paraId="2B8317D7">
            <w:pPr>
              <w:jc w:val="center"/>
              <w:rPr>
                <w:rFonts w:ascii="Times New Roman" w:hAnsi="Times New Roman" w:eastAsia="宋体" w:cs="宋体"/>
                <w:color w:val="auto"/>
                <w:sz w:val="21"/>
                <w:szCs w:val="21"/>
              </w:rPr>
            </w:pPr>
          </w:p>
        </w:tc>
        <w:tc>
          <w:tcPr>
            <w:tcW w:w="794" w:type="dxa"/>
            <w:noWrap w:val="0"/>
            <w:vAlign w:val="center"/>
          </w:tcPr>
          <w:p w14:paraId="79D063CE">
            <w:pPr>
              <w:jc w:val="center"/>
              <w:rPr>
                <w:rFonts w:ascii="Times New Roman" w:hAnsi="Times New Roman" w:eastAsia="宋体" w:cs="宋体"/>
                <w:color w:val="auto"/>
                <w:sz w:val="21"/>
                <w:szCs w:val="21"/>
              </w:rPr>
            </w:pPr>
          </w:p>
        </w:tc>
        <w:tc>
          <w:tcPr>
            <w:tcW w:w="794" w:type="dxa"/>
            <w:noWrap w:val="0"/>
            <w:vAlign w:val="center"/>
          </w:tcPr>
          <w:p w14:paraId="7EF48086">
            <w:pPr>
              <w:jc w:val="center"/>
              <w:rPr>
                <w:rFonts w:ascii="Times New Roman" w:hAnsi="Times New Roman" w:eastAsia="宋体" w:cs="宋体"/>
                <w:color w:val="auto"/>
                <w:sz w:val="21"/>
                <w:szCs w:val="21"/>
              </w:rPr>
            </w:pPr>
          </w:p>
        </w:tc>
        <w:tc>
          <w:tcPr>
            <w:tcW w:w="794" w:type="dxa"/>
            <w:noWrap w:val="0"/>
            <w:vAlign w:val="center"/>
          </w:tcPr>
          <w:p w14:paraId="1925F9E6">
            <w:pPr>
              <w:jc w:val="center"/>
              <w:rPr>
                <w:rFonts w:ascii="Times New Roman" w:hAnsi="Times New Roman" w:eastAsia="宋体" w:cs="宋体"/>
                <w:color w:val="auto"/>
                <w:sz w:val="21"/>
                <w:szCs w:val="21"/>
              </w:rPr>
            </w:pPr>
          </w:p>
        </w:tc>
        <w:tc>
          <w:tcPr>
            <w:tcW w:w="794" w:type="dxa"/>
            <w:noWrap w:val="0"/>
            <w:vAlign w:val="center"/>
          </w:tcPr>
          <w:p w14:paraId="6006C591">
            <w:pPr>
              <w:jc w:val="center"/>
              <w:rPr>
                <w:rFonts w:ascii="Times New Roman" w:hAnsi="Times New Roman" w:eastAsia="宋体" w:cs="宋体"/>
                <w:color w:val="auto"/>
                <w:sz w:val="21"/>
                <w:szCs w:val="21"/>
              </w:rPr>
            </w:pPr>
          </w:p>
        </w:tc>
        <w:tc>
          <w:tcPr>
            <w:tcW w:w="794" w:type="dxa"/>
            <w:noWrap w:val="0"/>
            <w:vAlign w:val="center"/>
          </w:tcPr>
          <w:p w14:paraId="05B80834">
            <w:pPr>
              <w:jc w:val="center"/>
              <w:rPr>
                <w:rFonts w:ascii="Times New Roman" w:hAnsi="Times New Roman" w:eastAsia="宋体" w:cs="宋体"/>
                <w:color w:val="auto"/>
                <w:sz w:val="21"/>
                <w:szCs w:val="21"/>
              </w:rPr>
            </w:pPr>
          </w:p>
        </w:tc>
        <w:tc>
          <w:tcPr>
            <w:tcW w:w="794" w:type="dxa"/>
            <w:noWrap w:val="0"/>
            <w:vAlign w:val="center"/>
          </w:tcPr>
          <w:p w14:paraId="3BAA5161">
            <w:pPr>
              <w:jc w:val="center"/>
              <w:rPr>
                <w:rFonts w:ascii="Times New Roman" w:hAnsi="Times New Roman" w:eastAsia="宋体" w:cs="宋体"/>
                <w:color w:val="auto"/>
                <w:sz w:val="21"/>
                <w:szCs w:val="21"/>
              </w:rPr>
            </w:pPr>
          </w:p>
        </w:tc>
        <w:tc>
          <w:tcPr>
            <w:tcW w:w="794" w:type="dxa"/>
            <w:noWrap w:val="0"/>
            <w:vAlign w:val="center"/>
          </w:tcPr>
          <w:p w14:paraId="6C93E1E2">
            <w:pPr>
              <w:jc w:val="center"/>
              <w:rPr>
                <w:rFonts w:ascii="Times New Roman" w:hAnsi="Times New Roman" w:eastAsia="宋体" w:cs="宋体"/>
                <w:color w:val="auto"/>
                <w:sz w:val="21"/>
                <w:szCs w:val="21"/>
              </w:rPr>
            </w:pPr>
          </w:p>
        </w:tc>
        <w:tc>
          <w:tcPr>
            <w:tcW w:w="794" w:type="dxa"/>
            <w:noWrap w:val="0"/>
            <w:vAlign w:val="center"/>
          </w:tcPr>
          <w:p w14:paraId="0A5AC816">
            <w:pPr>
              <w:jc w:val="center"/>
              <w:rPr>
                <w:rFonts w:ascii="Times New Roman" w:hAnsi="Times New Roman" w:eastAsia="宋体" w:cs="宋体"/>
                <w:color w:val="auto"/>
                <w:sz w:val="21"/>
                <w:szCs w:val="21"/>
              </w:rPr>
            </w:pPr>
          </w:p>
        </w:tc>
        <w:tc>
          <w:tcPr>
            <w:tcW w:w="794" w:type="dxa"/>
            <w:noWrap w:val="0"/>
            <w:vAlign w:val="center"/>
          </w:tcPr>
          <w:p w14:paraId="07474288">
            <w:pPr>
              <w:jc w:val="center"/>
              <w:rPr>
                <w:rFonts w:ascii="Times New Roman" w:hAnsi="Times New Roman" w:eastAsia="宋体" w:cs="宋体"/>
                <w:color w:val="auto"/>
                <w:sz w:val="21"/>
                <w:szCs w:val="21"/>
              </w:rPr>
            </w:pPr>
          </w:p>
        </w:tc>
        <w:tc>
          <w:tcPr>
            <w:tcW w:w="794" w:type="dxa"/>
            <w:noWrap w:val="0"/>
            <w:vAlign w:val="center"/>
          </w:tcPr>
          <w:p w14:paraId="2C05E1A2">
            <w:pPr>
              <w:jc w:val="center"/>
              <w:rPr>
                <w:rFonts w:ascii="Times New Roman" w:hAnsi="Times New Roman" w:eastAsia="宋体" w:cs="宋体"/>
                <w:color w:val="auto"/>
                <w:sz w:val="21"/>
                <w:szCs w:val="21"/>
              </w:rPr>
            </w:pPr>
          </w:p>
        </w:tc>
        <w:tc>
          <w:tcPr>
            <w:tcW w:w="794" w:type="dxa"/>
            <w:noWrap w:val="0"/>
            <w:vAlign w:val="center"/>
          </w:tcPr>
          <w:p w14:paraId="4D80C06A">
            <w:pPr>
              <w:jc w:val="center"/>
              <w:rPr>
                <w:rFonts w:ascii="Times New Roman" w:hAnsi="Times New Roman" w:eastAsia="宋体" w:cs="宋体"/>
                <w:color w:val="auto"/>
                <w:sz w:val="21"/>
                <w:szCs w:val="21"/>
              </w:rPr>
            </w:pPr>
          </w:p>
        </w:tc>
        <w:tc>
          <w:tcPr>
            <w:tcW w:w="794" w:type="dxa"/>
            <w:noWrap w:val="0"/>
            <w:vAlign w:val="center"/>
          </w:tcPr>
          <w:p w14:paraId="0A7FCF4B">
            <w:pPr>
              <w:jc w:val="center"/>
              <w:rPr>
                <w:rFonts w:ascii="Times New Roman" w:hAnsi="Times New Roman" w:eastAsia="宋体" w:cs="宋体"/>
                <w:color w:val="auto"/>
                <w:sz w:val="21"/>
                <w:szCs w:val="21"/>
              </w:rPr>
            </w:pPr>
          </w:p>
        </w:tc>
        <w:tc>
          <w:tcPr>
            <w:tcW w:w="794" w:type="dxa"/>
            <w:noWrap w:val="0"/>
            <w:vAlign w:val="center"/>
          </w:tcPr>
          <w:p w14:paraId="3A033CEE">
            <w:pPr>
              <w:jc w:val="center"/>
              <w:rPr>
                <w:rFonts w:ascii="Times New Roman" w:hAnsi="Times New Roman" w:eastAsia="宋体" w:cs="宋体"/>
                <w:color w:val="auto"/>
                <w:sz w:val="21"/>
                <w:szCs w:val="21"/>
              </w:rPr>
            </w:pPr>
          </w:p>
        </w:tc>
        <w:tc>
          <w:tcPr>
            <w:tcW w:w="794" w:type="dxa"/>
            <w:noWrap w:val="0"/>
            <w:vAlign w:val="center"/>
          </w:tcPr>
          <w:p w14:paraId="7CAACFB8">
            <w:pPr>
              <w:jc w:val="center"/>
              <w:rPr>
                <w:rFonts w:ascii="Times New Roman" w:hAnsi="Times New Roman" w:eastAsia="宋体" w:cs="宋体"/>
                <w:color w:val="auto"/>
                <w:sz w:val="21"/>
                <w:szCs w:val="21"/>
              </w:rPr>
            </w:pPr>
          </w:p>
        </w:tc>
      </w:tr>
      <w:tr w14:paraId="66923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36DA5ECF">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3.1.2</w:t>
            </w:r>
          </w:p>
        </w:tc>
        <w:tc>
          <w:tcPr>
            <w:tcW w:w="0" w:type="auto"/>
            <w:noWrap w:val="0"/>
            <w:vAlign w:val="center"/>
          </w:tcPr>
          <w:p w14:paraId="28AF2D57">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流动资产借款利息</w:t>
            </w:r>
          </w:p>
        </w:tc>
        <w:tc>
          <w:tcPr>
            <w:tcW w:w="899" w:type="dxa"/>
            <w:noWrap w:val="0"/>
            <w:vAlign w:val="center"/>
          </w:tcPr>
          <w:p w14:paraId="16E30091">
            <w:pPr>
              <w:jc w:val="center"/>
              <w:rPr>
                <w:rFonts w:ascii="Times New Roman" w:hAnsi="Times New Roman" w:eastAsia="宋体" w:cs="宋体"/>
                <w:color w:val="auto"/>
                <w:sz w:val="21"/>
                <w:szCs w:val="21"/>
              </w:rPr>
            </w:pPr>
          </w:p>
        </w:tc>
        <w:tc>
          <w:tcPr>
            <w:tcW w:w="794" w:type="dxa"/>
            <w:noWrap w:val="0"/>
            <w:vAlign w:val="center"/>
          </w:tcPr>
          <w:p w14:paraId="435BC1DA">
            <w:pPr>
              <w:jc w:val="center"/>
              <w:rPr>
                <w:rFonts w:ascii="Times New Roman" w:hAnsi="Times New Roman" w:eastAsia="宋体" w:cs="宋体"/>
                <w:color w:val="auto"/>
                <w:sz w:val="21"/>
                <w:szCs w:val="21"/>
              </w:rPr>
            </w:pPr>
          </w:p>
        </w:tc>
        <w:tc>
          <w:tcPr>
            <w:tcW w:w="794" w:type="dxa"/>
            <w:noWrap w:val="0"/>
            <w:vAlign w:val="center"/>
          </w:tcPr>
          <w:p w14:paraId="7E822FFB">
            <w:pPr>
              <w:jc w:val="center"/>
              <w:rPr>
                <w:rFonts w:ascii="Times New Roman" w:hAnsi="Times New Roman" w:eastAsia="宋体" w:cs="宋体"/>
                <w:color w:val="auto"/>
                <w:sz w:val="21"/>
                <w:szCs w:val="21"/>
              </w:rPr>
            </w:pPr>
          </w:p>
        </w:tc>
        <w:tc>
          <w:tcPr>
            <w:tcW w:w="794" w:type="dxa"/>
            <w:noWrap w:val="0"/>
            <w:vAlign w:val="center"/>
          </w:tcPr>
          <w:p w14:paraId="550FB6FE">
            <w:pPr>
              <w:jc w:val="center"/>
              <w:rPr>
                <w:rFonts w:ascii="Times New Roman" w:hAnsi="Times New Roman" w:eastAsia="宋体" w:cs="宋体"/>
                <w:color w:val="auto"/>
                <w:sz w:val="21"/>
                <w:szCs w:val="21"/>
              </w:rPr>
            </w:pPr>
          </w:p>
        </w:tc>
        <w:tc>
          <w:tcPr>
            <w:tcW w:w="794" w:type="dxa"/>
            <w:noWrap w:val="0"/>
            <w:vAlign w:val="center"/>
          </w:tcPr>
          <w:p w14:paraId="63B85820">
            <w:pPr>
              <w:jc w:val="center"/>
              <w:rPr>
                <w:rFonts w:ascii="Times New Roman" w:hAnsi="Times New Roman" w:eastAsia="宋体" w:cs="宋体"/>
                <w:color w:val="auto"/>
                <w:sz w:val="21"/>
                <w:szCs w:val="21"/>
              </w:rPr>
            </w:pPr>
          </w:p>
        </w:tc>
        <w:tc>
          <w:tcPr>
            <w:tcW w:w="794" w:type="dxa"/>
            <w:noWrap w:val="0"/>
            <w:vAlign w:val="center"/>
          </w:tcPr>
          <w:p w14:paraId="020C29B5">
            <w:pPr>
              <w:jc w:val="center"/>
              <w:rPr>
                <w:rFonts w:ascii="Times New Roman" w:hAnsi="Times New Roman" w:eastAsia="宋体" w:cs="宋体"/>
                <w:color w:val="auto"/>
                <w:sz w:val="21"/>
                <w:szCs w:val="21"/>
              </w:rPr>
            </w:pPr>
          </w:p>
        </w:tc>
        <w:tc>
          <w:tcPr>
            <w:tcW w:w="794" w:type="dxa"/>
            <w:noWrap w:val="0"/>
            <w:vAlign w:val="center"/>
          </w:tcPr>
          <w:p w14:paraId="7B89CEF6">
            <w:pPr>
              <w:jc w:val="center"/>
              <w:rPr>
                <w:rFonts w:ascii="Times New Roman" w:hAnsi="Times New Roman" w:eastAsia="宋体" w:cs="宋体"/>
                <w:color w:val="auto"/>
                <w:sz w:val="21"/>
                <w:szCs w:val="21"/>
              </w:rPr>
            </w:pPr>
          </w:p>
        </w:tc>
        <w:tc>
          <w:tcPr>
            <w:tcW w:w="794" w:type="dxa"/>
            <w:noWrap w:val="0"/>
            <w:vAlign w:val="center"/>
          </w:tcPr>
          <w:p w14:paraId="387E6188">
            <w:pPr>
              <w:jc w:val="center"/>
              <w:rPr>
                <w:rFonts w:ascii="Times New Roman" w:hAnsi="Times New Roman" w:eastAsia="宋体" w:cs="宋体"/>
                <w:color w:val="auto"/>
                <w:sz w:val="21"/>
                <w:szCs w:val="21"/>
              </w:rPr>
            </w:pPr>
          </w:p>
        </w:tc>
        <w:tc>
          <w:tcPr>
            <w:tcW w:w="794" w:type="dxa"/>
            <w:noWrap w:val="0"/>
            <w:vAlign w:val="center"/>
          </w:tcPr>
          <w:p w14:paraId="7C56B883">
            <w:pPr>
              <w:jc w:val="center"/>
              <w:rPr>
                <w:rFonts w:ascii="Times New Roman" w:hAnsi="Times New Roman" w:eastAsia="宋体" w:cs="宋体"/>
                <w:color w:val="auto"/>
                <w:sz w:val="21"/>
                <w:szCs w:val="21"/>
              </w:rPr>
            </w:pPr>
          </w:p>
        </w:tc>
        <w:tc>
          <w:tcPr>
            <w:tcW w:w="794" w:type="dxa"/>
            <w:noWrap w:val="0"/>
            <w:vAlign w:val="center"/>
          </w:tcPr>
          <w:p w14:paraId="23503F84">
            <w:pPr>
              <w:jc w:val="center"/>
              <w:rPr>
                <w:rFonts w:ascii="Times New Roman" w:hAnsi="Times New Roman" w:eastAsia="宋体" w:cs="宋体"/>
                <w:color w:val="auto"/>
                <w:sz w:val="21"/>
                <w:szCs w:val="21"/>
              </w:rPr>
            </w:pPr>
          </w:p>
        </w:tc>
        <w:tc>
          <w:tcPr>
            <w:tcW w:w="794" w:type="dxa"/>
            <w:noWrap w:val="0"/>
            <w:vAlign w:val="center"/>
          </w:tcPr>
          <w:p w14:paraId="4823D914">
            <w:pPr>
              <w:jc w:val="center"/>
              <w:rPr>
                <w:rFonts w:ascii="Times New Roman" w:hAnsi="Times New Roman" w:eastAsia="宋体" w:cs="宋体"/>
                <w:color w:val="auto"/>
                <w:sz w:val="21"/>
                <w:szCs w:val="21"/>
              </w:rPr>
            </w:pPr>
          </w:p>
        </w:tc>
        <w:tc>
          <w:tcPr>
            <w:tcW w:w="794" w:type="dxa"/>
            <w:noWrap w:val="0"/>
            <w:vAlign w:val="center"/>
          </w:tcPr>
          <w:p w14:paraId="0418AB2F">
            <w:pPr>
              <w:jc w:val="center"/>
              <w:rPr>
                <w:rFonts w:ascii="Times New Roman" w:hAnsi="Times New Roman" w:eastAsia="宋体" w:cs="宋体"/>
                <w:color w:val="auto"/>
                <w:sz w:val="21"/>
                <w:szCs w:val="21"/>
              </w:rPr>
            </w:pPr>
          </w:p>
        </w:tc>
        <w:tc>
          <w:tcPr>
            <w:tcW w:w="794" w:type="dxa"/>
            <w:noWrap w:val="0"/>
            <w:vAlign w:val="center"/>
          </w:tcPr>
          <w:p w14:paraId="44DA3CC5">
            <w:pPr>
              <w:jc w:val="center"/>
              <w:rPr>
                <w:rFonts w:ascii="Times New Roman" w:hAnsi="Times New Roman" w:eastAsia="宋体" w:cs="宋体"/>
                <w:color w:val="auto"/>
                <w:sz w:val="21"/>
                <w:szCs w:val="21"/>
              </w:rPr>
            </w:pPr>
          </w:p>
        </w:tc>
        <w:tc>
          <w:tcPr>
            <w:tcW w:w="794" w:type="dxa"/>
            <w:noWrap w:val="0"/>
            <w:vAlign w:val="center"/>
          </w:tcPr>
          <w:p w14:paraId="79F4EBB0">
            <w:pPr>
              <w:jc w:val="center"/>
              <w:rPr>
                <w:rFonts w:ascii="Times New Roman" w:hAnsi="Times New Roman" w:eastAsia="宋体" w:cs="宋体"/>
                <w:color w:val="auto"/>
                <w:sz w:val="21"/>
                <w:szCs w:val="21"/>
              </w:rPr>
            </w:pPr>
          </w:p>
        </w:tc>
        <w:tc>
          <w:tcPr>
            <w:tcW w:w="794" w:type="dxa"/>
            <w:noWrap w:val="0"/>
            <w:vAlign w:val="center"/>
          </w:tcPr>
          <w:p w14:paraId="6B6C2C8A">
            <w:pPr>
              <w:jc w:val="center"/>
              <w:rPr>
                <w:rFonts w:ascii="Times New Roman" w:hAnsi="Times New Roman" w:eastAsia="宋体" w:cs="宋体"/>
                <w:color w:val="auto"/>
                <w:sz w:val="21"/>
                <w:szCs w:val="21"/>
              </w:rPr>
            </w:pPr>
          </w:p>
        </w:tc>
      </w:tr>
      <w:tr w14:paraId="45A73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510DB6BB">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3.1.3</w:t>
            </w:r>
          </w:p>
        </w:tc>
        <w:tc>
          <w:tcPr>
            <w:tcW w:w="0" w:type="auto"/>
            <w:noWrap w:val="0"/>
            <w:vAlign w:val="center"/>
          </w:tcPr>
          <w:p w14:paraId="28F67DE2">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短期借款利息</w:t>
            </w:r>
          </w:p>
        </w:tc>
        <w:tc>
          <w:tcPr>
            <w:tcW w:w="899" w:type="dxa"/>
            <w:noWrap w:val="0"/>
            <w:vAlign w:val="center"/>
          </w:tcPr>
          <w:p w14:paraId="100DC609">
            <w:pPr>
              <w:jc w:val="center"/>
              <w:rPr>
                <w:rFonts w:ascii="Times New Roman" w:hAnsi="Times New Roman" w:eastAsia="宋体" w:cs="宋体"/>
                <w:color w:val="auto"/>
                <w:sz w:val="21"/>
                <w:szCs w:val="21"/>
              </w:rPr>
            </w:pPr>
          </w:p>
        </w:tc>
        <w:tc>
          <w:tcPr>
            <w:tcW w:w="794" w:type="dxa"/>
            <w:noWrap w:val="0"/>
            <w:vAlign w:val="center"/>
          </w:tcPr>
          <w:p w14:paraId="354F029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79A683E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6C9C7F5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73A1603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7666559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332FFC6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164896D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119154D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523B570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2CA940B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77108E3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4532580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7EB6377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0</w:t>
            </w:r>
          </w:p>
        </w:tc>
        <w:tc>
          <w:tcPr>
            <w:tcW w:w="794" w:type="dxa"/>
            <w:noWrap w:val="0"/>
            <w:vAlign w:val="center"/>
          </w:tcPr>
          <w:p w14:paraId="1725B717">
            <w:pPr>
              <w:jc w:val="center"/>
              <w:rPr>
                <w:rFonts w:ascii="Times New Roman" w:hAnsi="Times New Roman" w:eastAsia="宋体" w:cs="宋体"/>
                <w:color w:val="auto"/>
                <w:sz w:val="21"/>
                <w:szCs w:val="21"/>
              </w:rPr>
            </w:pPr>
          </w:p>
        </w:tc>
      </w:tr>
      <w:tr w14:paraId="15091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0" w:type="auto"/>
            <w:noWrap w:val="0"/>
            <w:vAlign w:val="center"/>
          </w:tcPr>
          <w:p w14:paraId="027E8DA5">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4</w:t>
            </w:r>
          </w:p>
        </w:tc>
        <w:tc>
          <w:tcPr>
            <w:tcW w:w="0" w:type="auto"/>
            <w:noWrap w:val="0"/>
            <w:vAlign w:val="center"/>
          </w:tcPr>
          <w:p w14:paraId="161D14A8">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营业费用</w:t>
            </w:r>
          </w:p>
        </w:tc>
        <w:tc>
          <w:tcPr>
            <w:tcW w:w="899" w:type="dxa"/>
            <w:noWrap w:val="0"/>
            <w:vAlign w:val="center"/>
          </w:tcPr>
          <w:p w14:paraId="0B7CE667">
            <w:pPr>
              <w:jc w:val="center"/>
              <w:rPr>
                <w:rFonts w:ascii="Times New Roman" w:hAnsi="Times New Roman" w:eastAsia="宋体" w:cs="宋体"/>
                <w:color w:val="auto"/>
                <w:sz w:val="21"/>
                <w:szCs w:val="21"/>
              </w:rPr>
            </w:pPr>
          </w:p>
        </w:tc>
        <w:tc>
          <w:tcPr>
            <w:tcW w:w="794" w:type="dxa"/>
            <w:noWrap w:val="0"/>
            <w:vAlign w:val="center"/>
          </w:tcPr>
          <w:p w14:paraId="1FF62A8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283.58</w:t>
            </w:r>
          </w:p>
        </w:tc>
        <w:tc>
          <w:tcPr>
            <w:tcW w:w="794" w:type="dxa"/>
            <w:noWrap w:val="0"/>
            <w:vAlign w:val="center"/>
          </w:tcPr>
          <w:p w14:paraId="240AAC7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453.73</w:t>
            </w:r>
          </w:p>
        </w:tc>
        <w:tc>
          <w:tcPr>
            <w:tcW w:w="794" w:type="dxa"/>
            <w:noWrap w:val="0"/>
            <w:vAlign w:val="center"/>
          </w:tcPr>
          <w:p w14:paraId="40192E6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604.97</w:t>
            </w:r>
          </w:p>
        </w:tc>
        <w:tc>
          <w:tcPr>
            <w:tcW w:w="794" w:type="dxa"/>
            <w:noWrap w:val="0"/>
            <w:vAlign w:val="center"/>
          </w:tcPr>
          <w:p w14:paraId="4AE863F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756.21</w:t>
            </w:r>
          </w:p>
        </w:tc>
        <w:tc>
          <w:tcPr>
            <w:tcW w:w="794" w:type="dxa"/>
            <w:noWrap w:val="0"/>
            <w:vAlign w:val="center"/>
          </w:tcPr>
          <w:p w14:paraId="380C580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756.21</w:t>
            </w:r>
          </w:p>
        </w:tc>
        <w:tc>
          <w:tcPr>
            <w:tcW w:w="794" w:type="dxa"/>
            <w:noWrap w:val="0"/>
            <w:vAlign w:val="center"/>
          </w:tcPr>
          <w:p w14:paraId="00A8578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756.21</w:t>
            </w:r>
          </w:p>
        </w:tc>
        <w:tc>
          <w:tcPr>
            <w:tcW w:w="794" w:type="dxa"/>
            <w:noWrap w:val="0"/>
            <w:vAlign w:val="center"/>
          </w:tcPr>
          <w:p w14:paraId="45273CE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756.21</w:t>
            </w:r>
          </w:p>
        </w:tc>
        <w:tc>
          <w:tcPr>
            <w:tcW w:w="794" w:type="dxa"/>
            <w:noWrap w:val="0"/>
            <w:vAlign w:val="center"/>
          </w:tcPr>
          <w:p w14:paraId="3771BE1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756.21</w:t>
            </w:r>
          </w:p>
        </w:tc>
        <w:tc>
          <w:tcPr>
            <w:tcW w:w="794" w:type="dxa"/>
            <w:noWrap w:val="0"/>
            <w:vAlign w:val="center"/>
          </w:tcPr>
          <w:p w14:paraId="186642D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756.21</w:t>
            </w:r>
          </w:p>
        </w:tc>
        <w:tc>
          <w:tcPr>
            <w:tcW w:w="794" w:type="dxa"/>
            <w:noWrap w:val="0"/>
            <w:vAlign w:val="center"/>
          </w:tcPr>
          <w:p w14:paraId="1E07DA2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756.21</w:t>
            </w:r>
          </w:p>
        </w:tc>
        <w:tc>
          <w:tcPr>
            <w:tcW w:w="794" w:type="dxa"/>
            <w:noWrap w:val="0"/>
            <w:vAlign w:val="center"/>
          </w:tcPr>
          <w:p w14:paraId="41DDB2B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756.21</w:t>
            </w:r>
          </w:p>
        </w:tc>
        <w:tc>
          <w:tcPr>
            <w:tcW w:w="794" w:type="dxa"/>
            <w:noWrap w:val="0"/>
            <w:vAlign w:val="center"/>
          </w:tcPr>
          <w:p w14:paraId="76A1B8E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756.21</w:t>
            </w:r>
          </w:p>
        </w:tc>
        <w:tc>
          <w:tcPr>
            <w:tcW w:w="794" w:type="dxa"/>
            <w:noWrap w:val="0"/>
            <w:vAlign w:val="center"/>
          </w:tcPr>
          <w:p w14:paraId="0488459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756.21</w:t>
            </w:r>
          </w:p>
        </w:tc>
        <w:tc>
          <w:tcPr>
            <w:tcW w:w="794" w:type="dxa"/>
            <w:noWrap w:val="0"/>
            <w:vAlign w:val="center"/>
          </w:tcPr>
          <w:p w14:paraId="0356A29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756.21</w:t>
            </w:r>
          </w:p>
        </w:tc>
      </w:tr>
      <w:tr w14:paraId="7E335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0" w:type="auto"/>
            <w:noWrap w:val="0"/>
            <w:vAlign w:val="center"/>
          </w:tcPr>
          <w:p w14:paraId="2A3137CE">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z w:val="21"/>
                <w:szCs w:val="14"/>
              </w:rPr>
              <w:t>5</w:t>
            </w:r>
          </w:p>
        </w:tc>
        <w:tc>
          <w:tcPr>
            <w:tcW w:w="0" w:type="auto"/>
            <w:noWrap w:val="0"/>
            <w:vAlign w:val="center"/>
          </w:tcPr>
          <w:p w14:paraId="59A80F74">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总成本费用合计（1+2+3+4）</w:t>
            </w:r>
          </w:p>
        </w:tc>
        <w:tc>
          <w:tcPr>
            <w:tcW w:w="899" w:type="dxa"/>
            <w:noWrap w:val="0"/>
            <w:vAlign w:val="center"/>
          </w:tcPr>
          <w:p w14:paraId="6C64289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139466.69</w:t>
            </w:r>
          </w:p>
        </w:tc>
        <w:tc>
          <w:tcPr>
            <w:tcW w:w="794" w:type="dxa"/>
            <w:noWrap w:val="0"/>
            <w:vAlign w:val="center"/>
          </w:tcPr>
          <w:p w14:paraId="04B4BDD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4182.10</w:t>
            </w:r>
          </w:p>
        </w:tc>
        <w:tc>
          <w:tcPr>
            <w:tcW w:w="794" w:type="dxa"/>
            <w:noWrap w:val="0"/>
            <w:vAlign w:val="center"/>
          </w:tcPr>
          <w:p w14:paraId="4140399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6601.55</w:t>
            </w:r>
          </w:p>
        </w:tc>
        <w:tc>
          <w:tcPr>
            <w:tcW w:w="794" w:type="dxa"/>
            <w:noWrap w:val="0"/>
            <w:vAlign w:val="center"/>
          </w:tcPr>
          <w:p w14:paraId="2BA298F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8752.18</w:t>
            </w:r>
          </w:p>
        </w:tc>
        <w:tc>
          <w:tcPr>
            <w:tcW w:w="794" w:type="dxa"/>
            <w:noWrap w:val="0"/>
            <w:vAlign w:val="center"/>
          </w:tcPr>
          <w:p w14:paraId="3E8CD07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10902.81</w:t>
            </w:r>
          </w:p>
        </w:tc>
        <w:tc>
          <w:tcPr>
            <w:tcW w:w="794" w:type="dxa"/>
            <w:noWrap w:val="0"/>
            <w:vAlign w:val="center"/>
          </w:tcPr>
          <w:p w14:paraId="537CAF3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10902.81</w:t>
            </w:r>
          </w:p>
        </w:tc>
        <w:tc>
          <w:tcPr>
            <w:tcW w:w="794" w:type="dxa"/>
            <w:noWrap w:val="0"/>
            <w:vAlign w:val="center"/>
          </w:tcPr>
          <w:p w14:paraId="30D0A2A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10902.81</w:t>
            </w:r>
          </w:p>
        </w:tc>
        <w:tc>
          <w:tcPr>
            <w:tcW w:w="794" w:type="dxa"/>
            <w:noWrap w:val="0"/>
            <w:vAlign w:val="center"/>
          </w:tcPr>
          <w:p w14:paraId="4D84944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10902.81</w:t>
            </w:r>
          </w:p>
        </w:tc>
        <w:tc>
          <w:tcPr>
            <w:tcW w:w="794" w:type="dxa"/>
            <w:noWrap w:val="0"/>
            <w:vAlign w:val="center"/>
          </w:tcPr>
          <w:p w14:paraId="153336A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10902.81</w:t>
            </w:r>
          </w:p>
        </w:tc>
        <w:tc>
          <w:tcPr>
            <w:tcW w:w="794" w:type="dxa"/>
            <w:noWrap w:val="0"/>
            <w:vAlign w:val="center"/>
          </w:tcPr>
          <w:p w14:paraId="5EE59B4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10902.81</w:t>
            </w:r>
          </w:p>
        </w:tc>
        <w:tc>
          <w:tcPr>
            <w:tcW w:w="794" w:type="dxa"/>
            <w:noWrap w:val="0"/>
            <w:vAlign w:val="center"/>
          </w:tcPr>
          <w:p w14:paraId="05493BC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10902.81</w:t>
            </w:r>
          </w:p>
        </w:tc>
        <w:tc>
          <w:tcPr>
            <w:tcW w:w="794" w:type="dxa"/>
            <w:noWrap w:val="0"/>
            <w:vAlign w:val="center"/>
          </w:tcPr>
          <w:p w14:paraId="5AB9BFC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10902.81</w:t>
            </w:r>
          </w:p>
        </w:tc>
        <w:tc>
          <w:tcPr>
            <w:tcW w:w="794" w:type="dxa"/>
            <w:noWrap w:val="0"/>
            <w:vAlign w:val="center"/>
          </w:tcPr>
          <w:p w14:paraId="3833567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10902.81</w:t>
            </w:r>
          </w:p>
        </w:tc>
        <w:tc>
          <w:tcPr>
            <w:tcW w:w="794" w:type="dxa"/>
            <w:noWrap w:val="0"/>
            <w:vAlign w:val="center"/>
          </w:tcPr>
          <w:p w14:paraId="7B5D96C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10902.81</w:t>
            </w:r>
          </w:p>
        </w:tc>
        <w:tc>
          <w:tcPr>
            <w:tcW w:w="794" w:type="dxa"/>
            <w:noWrap w:val="0"/>
            <w:vAlign w:val="center"/>
          </w:tcPr>
          <w:p w14:paraId="71E2CA5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10902.81</w:t>
            </w:r>
          </w:p>
        </w:tc>
      </w:tr>
      <w:tr w14:paraId="180F9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noWrap w:val="0"/>
            <w:vAlign w:val="center"/>
          </w:tcPr>
          <w:p w14:paraId="63CCAD1E">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5.1</w:t>
            </w:r>
          </w:p>
        </w:tc>
        <w:tc>
          <w:tcPr>
            <w:tcW w:w="0" w:type="auto"/>
            <w:noWrap w:val="0"/>
            <w:vAlign w:val="center"/>
          </w:tcPr>
          <w:p w14:paraId="4E165E3E">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其中：可变成本</w:t>
            </w:r>
          </w:p>
        </w:tc>
        <w:tc>
          <w:tcPr>
            <w:tcW w:w="899" w:type="dxa"/>
            <w:noWrap w:val="0"/>
            <w:vAlign w:val="center"/>
          </w:tcPr>
          <w:p w14:paraId="45285097">
            <w:pPr>
              <w:jc w:val="center"/>
              <w:rPr>
                <w:rFonts w:ascii="Times New Roman" w:hAnsi="Times New Roman" w:eastAsia="宋体" w:cs="宋体"/>
                <w:color w:val="auto"/>
                <w:sz w:val="21"/>
                <w:szCs w:val="21"/>
              </w:rPr>
            </w:pPr>
          </w:p>
        </w:tc>
        <w:tc>
          <w:tcPr>
            <w:tcW w:w="794" w:type="dxa"/>
            <w:noWrap w:val="0"/>
            <w:vAlign w:val="center"/>
          </w:tcPr>
          <w:p w14:paraId="43D88DC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3339.82</w:t>
            </w:r>
          </w:p>
        </w:tc>
        <w:tc>
          <w:tcPr>
            <w:tcW w:w="794" w:type="dxa"/>
            <w:noWrap w:val="0"/>
            <w:vAlign w:val="center"/>
          </w:tcPr>
          <w:p w14:paraId="7EE18BE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5272.00</w:t>
            </w:r>
          </w:p>
        </w:tc>
        <w:tc>
          <w:tcPr>
            <w:tcW w:w="794" w:type="dxa"/>
            <w:noWrap w:val="0"/>
            <w:vAlign w:val="center"/>
          </w:tcPr>
          <w:p w14:paraId="46D7EA1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6989.49</w:t>
            </w:r>
          </w:p>
        </w:tc>
        <w:tc>
          <w:tcPr>
            <w:tcW w:w="794" w:type="dxa"/>
            <w:noWrap w:val="0"/>
            <w:vAlign w:val="center"/>
          </w:tcPr>
          <w:p w14:paraId="2CE638D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8706.98</w:t>
            </w:r>
          </w:p>
        </w:tc>
        <w:tc>
          <w:tcPr>
            <w:tcW w:w="794" w:type="dxa"/>
            <w:noWrap w:val="0"/>
            <w:vAlign w:val="center"/>
          </w:tcPr>
          <w:p w14:paraId="394AE19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8706.98</w:t>
            </w:r>
          </w:p>
        </w:tc>
        <w:tc>
          <w:tcPr>
            <w:tcW w:w="794" w:type="dxa"/>
            <w:noWrap w:val="0"/>
            <w:vAlign w:val="center"/>
          </w:tcPr>
          <w:p w14:paraId="113439E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8706.98</w:t>
            </w:r>
          </w:p>
        </w:tc>
        <w:tc>
          <w:tcPr>
            <w:tcW w:w="794" w:type="dxa"/>
            <w:noWrap w:val="0"/>
            <w:vAlign w:val="center"/>
          </w:tcPr>
          <w:p w14:paraId="5E15C95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8706.98</w:t>
            </w:r>
          </w:p>
        </w:tc>
        <w:tc>
          <w:tcPr>
            <w:tcW w:w="794" w:type="dxa"/>
            <w:noWrap w:val="0"/>
            <w:vAlign w:val="center"/>
          </w:tcPr>
          <w:p w14:paraId="55F2780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8706.98</w:t>
            </w:r>
          </w:p>
        </w:tc>
        <w:tc>
          <w:tcPr>
            <w:tcW w:w="794" w:type="dxa"/>
            <w:noWrap w:val="0"/>
            <w:vAlign w:val="center"/>
          </w:tcPr>
          <w:p w14:paraId="18C82C1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8706.98</w:t>
            </w:r>
          </w:p>
        </w:tc>
        <w:tc>
          <w:tcPr>
            <w:tcW w:w="794" w:type="dxa"/>
            <w:noWrap w:val="0"/>
            <w:vAlign w:val="center"/>
          </w:tcPr>
          <w:p w14:paraId="0CB2727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8706.98</w:t>
            </w:r>
          </w:p>
        </w:tc>
        <w:tc>
          <w:tcPr>
            <w:tcW w:w="794" w:type="dxa"/>
            <w:noWrap w:val="0"/>
            <w:vAlign w:val="center"/>
          </w:tcPr>
          <w:p w14:paraId="7689B7F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8706.98</w:t>
            </w:r>
          </w:p>
        </w:tc>
        <w:tc>
          <w:tcPr>
            <w:tcW w:w="794" w:type="dxa"/>
            <w:noWrap w:val="0"/>
            <w:vAlign w:val="center"/>
          </w:tcPr>
          <w:p w14:paraId="16E4996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8706.98</w:t>
            </w:r>
          </w:p>
        </w:tc>
        <w:tc>
          <w:tcPr>
            <w:tcW w:w="794" w:type="dxa"/>
            <w:noWrap w:val="0"/>
            <w:vAlign w:val="center"/>
          </w:tcPr>
          <w:p w14:paraId="353912C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8706.98</w:t>
            </w:r>
          </w:p>
        </w:tc>
        <w:tc>
          <w:tcPr>
            <w:tcW w:w="794" w:type="dxa"/>
            <w:noWrap w:val="0"/>
            <w:vAlign w:val="center"/>
          </w:tcPr>
          <w:p w14:paraId="3A877EB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8706.98</w:t>
            </w:r>
          </w:p>
        </w:tc>
      </w:tr>
      <w:tr w14:paraId="56CE4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noWrap w:val="0"/>
            <w:vAlign w:val="center"/>
          </w:tcPr>
          <w:p w14:paraId="574CF630">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5.2</w:t>
            </w:r>
          </w:p>
        </w:tc>
        <w:tc>
          <w:tcPr>
            <w:tcW w:w="0" w:type="auto"/>
            <w:noWrap w:val="0"/>
            <w:vAlign w:val="center"/>
          </w:tcPr>
          <w:p w14:paraId="288107C5">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pacing w:val="4"/>
                <w:sz w:val="21"/>
                <w:szCs w:val="14"/>
              </w:rPr>
              <w:t>固定成本</w:t>
            </w:r>
          </w:p>
        </w:tc>
        <w:tc>
          <w:tcPr>
            <w:tcW w:w="899" w:type="dxa"/>
            <w:noWrap w:val="0"/>
            <w:vAlign w:val="center"/>
          </w:tcPr>
          <w:p w14:paraId="5C10BA52">
            <w:pPr>
              <w:jc w:val="center"/>
              <w:rPr>
                <w:rFonts w:ascii="Times New Roman" w:hAnsi="Times New Roman" w:eastAsia="宋体" w:cs="宋体"/>
                <w:color w:val="auto"/>
                <w:sz w:val="21"/>
                <w:szCs w:val="21"/>
              </w:rPr>
            </w:pPr>
          </w:p>
        </w:tc>
        <w:tc>
          <w:tcPr>
            <w:tcW w:w="794" w:type="dxa"/>
            <w:noWrap w:val="0"/>
            <w:vAlign w:val="center"/>
          </w:tcPr>
          <w:p w14:paraId="73E94B2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842.27</w:t>
            </w:r>
          </w:p>
        </w:tc>
        <w:tc>
          <w:tcPr>
            <w:tcW w:w="794" w:type="dxa"/>
            <w:noWrap w:val="0"/>
            <w:vAlign w:val="center"/>
          </w:tcPr>
          <w:p w14:paraId="76363EE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1329.55</w:t>
            </w:r>
          </w:p>
        </w:tc>
        <w:tc>
          <w:tcPr>
            <w:tcW w:w="794" w:type="dxa"/>
            <w:noWrap w:val="0"/>
            <w:vAlign w:val="center"/>
          </w:tcPr>
          <w:p w14:paraId="586B9B8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1762.69</w:t>
            </w:r>
          </w:p>
        </w:tc>
        <w:tc>
          <w:tcPr>
            <w:tcW w:w="794" w:type="dxa"/>
            <w:noWrap w:val="0"/>
            <w:vAlign w:val="center"/>
          </w:tcPr>
          <w:p w14:paraId="2E6934D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2195.83</w:t>
            </w:r>
          </w:p>
        </w:tc>
        <w:tc>
          <w:tcPr>
            <w:tcW w:w="794" w:type="dxa"/>
            <w:noWrap w:val="0"/>
            <w:vAlign w:val="center"/>
          </w:tcPr>
          <w:p w14:paraId="66AC90D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2195.83</w:t>
            </w:r>
          </w:p>
        </w:tc>
        <w:tc>
          <w:tcPr>
            <w:tcW w:w="794" w:type="dxa"/>
            <w:noWrap w:val="0"/>
            <w:vAlign w:val="center"/>
          </w:tcPr>
          <w:p w14:paraId="6D46975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2195.83</w:t>
            </w:r>
          </w:p>
        </w:tc>
        <w:tc>
          <w:tcPr>
            <w:tcW w:w="794" w:type="dxa"/>
            <w:noWrap w:val="0"/>
            <w:vAlign w:val="center"/>
          </w:tcPr>
          <w:p w14:paraId="2ABEA6E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2195.83</w:t>
            </w:r>
          </w:p>
        </w:tc>
        <w:tc>
          <w:tcPr>
            <w:tcW w:w="794" w:type="dxa"/>
            <w:noWrap w:val="0"/>
            <w:vAlign w:val="center"/>
          </w:tcPr>
          <w:p w14:paraId="7B5DC10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2195.83</w:t>
            </w:r>
          </w:p>
        </w:tc>
        <w:tc>
          <w:tcPr>
            <w:tcW w:w="794" w:type="dxa"/>
            <w:noWrap w:val="0"/>
            <w:vAlign w:val="center"/>
          </w:tcPr>
          <w:p w14:paraId="2ED70CE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2195.83</w:t>
            </w:r>
          </w:p>
        </w:tc>
        <w:tc>
          <w:tcPr>
            <w:tcW w:w="794" w:type="dxa"/>
            <w:noWrap w:val="0"/>
            <w:vAlign w:val="center"/>
          </w:tcPr>
          <w:p w14:paraId="231E370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2195.83</w:t>
            </w:r>
          </w:p>
        </w:tc>
        <w:tc>
          <w:tcPr>
            <w:tcW w:w="794" w:type="dxa"/>
            <w:noWrap w:val="0"/>
            <w:vAlign w:val="center"/>
          </w:tcPr>
          <w:p w14:paraId="634DC92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2195.83</w:t>
            </w:r>
          </w:p>
        </w:tc>
        <w:tc>
          <w:tcPr>
            <w:tcW w:w="794" w:type="dxa"/>
            <w:noWrap w:val="0"/>
            <w:vAlign w:val="center"/>
          </w:tcPr>
          <w:p w14:paraId="642D28B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2195.83</w:t>
            </w:r>
          </w:p>
        </w:tc>
        <w:tc>
          <w:tcPr>
            <w:tcW w:w="794" w:type="dxa"/>
            <w:noWrap w:val="0"/>
            <w:vAlign w:val="center"/>
          </w:tcPr>
          <w:p w14:paraId="608C9FD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2195.83</w:t>
            </w:r>
          </w:p>
        </w:tc>
        <w:tc>
          <w:tcPr>
            <w:tcW w:w="794" w:type="dxa"/>
            <w:noWrap w:val="0"/>
            <w:vAlign w:val="center"/>
          </w:tcPr>
          <w:p w14:paraId="7560EE3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2195.83</w:t>
            </w:r>
          </w:p>
        </w:tc>
      </w:tr>
      <w:tr w14:paraId="55148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0" w:type="auto"/>
            <w:noWrap w:val="0"/>
            <w:vAlign w:val="center"/>
          </w:tcPr>
          <w:p w14:paraId="1C47C859">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z w:val="21"/>
                <w:szCs w:val="14"/>
              </w:rPr>
              <w:t>6</w:t>
            </w:r>
          </w:p>
        </w:tc>
        <w:tc>
          <w:tcPr>
            <w:tcW w:w="0" w:type="auto"/>
            <w:noWrap w:val="0"/>
            <w:vAlign w:val="center"/>
          </w:tcPr>
          <w:p w14:paraId="245FB1FE">
            <w:pPr>
              <w:keepNext w:val="0"/>
              <w:keepLines w:val="0"/>
              <w:pageBreakBefore w:val="0"/>
              <w:widowControl/>
              <w:wordWrap/>
              <w:overflowPunct/>
              <w:topLinePunct w:val="0"/>
              <w:bidi w:val="0"/>
              <w:spacing w:line="240" w:lineRule="auto"/>
              <w:ind w:left="0"/>
              <w:jc w:val="center"/>
              <w:rPr>
                <w:rFonts w:ascii="Times New Roman" w:hAnsi="Times New Roman" w:eastAsia="宋体" w:cs="宋体"/>
                <w:color w:val="auto"/>
                <w:sz w:val="21"/>
                <w:szCs w:val="14"/>
              </w:rPr>
            </w:pPr>
            <w:r>
              <w:rPr>
                <w:rFonts w:ascii="Times New Roman" w:hAnsi="Times New Roman" w:eastAsia="宋体" w:cs="宋体"/>
                <w:color w:val="auto"/>
                <w:sz w:val="21"/>
                <w:szCs w:val="14"/>
              </w:rPr>
              <w:t>经营成本（5-1.4.1-2.1-2.2-3.1）</w:t>
            </w:r>
          </w:p>
        </w:tc>
        <w:tc>
          <w:tcPr>
            <w:tcW w:w="899" w:type="dxa"/>
            <w:noWrap w:val="0"/>
            <w:vAlign w:val="center"/>
          </w:tcPr>
          <w:p w14:paraId="4639B0A1">
            <w:pPr>
              <w:jc w:val="center"/>
              <w:rPr>
                <w:rFonts w:ascii="Times New Roman" w:hAnsi="Times New Roman" w:eastAsia="宋体" w:cs="宋体"/>
                <w:color w:val="auto"/>
                <w:sz w:val="21"/>
                <w:szCs w:val="21"/>
              </w:rPr>
            </w:pPr>
          </w:p>
        </w:tc>
        <w:tc>
          <w:tcPr>
            <w:tcW w:w="794" w:type="dxa"/>
            <w:noWrap w:val="0"/>
            <w:vAlign w:val="center"/>
          </w:tcPr>
          <w:p w14:paraId="09C8492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4082.32</w:t>
            </w:r>
          </w:p>
        </w:tc>
        <w:tc>
          <w:tcPr>
            <w:tcW w:w="794" w:type="dxa"/>
            <w:noWrap w:val="0"/>
            <w:vAlign w:val="center"/>
          </w:tcPr>
          <w:p w14:paraId="12A7AE0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6501.77</w:t>
            </w:r>
          </w:p>
        </w:tc>
        <w:tc>
          <w:tcPr>
            <w:tcW w:w="794" w:type="dxa"/>
            <w:noWrap w:val="0"/>
            <w:vAlign w:val="center"/>
          </w:tcPr>
          <w:p w14:paraId="032717C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8652.40</w:t>
            </w:r>
          </w:p>
        </w:tc>
        <w:tc>
          <w:tcPr>
            <w:tcW w:w="794" w:type="dxa"/>
            <w:noWrap w:val="0"/>
            <w:vAlign w:val="center"/>
          </w:tcPr>
          <w:p w14:paraId="637FD4D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10803.03</w:t>
            </w:r>
          </w:p>
        </w:tc>
        <w:tc>
          <w:tcPr>
            <w:tcW w:w="794" w:type="dxa"/>
            <w:noWrap w:val="0"/>
            <w:vAlign w:val="center"/>
          </w:tcPr>
          <w:p w14:paraId="69B967F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10803.03</w:t>
            </w:r>
          </w:p>
        </w:tc>
        <w:tc>
          <w:tcPr>
            <w:tcW w:w="794" w:type="dxa"/>
            <w:noWrap w:val="0"/>
            <w:vAlign w:val="center"/>
          </w:tcPr>
          <w:p w14:paraId="26CAFD1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10803.03</w:t>
            </w:r>
          </w:p>
        </w:tc>
        <w:tc>
          <w:tcPr>
            <w:tcW w:w="794" w:type="dxa"/>
            <w:noWrap w:val="0"/>
            <w:vAlign w:val="center"/>
          </w:tcPr>
          <w:p w14:paraId="3A323E5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10803.03</w:t>
            </w:r>
          </w:p>
        </w:tc>
        <w:tc>
          <w:tcPr>
            <w:tcW w:w="794" w:type="dxa"/>
            <w:noWrap w:val="0"/>
            <w:vAlign w:val="center"/>
          </w:tcPr>
          <w:p w14:paraId="33CFAD8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10803.03</w:t>
            </w:r>
          </w:p>
        </w:tc>
        <w:tc>
          <w:tcPr>
            <w:tcW w:w="794" w:type="dxa"/>
            <w:noWrap w:val="0"/>
            <w:vAlign w:val="center"/>
          </w:tcPr>
          <w:p w14:paraId="1EB4115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10803.03</w:t>
            </w:r>
          </w:p>
        </w:tc>
        <w:tc>
          <w:tcPr>
            <w:tcW w:w="794" w:type="dxa"/>
            <w:noWrap w:val="0"/>
            <w:vAlign w:val="center"/>
          </w:tcPr>
          <w:p w14:paraId="4E33355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10803.03</w:t>
            </w:r>
          </w:p>
        </w:tc>
        <w:tc>
          <w:tcPr>
            <w:tcW w:w="794" w:type="dxa"/>
            <w:noWrap w:val="0"/>
            <w:vAlign w:val="center"/>
          </w:tcPr>
          <w:p w14:paraId="2C436FD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10803.03</w:t>
            </w:r>
          </w:p>
        </w:tc>
        <w:tc>
          <w:tcPr>
            <w:tcW w:w="794" w:type="dxa"/>
            <w:noWrap w:val="0"/>
            <w:vAlign w:val="center"/>
          </w:tcPr>
          <w:p w14:paraId="4F4DFAC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10803.03</w:t>
            </w:r>
          </w:p>
        </w:tc>
        <w:tc>
          <w:tcPr>
            <w:tcW w:w="794" w:type="dxa"/>
            <w:noWrap w:val="0"/>
            <w:vAlign w:val="center"/>
          </w:tcPr>
          <w:p w14:paraId="46BDDED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10803.03</w:t>
            </w:r>
          </w:p>
        </w:tc>
        <w:tc>
          <w:tcPr>
            <w:tcW w:w="794" w:type="dxa"/>
            <w:noWrap w:val="0"/>
            <w:vAlign w:val="center"/>
          </w:tcPr>
          <w:p w14:paraId="3F06AC4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18"/>
                <w:szCs w:val="18"/>
                <w:u w:val="none"/>
                <w:lang w:val="en-US" w:eastAsia="zh-CN" w:bidi="ar"/>
              </w:rPr>
              <w:t>10803.03</w:t>
            </w:r>
          </w:p>
        </w:tc>
      </w:tr>
    </w:tbl>
    <w:p w14:paraId="01A1D3EE">
      <w:pPr>
        <w:rPr>
          <w:rFonts w:ascii="Times New Roman" w:hAnsi="Times New Roman" w:eastAsia="宋体" w:cs="宋体"/>
          <w:color w:val="auto"/>
        </w:rPr>
        <w:sectPr>
          <w:headerReference r:id="rId24" w:type="default"/>
          <w:footerReference r:id="rId25" w:type="default"/>
          <w:pgSz w:w="16840" w:h="11907"/>
          <w:pgMar w:top="1340" w:right="1333" w:bottom="1148" w:left="1327" w:header="1068" w:footer="961" w:gutter="0"/>
          <w:pgBorders w:offsetFrom="page">
            <w:top w:val="none" w:sz="0" w:space="0"/>
            <w:left w:val="none" w:sz="0" w:space="0"/>
            <w:bottom w:val="none" w:sz="0" w:space="0"/>
            <w:right w:val="none" w:sz="0" w:space="0"/>
          </w:pgBorders>
          <w:pgNumType w:fmt="decimal"/>
          <w:cols w:space="720" w:num="1"/>
        </w:sectPr>
      </w:pPr>
    </w:p>
    <w:p w14:paraId="506BCC2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附表4：固定资产折旧费估算表</w:t>
      </w:r>
    </w:p>
    <w:tbl>
      <w:tblPr>
        <w:tblStyle w:val="26"/>
        <w:tblW w:w="141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0"/>
        <w:gridCol w:w="1578"/>
        <w:gridCol w:w="815"/>
        <w:gridCol w:w="748"/>
        <w:gridCol w:w="748"/>
        <w:gridCol w:w="748"/>
        <w:gridCol w:w="748"/>
        <w:gridCol w:w="749"/>
        <w:gridCol w:w="748"/>
        <w:gridCol w:w="749"/>
        <w:gridCol w:w="749"/>
        <w:gridCol w:w="749"/>
        <w:gridCol w:w="749"/>
        <w:gridCol w:w="749"/>
        <w:gridCol w:w="748"/>
        <w:gridCol w:w="749"/>
        <w:gridCol w:w="749"/>
        <w:gridCol w:w="784"/>
      </w:tblGrid>
      <w:tr w14:paraId="53BC7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20" w:type="dxa"/>
            <w:vMerge w:val="restart"/>
            <w:tcBorders>
              <w:bottom w:val="nil"/>
            </w:tcBorders>
            <w:noWrap w:val="0"/>
            <w:vAlign w:val="center"/>
          </w:tcPr>
          <w:p w14:paraId="7AC653B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序号</w:t>
            </w:r>
          </w:p>
        </w:tc>
        <w:tc>
          <w:tcPr>
            <w:tcW w:w="1578" w:type="dxa"/>
            <w:vMerge w:val="restart"/>
            <w:tcBorders>
              <w:bottom w:val="nil"/>
            </w:tcBorders>
            <w:noWrap w:val="0"/>
            <w:vAlign w:val="center"/>
          </w:tcPr>
          <w:p w14:paraId="4A33373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项目</w:t>
            </w:r>
          </w:p>
        </w:tc>
        <w:tc>
          <w:tcPr>
            <w:tcW w:w="815" w:type="dxa"/>
            <w:vMerge w:val="restart"/>
            <w:tcBorders>
              <w:bottom w:val="nil"/>
            </w:tcBorders>
            <w:noWrap w:val="0"/>
            <w:vAlign w:val="center"/>
          </w:tcPr>
          <w:p w14:paraId="1665681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折旧年限</w:t>
            </w:r>
          </w:p>
        </w:tc>
        <w:tc>
          <w:tcPr>
            <w:tcW w:w="11264" w:type="dxa"/>
            <w:gridSpan w:val="15"/>
            <w:noWrap w:val="0"/>
            <w:vAlign w:val="center"/>
          </w:tcPr>
          <w:p w14:paraId="0959E68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计算期</w:t>
            </w:r>
          </w:p>
        </w:tc>
      </w:tr>
      <w:tr w14:paraId="0CEE9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20" w:type="dxa"/>
            <w:vMerge w:val="continue"/>
            <w:tcBorders>
              <w:top w:val="nil"/>
            </w:tcBorders>
            <w:noWrap w:val="0"/>
            <w:vAlign w:val="center"/>
          </w:tcPr>
          <w:p w14:paraId="0545191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578" w:type="dxa"/>
            <w:vMerge w:val="continue"/>
            <w:tcBorders>
              <w:top w:val="nil"/>
            </w:tcBorders>
            <w:noWrap w:val="0"/>
            <w:vAlign w:val="center"/>
          </w:tcPr>
          <w:p w14:paraId="3C918B0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815" w:type="dxa"/>
            <w:vMerge w:val="continue"/>
            <w:tcBorders>
              <w:top w:val="nil"/>
            </w:tcBorders>
            <w:noWrap w:val="0"/>
            <w:vAlign w:val="center"/>
          </w:tcPr>
          <w:p w14:paraId="25438BB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748" w:type="dxa"/>
            <w:noWrap w:val="0"/>
            <w:vAlign w:val="center"/>
          </w:tcPr>
          <w:p w14:paraId="5CD9429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1</w:t>
            </w:r>
          </w:p>
        </w:tc>
        <w:tc>
          <w:tcPr>
            <w:tcW w:w="748" w:type="dxa"/>
            <w:noWrap w:val="0"/>
            <w:vAlign w:val="center"/>
          </w:tcPr>
          <w:p w14:paraId="52D7755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w:t>
            </w:r>
          </w:p>
        </w:tc>
        <w:tc>
          <w:tcPr>
            <w:tcW w:w="748" w:type="dxa"/>
            <w:noWrap w:val="0"/>
            <w:vAlign w:val="center"/>
          </w:tcPr>
          <w:p w14:paraId="0FA94FE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3</w:t>
            </w:r>
          </w:p>
        </w:tc>
        <w:tc>
          <w:tcPr>
            <w:tcW w:w="748" w:type="dxa"/>
            <w:noWrap w:val="0"/>
            <w:vAlign w:val="center"/>
          </w:tcPr>
          <w:p w14:paraId="41E89FD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4</w:t>
            </w:r>
          </w:p>
        </w:tc>
        <w:tc>
          <w:tcPr>
            <w:tcW w:w="749" w:type="dxa"/>
            <w:noWrap w:val="0"/>
            <w:vAlign w:val="center"/>
          </w:tcPr>
          <w:p w14:paraId="3666B1C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5</w:t>
            </w:r>
          </w:p>
        </w:tc>
        <w:tc>
          <w:tcPr>
            <w:tcW w:w="748" w:type="dxa"/>
            <w:noWrap w:val="0"/>
            <w:vAlign w:val="center"/>
          </w:tcPr>
          <w:p w14:paraId="04F5787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6</w:t>
            </w:r>
          </w:p>
        </w:tc>
        <w:tc>
          <w:tcPr>
            <w:tcW w:w="749" w:type="dxa"/>
            <w:noWrap w:val="0"/>
            <w:vAlign w:val="center"/>
          </w:tcPr>
          <w:p w14:paraId="7D59660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7</w:t>
            </w:r>
          </w:p>
        </w:tc>
        <w:tc>
          <w:tcPr>
            <w:tcW w:w="749" w:type="dxa"/>
            <w:noWrap w:val="0"/>
            <w:vAlign w:val="center"/>
          </w:tcPr>
          <w:p w14:paraId="152B22F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8</w:t>
            </w:r>
          </w:p>
        </w:tc>
        <w:tc>
          <w:tcPr>
            <w:tcW w:w="749" w:type="dxa"/>
            <w:noWrap w:val="0"/>
            <w:vAlign w:val="center"/>
          </w:tcPr>
          <w:p w14:paraId="3371A59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9</w:t>
            </w:r>
          </w:p>
        </w:tc>
        <w:tc>
          <w:tcPr>
            <w:tcW w:w="749" w:type="dxa"/>
            <w:noWrap w:val="0"/>
            <w:vAlign w:val="center"/>
          </w:tcPr>
          <w:p w14:paraId="3CBBDF3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10</w:t>
            </w:r>
          </w:p>
        </w:tc>
        <w:tc>
          <w:tcPr>
            <w:tcW w:w="749" w:type="dxa"/>
            <w:noWrap w:val="0"/>
            <w:vAlign w:val="center"/>
          </w:tcPr>
          <w:p w14:paraId="4CBE413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11</w:t>
            </w:r>
          </w:p>
        </w:tc>
        <w:tc>
          <w:tcPr>
            <w:tcW w:w="748" w:type="dxa"/>
            <w:noWrap w:val="0"/>
            <w:vAlign w:val="center"/>
          </w:tcPr>
          <w:p w14:paraId="1E68B4C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12</w:t>
            </w:r>
          </w:p>
        </w:tc>
        <w:tc>
          <w:tcPr>
            <w:tcW w:w="749" w:type="dxa"/>
            <w:noWrap w:val="0"/>
            <w:vAlign w:val="center"/>
          </w:tcPr>
          <w:p w14:paraId="57459A0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13</w:t>
            </w:r>
          </w:p>
        </w:tc>
        <w:tc>
          <w:tcPr>
            <w:tcW w:w="749" w:type="dxa"/>
            <w:noWrap w:val="0"/>
            <w:vAlign w:val="center"/>
          </w:tcPr>
          <w:p w14:paraId="2CB93E4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14</w:t>
            </w:r>
          </w:p>
        </w:tc>
        <w:tc>
          <w:tcPr>
            <w:tcW w:w="784" w:type="dxa"/>
            <w:noWrap w:val="0"/>
            <w:vAlign w:val="center"/>
          </w:tcPr>
          <w:p w14:paraId="4E8A8EC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15</w:t>
            </w:r>
          </w:p>
        </w:tc>
      </w:tr>
      <w:tr w14:paraId="2ECA6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20" w:type="dxa"/>
            <w:noWrap w:val="0"/>
            <w:vAlign w:val="center"/>
          </w:tcPr>
          <w:p w14:paraId="3ADF136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1</w:t>
            </w:r>
          </w:p>
        </w:tc>
        <w:tc>
          <w:tcPr>
            <w:tcW w:w="1578" w:type="dxa"/>
            <w:noWrap w:val="0"/>
            <w:vAlign w:val="center"/>
          </w:tcPr>
          <w:p w14:paraId="58F138E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建（构）筑物</w:t>
            </w:r>
          </w:p>
        </w:tc>
        <w:tc>
          <w:tcPr>
            <w:tcW w:w="815" w:type="dxa"/>
            <w:noWrap w:val="0"/>
            <w:vAlign w:val="center"/>
          </w:tcPr>
          <w:p w14:paraId="1ACC293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50</w:t>
            </w:r>
          </w:p>
        </w:tc>
        <w:tc>
          <w:tcPr>
            <w:tcW w:w="748" w:type="dxa"/>
            <w:noWrap w:val="0"/>
            <w:vAlign w:val="center"/>
          </w:tcPr>
          <w:p w14:paraId="35D54C3E">
            <w:pPr>
              <w:jc w:val="center"/>
              <w:rPr>
                <w:rFonts w:ascii="Times New Roman" w:hAnsi="Times New Roman" w:eastAsia="宋体" w:cs="宋体"/>
                <w:color w:val="auto"/>
                <w:sz w:val="21"/>
              </w:rPr>
            </w:pPr>
          </w:p>
        </w:tc>
        <w:tc>
          <w:tcPr>
            <w:tcW w:w="748" w:type="dxa"/>
            <w:noWrap w:val="0"/>
            <w:vAlign w:val="center"/>
          </w:tcPr>
          <w:p w14:paraId="413A85EF">
            <w:pPr>
              <w:jc w:val="center"/>
              <w:rPr>
                <w:rFonts w:ascii="Times New Roman" w:hAnsi="Times New Roman" w:eastAsia="宋体" w:cs="宋体"/>
                <w:color w:val="auto"/>
                <w:sz w:val="21"/>
              </w:rPr>
            </w:pPr>
          </w:p>
        </w:tc>
        <w:tc>
          <w:tcPr>
            <w:tcW w:w="748" w:type="dxa"/>
            <w:noWrap w:val="0"/>
            <w:vAlign w:val="center"/>
          </w:tcPr>
          <w:p w14:paraId="04EBFF69">
            <w:pPr>
              <w:jc w:val="center"/>
              <w:rPr>
                <w:rFonts w:ascii="Times New Roman" w:hAnsi="Times New Roman" w:eastAsia="宋体" w:cs="宋体"/>
                <w:color w:val="auto"/>
                <w:sz w:val="21"/>
              </w:rPr>
            </w:pPr>
          </w:p>
        </w:tc>
        <w:tc>
          <w:tcPr>
            <w:tcW w:w="748" w:type="dxa"/>
            <w:noWrap w:val="0"/>
            <w:vAlign w:val="center"/>
          </w:tcPr>
          <w:p w14:paraId="3249C912">
            <w:pPr>
              <w:jc w:val="center"/>
              <w:rPr>
                <w:rFonts w:ascii="Times New Roman" w:hAnsi="Times New Roman" w:eastAsia="宋体" w:cs="宋体"/>
                <w:color w:val="auto"/>
                <w:sz w:val="21"/>
              </w:rPr>
            </w:pPr>
          </w:p>
        </w:tc>
        <w:tc>
          <w:tcPr>
            <w:tcW w:w="749" w:type="dxa"/>
            <w:noWrap w:val="0"/>
            <w:vAlign w:val="center"/>
          </w:tcPr>
          <w:p w14:paraId="7A1A9B4A">
            <w:pPr>
              <w:jc w:val="center"/>
              <w:rPr>
                <w:rFonts w:ascii="Times New Roman" w:hAnsi="Times New Roman" w:eastAsia="宋体" w:cs="宋体"/>
                <w:color w:val="auto"/>
                <w:sz w:val="21"/>
              </w:rPr>
            </w:pPr>
          </w:p>
        </w:tc>
        <w:tc>
          <w:tcPr>
            <w:tcW w:w="748" w:type="dxa"/>
            <w:noWrap w:val="0"/>
            <w:vAlign w:val="center"/>
          </w:tcPr>
          <w:p w14:paraId="2A41F991">
            <w:pPr>
              <w:jc w:val="center"/>
              <w:rPr>
                <w:rFonts w:ascii="Times New Roman" w:hAnsi="Times New Roman" w:eastAsia="宋体" w:cs="宋体"/>
                <w:color w:val="auto"/>
                <w:sz w:val="21"/>
              </w:rPr>
            </w:pPr>
          </w:p>
        </w:tc>
        <w:tc>
          <w:tcPr>
            <w:tcW w:w="749" w:type="dxa"/>
            <w:noWrap w:val="0"/>
            <w:vAlign w:val="center"/>
          </w:tcPr>
          <w:p w14:paraId="61D7257B">
            <w:pPr>
              <w:jc w:val="center"/>
              <w:rPr>
                <w:rFonts w:ascii="Times New Roman" w:hAnsi="Times New Roman" w:eastAsia="宋体" w:cs="宋体"/>
                <w:color w:val="auto"/>
                <w:sz w:val="21"/>
              </w:rPr>
            </w:pPr>
          </w:p>
        </w:tc>
        <w:tc>
          <w:tcPr>
            <w:tcW w:w="749" w:type="dxa"/>
            <w:noWrap w:val="0"/>
            <w:vAlign w:val="center"/>
          </w:tcPr>
          <w:p w14:paraId="64AE36C5">
            <w:pPr>
              <w:jc w:val="center"/>
              <w:rPr>
                <w:rFonts w:ascii="Times New Roman" w:hAnsi="Times New Roman" w:eastAsia="宋体" w:cs="宋体"/>
                <w:color w:val="auto"/>
                <w:sz w:val="21"/>
              </w:rPr>
            </w:pPr>
          </w:p>
        </w:tc>
        <w:tc>
          <w:tcPr>
            <w:tcW w:w="749" w:type="dxa"/>
            <w:noWrap w:val="0"/>
            <w:vAlign w:val="center"/>
          </w:tcPr>
          <w:p w14:paraId="0AB43C30">
            <w:pPr>
              <w:jc w:val="center"/>
              <w:rPr>
                <w:rFonts w:ascii="Times New Roman" w:hAnsi="Times New Roman" w:eastAsia="宋体" w:cs="宋体"/>
                <w:color w:val="auto"/>
                <w:sz w:val="21"/>
              </w:rPr>
            </w:pPr>
          </w:p>
        </w:tc>
        <w:tc>
          <w:tcPr>
            <w:tcW w:w="749" w:type="dxa"/>
            <w:noWrap w:val="0"/>
            <w:vAlign w:val="center"/>
          </w:tcPr>
          <w:p w14:paraId="0B969F4C">
            <w:pPr>
              <w:jc w:val="center"/>
              <w:rPr>
                <w:rFonts w:ascii="Times New Roman" w:hAnsi="Times New Roman" w:eastAsia="宋体" w:cs="宋体"/>
                <w:color w:val="auto"/>
                <w:sz w:val="21"/>
              </w:rPr>
            </w:pPr>
          </w:p>
        </w:tc>
        <w:tc>
          <w:tcPr>
            <w:tcW w:w="749" w:type="dxa"/>
            <w:noWrap w:val="0"/>
            <w:vAlign w:val="center"/>
          </w:tcPr>
          <w:p w14:paraId="47D55C2B">
            <w:pPr>
              <w:jc w:val="center"/>
              <w:rPr>
                <w:rFonts w:ascii="Times New Roman" w:hAnsi="Times New Roman" w:eastAsia="宋体" w:cs="宋体"/>
                <w:color w:val="auto"/>
                <w:sz w:val="21"/>
              </w:rPr>
            </w:pPr>
          </w:p>
        </w:tc>
        <w:tc>
          <w:tcPr>
            <w:tcW w:w="748" w:type="dxa"/>
            <w:noWrap w:val="0"/>
            <w:vAlign w:val="center"/>
          </w:tcPr>
          <w:p w14:paraId="384B8D0E">
            <w:pPr>
              <w:jc w:val="center"/>
              <w:rPr>
                <w:rFonts w:ascii="Times New Roman" w:hAnsi="Times New Roman" w:eastAsia="宋体" w:cs="宋体"/>
                <w:color w:val="auto"/>
                <w:sz w:val="21"/>
              </w:rPr>
            </w:pPr>
          </w:p>
        </w:tc>
        <w:tc>
          <w:tcPr>
            <w:tcW w:w="749" w:type="dxa"/>
            <w:noWrap w:val="0"/>
            <w:vAlign w:val="center"/>
          </w:tcPr>
          <w:p w14:paraId="0C42ACCE">
            <w:pPr>
              <w:jc w:val="center"/>
              <w:rPr>
                <w:rFonts w:ascii="Times New Roman" w:hAnsi="Times New Roman" w:eastAsia="宋体" w:cs="宋体"/>
                <w:color w:val="auto"/>
                <w:sz w:val="21"/>
              </w:rPr>
            </w:pPr>
          </w:p>
        </w:tc>
        <w:tc>
          <w:tcPr>
            <w:tcW w:w="749" w:type="dxa"/>
            <w:noWrap w:val="0"/>
            <w:vAlign w:val="center"/>
          </w:tcPr>
          <w:p w14:paraId="010C7B54">
            <w:pPr>
              <w:jc w:val="center"/>
              <w:rPr>
                <w:rFonts w:ascii="Times New Roman" w:hAnsi="Times New Roman" w:eastAsia="宋体" w:cs="宋体"/>
                <w:color w:val="auto"/>
                <w:sz w:val="21"/>
              </w:rPr>
            </w:pPr>
          </w:p>
        </w:tc>
        <w:tc>
          <w:tcPr>
            <w:tcW w:w="784" w:type="dxa"/>
            <w:noWrap w:val="0"/>
            <w:vAlign w:val="center"/>
          </w:tcPr>
          <w:p w14:paraId="14259545">
            <w:pPr>
              <w:jc w:val="center"/>
              <w:rPr>
                <w:rFonts w:ascii="Times New Roman" w:hAnsi="Times New Roman" w:eastAsia="宋体" w:cs="宋体"/>
                <w:color w:val="auto"/>
                <w:sz w:val="21"/>
              </w:rPr>
            </w:pPr>
          </w:p>
        </w:tc>
      </w:tr>
      <w:tr w14:paraId="24E37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20" w:type="dxa"/>
            <w:noWrap w:val="0"/>
            <w:vAlign w:val="center"/>
          </w:tcPr>
          <w:p w14:paraId="4D65DF5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578" w:type="dxa"/>
            <w:noWrap w:val="0"/>
            <w:vAlign w:val="center"/>
          </w:tcPr>
          <w:p w14:paraId="7A23E6E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4"/>
                <w:sz w:val="21"/>
                <w:szCs w:val="14"/>
              </w:rPr>
              <w:t>原值</w:t>
            </w:r>
          </w:p>
        </w:tc>
        <w:tc>
          <w:tcPr>
            <w:tcW w:w="815" w:type="dxa"/>
            <w:noWrap w:val="0"/>
            <w:vAlign w:val="center"/>
          </w:tcPr>
          <w:p w14:paraId="09EC4EEE">
            <w:pPr>
              <w:jc w:val="center"/>
              <w:rPr>
                <w:rFonts w:ascii="Times New Roman" w:hAnsi="Times New Roman" w:eastAsia="宋体" w:cs="宋体"/>
                <w:color w:val="auto"/>
                <w:sz w:val="21"/>
              </w:rPr>
            </w:pPr>
          </w:p>
        </w:tc>
        <w:tc>
          <w:tcPr>
            <w:tcW w:w="748" w:type="dxa"/>
            <w:noWrap w:val="0"/>
            <w:vAlign w:val="center"/>
          </w:tcPr>
          <w:p w14:paraId="1577AC2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2267.53</w:t>
            </w:r>
          </w:p>
        </w:tc>
        <w:tc>
          <w:tcPr>
            <w:tcW w:w="748" w:type="dxa"/>
            <w:noWrap w:val="0"/>
            <w:vAlign w:val="center"/>
          </w:tcPr>
          <w:p w14:paraId="1111033B">
            <w:pPr>
              <w:jc w:val="center"/>
              <w:rPr>
                <w:rFonts w:ascii="Times New Roman" w:hAnsi="Times New Roman" w:eastAsia="宋体" w:cs="宋体"/>
                <w:color w:val="auto"/>
                <w:sz w:val="21"/>
              </w:rPr>
            </w:pPr>
          </w:p>
        </w:tc>
        <w:tc>
          <w:tcPr>
            <w:tcW w:w="748" w:type="dxa"/>
            <w:noWrap w:val="0"/>
            <w:vAlign w:val="center"/>
          </w:tcPr>
          <w:p w14:paraId="7A72D341">
            <w:pPr>
              <w:jc w:val="center"/>
              <w:rPr>
                <w:rFonts w:ascii="Times New Roman" w:hAnsi="Times New Roman" w:eastAsia="宋体" w:cs="宋体"/>
                <w:color w:val="auto"/>
                <w:sz w:val="21"/>
              </w:rPr>
            </w:pPr>
          </w:p>
        </w:tc>
        <w:tc>
          <w:tcPr>
            <w:tcW w:w="748" w:type="dxa"/>
            <w:noWrap w:val="0"/>
            <w:vAlign w:val="center"/>
          </w:tcPr>
          <w:p w14:paraId="6BF904FB">
            <w:pPr>
              <w:jc w:val="center"/>
              <w:rPr>
                <w:rFonts w:ascii="Times New Roman" w:hAnsi="Times New Roman" w:eastAsia="宋体" w:cs="宋体"/>
                <w:color w:val="auto"/>
                <w:sz w:val="21"/>
              </w:rPr>
            </w:pPr>
          </w:p>
        </w:tc>
        <w:tc>
          <w:tcPr>
            <w:tcW w:w="749" w:type="dxa"/>
            <w:noWrap w:val="0"/>
            <w:vAlign w:val="center"/>
          </w:tcPr>
          <w:p w14:paraId="767C0931">
            <w:pPr>
              <w:jc w:val="center"/>
              <w:rPr>
                <w:rFonts w:ascii="Times New Roman" w:hAnsi="Times New Roman" w:eastAsia="宋体" w:cs="宋体"/>
                <w:color w:val="auto"/>
                <w:sz w:val="21"/>
              </w:rPr>
            </w:pPr>
          </w:p>
        </w:tc>
        <w:tc>
          <w:tcPr>
            <w:tcW w:w="748" w:type="dxa"/>
            <w:noWrap w:val="0"/>
            <w:vAlign w:val="center"/>
          </w:tcPr>
          <w:p w14:paraId="24CFFF70">
            <w:pPr>
              <w:jc w:val="center"/>
              <w:rPr>
                <w:rFonts w:ascii="Times New Roman" w:hAnsi="Times New Roman" w:eastAsia="宋体" w:cs="宋体"/>
                <w:color w:val="auto"/>
                <w:sz w:val="21"/>
              </w:rPr>
            </w:pPr>
          </w:p>
        </w:tc>
        <w:tc>
          <w:tcPr>
            <w:tcW w:w="749" w:type="dxa"/>
            <w:noWrap w:val="0"/>
            <w:vAlign w:val="center"/>
          </w:tcPr>
          <w:p w14:paraId="1EC73DFE">
            <w:pPr>
              <w:jc w:val="center"/>
              <w:rPr>
                <w:rFonts w:ascii="Times New Roman" w:hAnsi="Times New Roman" w:eastAsia="宋体" w:cs="宋体"/>
                <w:color w:val="auto"/>
                <w:sz w:val="21"/>
              </w:rPr>
            </w:pPr>
          </w:p>
        </w:tc>
        <w:tc>
          <w:tcPr>
            <w:tcW w:w="749" w:type="dxa"/>
            <w:noWrap w:val="0"/>
            <w:vAlign w:val="center"/>
          </w:tcPr>
          <w:p w14:paraId="5DBA350F">
            <w:pPr>
              <w:jc w:val="center"/>
              <w:rPr>
                <w:rFonts w:ascii="Times New Roman" w:hAnsi="Times New Roman" w:eastAsia="宋体" w:cs="宋体"/>
                <w:color w:val="auto"/>
                <w:sz w:val="21"/>
              </w:rPr>
            </w:pPr>
          </w:p>
        </w:tc>
        <w:tc>
          <w:tcPr>
            <w:tcW w:w="749" w:type="dxa"/>
            <w:noWrap w:val="0"/>
            <w:vAlign w:val="center"/>
          </w:tcPr>
          <w:p w14:paraId="2EFE3E30">
            <w:pPr>
              <w:jc w:val="center"/>
              <w:rPr>
                <w:rFonts w:ascii="Times New Roman" w:hAnsi="Times New Roman" w:eastAsia="宋体" w:cs="宋体"/>
                <w:color w:val="auto"/>
                <w:sz w:val="21"/>
              </w:rPr>
            </w:pPr>
          </w:p>
        </w:tc>
        <w:tc>
          <w:tcPr>
            <w:tcW w:w="749" w:type="dxa"/>
            <w:noWrap w:val="0"/>
            <w:vAlign w:val="center"/>
          </w:tcPr>
          <w:p w14:paraId="5BB5F1FA">
            <w:pPr>
              <w:jc w:val="center"/>
              <w:rPr>
                <w:rFonts w:ascii="Times New Roman" w:hAnsi="Times New Roman" w:eastAsia="宋体" w:cs="宋体"/>
                <w:color w:val="auto"/>
                <w:sz w:val="21"/>
              </w:rPr>
            </w:pPr>
          </w:p>
        </w:tc>
        <w:tc>
          <w:tcPr>
            <w:tcW w:w="749" w:type="dxa"/>
            <w:noWrap w:val="0"/>
            <w:vAlign w:val="center"/>
          </w:tcPr>
          <w:p w14:paraId="46E5354A">
            <w:pPr>
              <w:jc w:val="center"/>
              <w:rPr>
                <w:rFonts w:ascii="Times New Roman" w:hAnsi="Times New Roman" w:eastAsia="宋体" w:cs="宋体"/>
                <w:color w:val="auto"/>
                <w:sz w:val="21"/>
              </w:rPr>
            </w:pPr>
          </w:p>
        </w:tc>
        <w:tc>
          <w:tcPr>
            <w:tcW w:w="748" w:type="dxa"/>
            <w:noWrap w:val="0"/>
            <w:vAlign w:val="center"/>
          </w:tcPr>
          <w:p w14:paraId="361B87B3">
            <w:pPr>
              <w:jc w:val="center"/>
              <w:rPr>
                <w:rFonts w:ascii="Times New Roman" w:hAnsi="Times New Roman" w:eastAsia="宋体" w:cs="宋体"/>
                <w:color w:val="auto"/>
                <w:sz w:val="21"/>
              </w:rPr>
            </w:pPr>
          </w:p>
        </w:tc>
        <w:tc>
          <w:tcPr>
            <w:tcW w:w="749" w:type="dxa"/>
            <w:noWrap w:val="0"/>
            <w:vAlign w:val="center"/>
          </w:tcPr>
          <w:p w14:paraId="03B23DB2">
            <w:pPr>
              <w:jc w:val="center"/>
              <w:rPr>
                <w:rFonts w:ascii="Times New Roman" w:hAnsi="Times New Roman" w:eastAsia="宋体" w:cs="宋体"/>
                <w:color w:val="auto"/>
                <w:sz w:val="21"/>
              </w:rPr>
            </w:pPr>
          </w:p>
        </w:tc>
        <w:tc>
          <w:tcPr>
            <w:tcW w:w="749" w:type="dxa"/>
            <w:noWrap w:val="0"/>
            <w:vAlign w:val="center"/>
          </w:tcPr>
          <w:p w14:paraId="56AB5E37">
            <w:pPr>
              <w:jc w:val="center"/>
              <w:rPr>
                <w:rFonts w:ascii="Times New Roman" w:hAnsi="Times New Roman" w:eastAsia="宋体" w:cs="宋体"/>
                <w:color w:val="auto"/>
                <w:sz w:val="21"/>
              </w:rPr>
            </w:pPr>
          </w:p>
        </w:tc>
        <w:tc>
          <w:tcPr>
            <w:tcW w:w="784" w:type="dxa"/>
            <w:noWrap w:val="0"/>
            <w:vAlign w:val="center"/>
          </w:tcPr>
          <w:p w14:paraId="31726F8D">
            <w:pPr>
              <w:jc w:val="center"/>
              <w:rPr>
                <w:rFonts w:ascii="Times New Roman" w:hAnsi="Times New Roman" w:eastAsia="宋体" w:cs="宋体"/>
                <w:color w:val="auto"/>
                <w:sz w:val="21"/>
              </w:rPr>
            </w:pPr>
          </w:p>
        </w:tc>
      </w:tr>
      <w:tr w14:paraId="0AF45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20" w:type="dxa"/>
            <w:noWrap w:val="0"/>
            <w:vAlign w:val="center"/>
          </w:tcPr>
          <w:p w14:paraId="3748A08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578" w:type="dxa"/>
            <w:noWrap w:val="0"/>
            <w:vAlign w:val="center"/>
          </w:tcPr>
          <w:p w14:paraId="0E7A8F9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当期折旧费</w:t>
            </w:r>
          </w:p>
        </w:tc>
        <w:tc>
          <w:tcPr>
            <w:tcW w:w="815" w:type="dxa"/>
            <w:noWrap w:val="0"/>
            <w:vAlign w:val="center"/>
          </w:tcPr>
          <w:p w14:paraId="4873362D">
            <w:pPr>
              <w:jc w:val="center"/>
              <w:rPr>
                <w:rFonts w:ascii="Times New Roman" w:hAnsi="Times New Roman" w:eastAsia="宋体" w:cs="宋体"/>
                <w:color w:val="auto"/>
                <w:sz w:val="21"/>
              </w:rPr>
            </w:pPr>
          </w:p>
        </w:tc>
        <w:tc>
          <w:tcPr>
            <w:tcW w:w="748" w:type="dxa"/>
            <w:noWrap w:val="0"/>
            <w:vAlign w:val="center"/>
          </w:tcPr>
          <w:p w14:paraId="6B65EAD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43.04</w:t>
            </w:r>
          </w:p>
        </w:tc>
        <w:tc>
          <w:tcPr>
            <w:tcW w:w="748" w:type="dxa"/>
            <w:noWrap w:val="0"/>
            <w:vAlign w:val="center"/>
          </w:tcPr>
          <w:p w14:paraId="2C1559F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43.04</w:t>
            </w:r>
          </w:p>
        </w:tc>
        <w:tc>
          <w:tcPr>
            <w:tcW w:w="748" w:type="dxa"/>
            <w:noWrap w:val="0"/>
            <w:vAlign w:val="center"/>
          </w:tcPr>
          <w:p w14:paraId="3EBA61B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43.04</w:t>
            </w:r>
          </w:p>
        </w:tc>
        <w:tc>
          <w:tcPr>
            <w:tcW w:w="748" w:type="dxa"/>
            <w:noWrap w:val="0"/>
            <w:vAlign w:val="center"/>
          </w:tcPr>
          <w:p w14:paraId="7F9B491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43.04</w:t>
            </w:r>
          </w:p>
        </w:tc>
        <w:tc>
          <w:tcPr>
            <w:tcW w:w="749" w:type="dxa"/>
            <w:noWrap w:val="0"/>
            <w:vAlign w:val="center"/>
          </w:tcPr>
          <w:p w14:paraId="3533C42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43.04</w:t>
            </w:r>
          </w:p>
        </w:tc>
        <w:tc>
          <w:tcPr>
            <w:tcW w:w="748" w:type="dxa"/>
            <w:noWrap w:val="0"/>
            <w:vAlign w:val="center"/>
          </w:tcPr>
          <w:p w14:paraId="7BE7782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43.04</w:t>
            </w:r>
          </w:p>
        </w:tc>
        <w:tc>
          <w:tcPr>
            <w:tcW w:w="749" w:type="dxa"/>
            <w:noWrap w:val="0"/>
            <w:vAlign w:val="center"/>
          </w:tcPr>
          <w:p w14:paraId="1C1F634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43.04</w:t>
            </w:r>
          </w:p>
        </w:tc>
        <w:tc>
          <w:tcPr>
            <w:tcW w:w="749" w:type="dxa"/>
            <w:noWrap w:val="0"/>
            <w:vAlign w:val="center"/>
          </w:tcPr>
          <w:p w14:paraId="06DECFD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43.04</w:t>
            </w:r>
          </w:p>
        </w:tc>
        <w:tc>
          <w:tcPr>
            <w:tcW w:w="749" w:type="dxa"/>
            <w:noWrap w:val="0"/>
            <w:vAlign w:val="center"/>
          </w:tcPr>
          <w:p w14:paraId="7916225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43.04</w:t>
            </w:r>
          </w:p>
        </w:tc>
        <w:tc>
          <w:tcPr>
            <w:tcW w:w="749" w:type="dxa"/>
            <w:noWrap w:val="0"/>
            <w:vAlign w:val="center"/>
          </w:tcPr>
          <w:p w14:paraId="02C95AC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43.04</w:t>
            </w:r>
          </w:p>
        </w:tc>
        <w:tc>
          <w:tcPr>
            <w:tcW w:w="749" w:type="dxa"/>
            <w:noWrap w:val="0"/>
            <w:vAlign w:val="center"/>
          </w:tcPr>
          <w:p w14:paraId="0243BAA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43.04</w:t>
            </w:r>
          </w:p>
        </w:tc>
        <w:tc>
          <w:tcPr>
            <w:tcW w:w="748" w:type="dxa"/>
            <w:noWrap w:val="0"/>
            <w:vAlign w:val="center"/>
          </w:tcPr>
          <w:p w14:paraId="779C1FB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43.04</w:t>
            </w:r>
          </w:p>
        </w:tc>
        <w:tc>
          <w:tcPr>
            <w:tcW w:w="749" w:type="dxa"/>
            <w:noWrap w:val="0"/>
            <w:vAlign w:val="center"/>
          </w:tcPr>
          <w:p w14:paraId="06F7911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43.04</w:t>
            </w:r>
          </w:p>
        </w:tc>
        <w:tc>
          <w:tcPr>
            <w:tcW w:w="749" w:type="dxa"/>
            <w:noWrap w:val="0"/>
            <w:vAlign w:val="center"/>
          </w:tcPr>
          <w:p w14:paraId="30C00D4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43.04</w:t>
            </w:r>
          </w:p>
        </w:tc>
        <w:tc>
          <w:tcPr>
            <w:tcW w:w="784" w:type="dxa"/>
            <w:noWrap w:val="0"/>
            <w:vAlign w:val="center"/>
          </w:tcPr>
          <w:p w14:paraId="6B48E42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43.04</w:t>
            </w:r>
          </w:p>
        </w:tc>
      </w:tr>
      <w:tr w14:paraId="54208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20" w:type="dxa"/>
            <w:noWrap w:val="0"/>
            <w:vAlign w:val="center"/>
          </w:tcPr>
          <w:p w14:paraId="1DB69F0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578" w:type="dxa"/>
            <w:noWrap w:val="0"/>
            <w:vAlign w:val="center"/>
          </w:tcPr>
          <w:p w14:paraId="014A2B8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净值</w:t>
            </w:r>
          </w:p>
        </w:tc>
        <w:tc>
          <w:tcPr>
            <w:tcW w:w="815" w:type="dxa"/>
            <w:noWrap w:val="0"/>
            <w:vAlign w:val="center"/>
          </w:tcPr>
          <w:p w14:paraId="5B23AB8A">
            <w:pPr>
              <w:jc w:val="center"/>
              <w:rPr>
                <w:rFonts w:ascii="Times New Roman" w:hAnsi="Times New Roman" w:eastAsia="宋体" w:cs="宋体"/>
                <w:color w:val="auto"/>
                <w:sz w:val="21"/>
              </w:rPr>
            </w:pPr>
          </w:p>
        </w:tc>
        <w:tc>
          <w:tcPr>
            <w:tcW w:w="748" w:type="dxa"/>
            <w:noWrap w:val="0"/>
            <w:vAlign w:val="center"/>
          </w:tcPr>
          <w:p w14:paraId="4C3F4FF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2224.49</w:t>
            </w:r>
          </w:p>
        </w:tc>
        <w:tc>
          <w:tcPr>
            <w:tcW w:w="748" w:type="dxa"/>
            <w:noWrap w:val="0"/>
            <w:vAlign w:val="center"/>
          </w:tcPr>
          <w:p w14:paraId="0E8B6D4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2181.45</w:t>
            </w:r>
          </w:p>
        </w:tc>
        <w:tc>
          <w:tcPr>
            <w:tcW w:w="748" w:type="dxa"/>
            <w:noWrap w:val="0"/>
            <w:vAlign w:val="center"/>
          </w:tcPr>
          <w:p w14:paraId="72C6BEE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2138.42</w:t>
            </w:r>
          </w:p>
        </w:tc>
        <w:tc>
          <w:tcPr>
            <w:tcW w:w="748" w:type="dxa"/>
            <w:noWrap w:val="0"/>
            <w:vAlign w:val="center"/>
          </w:tcPr>
          <w:p w14:paraId="14C1433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2095.38</w:t>
            </w:r>
          </w:p>
        </w:tc>
        <w:tc>
          <w:tcPr>
            <w:tcW w:w="749" w:type="dxa"/>
            <w:noWrap w:val="0"/>
            <w:vAlign w:val="center"/>
          </w:tcPr>
          <w:p w14:paraId="788783D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2052.34</w:t>
            </w:r>
          </w:p>
        </w:tc>
        <w:tc>
          <w:tcPr>
            <w:tcW w:w="748" w:type="dxa"/>
            <w:noWrap w:val="0"/>
            <w:vAlign w:val="center"/>
          </w:tcPr>
          <w:p w14:paraId="450B98B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2009.30</w:t>
            </w:r>
          </w:p>
        </w:tc>
        <w:tc>
          <w:tcPr>
            <w:tcW w:w="749" w:type="dxa"/>
            <w:noWrap w:val="0"/>
            <w:vAlign w:val="center"/>
          </w:tcPr>
          <w:p w14:paraId="394E031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1966.27</w:t>
            </w:r>
          </w:p>
        </w:tc>
        <w:tc>
          <w:tcPr>
            <w:tcW w:w="749" w:type="dxa"/>
            <w:noWrap w:val="0"/>
            <w:vAlign w:val="center"/>
          </w:tcPr>
          <w:p w14:paraId="164A941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1923.23</w:t>
            </w:r>
          </w:p>
        </w:tc>
        <w:tc>
          <w:tcPr>
            <w:tcW w:w="749" w:type="dxa"/>
            <w:noWrap w:val="0"/>
            <w:vAlign w:val="center"/>
          </w:tcPr>
          <w:p w14:paraId="6E6958E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1880.19</w:t>
            </w:r>
          </w:p>
        </w:tc>
        <w:tc>
          <w:tcPr>
            <w:tcW w:w="749" w:type="dxa"/>
            <w:noWrap w:val="0"/>
            <w:vAlign w:val="center"/>
          </w:tcPr>
          <w:p w14:paraId="638A795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1837.15</w:t>
            </w:r>
          </w:p>
        </w:tc>
        <w:tc>
          <w:tcPr>
            <w:tcW w:w="749" w:type="dxa"/>
            <w:noWrap w:val="0"/>
            <w:vAlign w:val="center"/>
          </w:tcPr>
          <w:p w14:paraId="57D2B6C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1794.12</w:t>
            </w:r>
          </w:p>
        </w:tc>
        <w:tc>
          <w:tcPr>
            <w:tcW w:w="748" w:type="dxa"/>
            <w:noWrap w:val="0"/>
            <w:vAlign w:val="center"/>
          </w:tcPr>
          <w:p w14:paraId="452C712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1751.08</w:t>
            </w:r>
          </w:p>
        </w:tc>
        <w:tc>
          <w:tcPr>
            <w:tcW w:w="749" w:type="dxa"/>
            <w:noWrap w:val="0"/>
            <w:vAlign w:val="center"/>
          </w:tcPr>
          <w:p w14:paraId="2F3D4B7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1708.04</w:t>
            </w:r>
          </w:p>
        </w:tc>
        <w:tc>
          <w:tcPr>
            <w:tcW w:w="749" w:type="dxa"/>
            <w:noWrap w:val="0"/>
            <w:vAlign w:val="center"/>
          </w:tcPr>
          <w:p w14:paraId="3E30273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1665.00</w:t>
            </w:r>
          </w:p>
        </w:tc>
        <w:tc>
          <w:tcPr>
            <w:tcW w:w="784" w:type="dxa"/>
            <w:noWrap w:val="0"/>
            <w:vAlign w:val="center"/>
          </w:tcPr>
          <w:p w14:paraId="383C6F7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1621.96</w:t>
            </w:r>
          </w:p>
        </w:tc>
      </w:tr>
      <w:tr w14:paraId="0BC52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20" w:type="dxa"/>
            <w:noWrap w:val="0"/>
            <w:vAlign w:val="center"/>
          </w:tcPr>
          <w:p w14:paraId="592030D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w:t>
            </w:r>
          </w:p>
        </w:tc>
        <w:tc>
          <w:tcPr>
            <w:tcW w:w="1578" w:type="dxa"/>
            <w:noWrap w:val="0"/>
            <w:vAlign w:val="center"/>
          </w:tcPr>
          <w:p w14:paraId="1726330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机器设备</w:t>
            </w:r>
          </w:p>
        </w:tc>
        <w:tc>
          <w:tcPr>
            <w:tcW w:w="815" w:type="dxa"/>
            <w:noWrap w:val="0"/>
            <w:vAlign w:val="center"/>
          </w:tcPr>
          <w:p w14:paraId="52CB5CC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30</w:t>
            </w:r>
          </w:p>
        </w:tc>
        <w:tc>
          <w:tcPr>
            <w:tcW w:w="748" w:type="dxa"/>
            <w:noWrap w:val="0"/>
            <w:vAlign w:val="center"/>
          </w:tcPr>
          <w:p w14:paraId="1A94B01E">
            <w:pPr>
              <w:jc w:val="center"/>
              <w:rPr>
                <w:rFonts w:ascii="Times New Roman" w:hAnsi="Times New Roman" w:eastAsia="宋体" w:cs="宋体"/>
                <w:color w:val="auto"/>
                <w:sz w:val="21"/>
              </w:rPr>
            </w:pPr>
          </w:p>
        </w:tc>
        <w:tc>
          <w:tcPr>
            <w:tcW w:w="748" w:type="dxa"/>
            <w:noWrap w:val="0"/>
            <w:vAlign w:val="center"/>
          </w:tcPr>
          <w:p w14:paraId="1F277F31">
            <w:pPr>
              <w:jc w:val="center"/>
              <w:rPr>
                <w:rFonts w:ascii="Times New Roman" w:hAnsi="Times New Roman" w:eastAsia="宋体" w:cs="宋体"/>
                <w:color w:val="auto"/>
                <w:sz w:val="21"/>
              </w:rPr>
            </w:pPr>
          </w:p>
        </w:tc>
        <w:tc>
          <w:tcPr>
            <w:tcW w:w="748" w:type="dxa"/>
            <w:noWrap w:val="0"/>
            <w:vAlign w:val="center"/>
          </w:tcPr>
          <w:p w14:paraId="0FD34E54">
            <w:pPr>
              <w:jc w:val="center"/>
              <w:rPr>
                <w:rFonts w:ascii="Times New Roman" w:hAnsi="Times New Roman" w:eastAsia="宋体" w:cs="宋体"/>
                <w:color w:val="auto"/>
                <w:sz w:val="21"/>
              </w:rPr>
            </w:pPr>
          </w:p>
        </w:tc>
        <w:tc>
          <w:tcPr>
            <w:tcW w:w="748" w:type="dxa"/>
            <w:noWrap w:val="0"/>
            <w:vAlign w:val="center"/>
          </w:tcPr>
          <w:p w14:paraId="5643992A">
            <w:pPr>
              <w:jc w:val="center"/>
              <w:rPr>
                <w:rFonts w:ascii="Times New Roman" w:hAnsi="Times New Roman" w:eastAsia="宋体" w:cs="宋体"/>
                <w:color w:val="auto"/>
                <w:sz w:val="21"/>
              </w:rPr>
            </w:pPr>
          </w:p>
        </w:tc>
        <w:tc>
          <w:tcPr>
            <w:tcW w:w="749" w:type="dxa"/>
            <w:noWrap w:val="0"/>
            <w:vAlign w:val="center"/>
          </w:tcPr>
          <w:p w14:paraId="0A7E1C83">
            <w:pPr>
              <w:jc w:val="center"/>
              <w:rPr>
                <w:rFonts w:ascii="Times New Roman" w:hAnsi="Times New Roman" w:eastAsia="宋体" w:cs="宋体"/>
                <w:color w:val="auto"/>
                <w:sz w:val="21"/>
              </w:rPr>
            </w:pPr>
          </w:p>
        </w:tc>
        <w:tc>
          <w:tcPr>
            <w:tcW w:w="748" w:type="dxa"/>
            <w:noWrap w:val="0"/>
            <w:vAlign w:val="center"/>
          </w:tcPr>
          <w:p w14:paraId="6423D5F2">
            <w:pPr>
              <w:jc w:val="center"/>
              <w:rPr>
                <w:rFonts w:ascii="Times New Roman" w:hAnsi="Times New Roman" w:eastAsia="宋体" w:cs="宋体"/>
                <w:color w:val="auto"/>
                <w:sz w:val="21"/>
              </w:rPr>
            </w:pPr>
          </w:p>
        </w:tc>
        <w:tc>
          <w:tcPr>
            <w:tcW w:w="749" w:type="dxa"/>
            <w:noWrap w:val="0"/>
            <w:vAlign w:val="center"/>
          </w:tcPr>
          <w:p w14:paraId="314A9FB0">
            <w:pPr>
              <w:jc w:val="center"/>
              <w:rPr>
                <w:rFonts w:ascii="Times New Roman" w:hAnsi="Times New Roman" w:eastAsia="宋体" w:cs="宋体"/>
                <w:color w:val="auto"/>
                <w:sz w:val="21"/>
              </w:rPr>
            </w:pPr>
          </w:p>
        </w:tc>
        <w:tc>
          <w:tcPr>
            <w:tcW w:w="749" w:type="dxa"/>
            <w:noWrap w:val="0"/>
            <w:vAlign w:val="center"/>
          </w:tcPr>
          <w:p w14:paraId="50E4AFF3">
            <w:pPr>
              <w:jc w:val="center"/>
              <w:rPr>
                <w:rFonts w:ascii="Times New Roman" w:hAnsi="Times New Roman" w:eastAsia="宋体" w:cs="宋体"/>
                <w:color w:val="auto"/>
                <w:sz w:val="21"/>
              </w:rPr>
            </w:pPr>
          </w:p>
        </w:tc>
        <w:tc>
          <w:tcPr>
            <w:tcW w:w="749" w:type="dxa"/>
            <w:noWrap w:val="0"/>
            <w:vAlign w:val="center"/>
          </w:tcPr>
          <w:p w14:paraId="0CA93AC2">
            <w:pPr>
              <w:jc w:val="center"/>
              <w:rPr>
                <w:rFonts w:ascii="Times New Roman" w:hAnsi="Times New Roman" w:eastAsia="宋体" w:cs="宋体"/>
                <w:color w:val="auto"/>
                <w:sz w:val="21"/>
              </w:rPr>
            </w:pPr>
          </w:p>
        </w:tc>
        <w:tc>
          <w:tcPr>
            <w:tcW w:w="749" w:type="dxa"/>
            <w:noWrap w:val="0"/>
            <w:vAlign w:val="center"/>
          </w:tcPr>
          <w:p w14:paraId="2E079E7B">
            <w:pPr>
              <w:jc w:val="center"/>
              <w:rPr>
                <w:rFonts w:ascii="Times New Roman" w:hAnsi="Times New Roman" w:eastAsia="宋体" w:cs="宋体"/>
                <w:color w:val="auto"/>
                <w:sz w:val="21"/>
              </w:rPr>
            </w:pPr>
          </w:p>
        </w:tc>
        <w:tc>
          <w:tcPr>
            <w:tcW w:w="749" w:type="dxa"/>
            <w:noWrap w:val="0"/>
            <w:vAlign w:val="center"/>
          </w:tcPr>
          <w:p w14:paraId="6B832207">
            <w:pPr>
              <w:jc w:val="center"/>
              <w:rPr>
                <w:rFonts w:ascii="Times New Roman" w:hAnsi="Times New Roman" w:eastAsia="宋体" w:cs="宋体"/>
                <w:color w:val="auto"/>
                <w:sz w:val="21"/>
              </w:rPr>
            </w:pPr>
          </w:p>
        </w:tc>
        <w:tc>
          <w:tcPr>
            <w:tcW w:w="748" w:type="dxa"/>
            <w:noWrap w:val="0"/>
            <w:vAlign w:val="center"/>
          </w:tcPr>
          <w:p w14:paraId="0865DC55">
            <w:pPr>
              <w:jc w:val="center"/>
              <w:rPr>
                <w:rFonts w:ascii="Times New Roman" w:hAnsi="Times New Roman" w:eastAsia="宋体" w:cs="宋体"/>
                <w:color w:val="auto"/>
                <w:sz w:val="21"/>
              </w:rPr>
            </w:pPr>
          </w:p>
        </w:tc>
        <w:tc>
          <w:tcPr>
            <w:tcW w:w="749" w:type="dxa"/>
            <w:noWrap w:val="0"/>
            <w:vAlign w:val="center"/>
          </w:tcPr>
          <w:p w14:paraId="6B0FE291">
            <w:pPr>
              <w:jc w:val="center"/>
              <w:rPr>
                <w:rFonts w:ascii="Times New Roman" w:hAnsi="Times New Roman" w:eastAsia="宋体" w:cs="宋体"/>
                <w:color w:val="auto"/>
                <w:sz w:val="21"/>
              </w:rPr>
            </w:pPr>
          </w:p>
        </w:tc>
        <w:tc>
          <w:tcPr>
            <w:tcW w:w="749" w:type="dxa"/>
            <w:noWrap w:val="0"/>
            <w:vAlign w:val="center"/>
          </w:tcPr>
          <w:p w14:paraId="3B15A7F5">
            <w:pPr>
              <w:jc w:val="center"/>
              <w:rPr>
                <w:rFonts w:ascii="Times New Roman" w:hAnsi="Times New Roman" w:eastAsia="宋体" w:cs="宋体"/>
                <w:color w:val="auto"/>
                <w:sz w:val="21"/>
              </w:rPr>
            </w:pPr>
          </w:p>
        </w:tc>
        <w:tc>
          <w:tcPr>
            <w:tcW w:w="784" w:type="dxa"/>
            <w:noWrap w:val="0"/>
            <w:vAlign w:val="center"/>
          </w:tcPr>
          <w:p w14:paraId="74344727">
            <w:pPr>
              <w:jc w:val="center"/>
              <w:rPr>
                <w:rFonts w:ascii="Times New Roman" w:hAnsi="Times New Roman" w:eastAsia="宋体" w:cs="宋体"/>
                <w:color w:val="auto"/>
                <w:sz w:val="21"/>
              </w:rPr>
            </w:pPr>
          </w:p>
        </w:tc>
      </w:tr>
      <w:tr w14:paraId="26BDB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20" w:type="dxa"/>
            <w:noWrap w:val="0"/>
            <w:vAlign w:val="center"/>
          </w:tcPr>
          <w:p w14:paraId="53B73BF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578" w:type="dxa"/>
            <w:noWrap w:val="0"/>
            <w:vAlign w:val="center"/>
          </w:tcPr>
          <w:p w14:paraId="51D24B9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4"/>
                <w:sz w:val="21"/>
                <w:szCs w:val="14"/>
              </w:rPr>
              <w:t>原值</w:t>
            </w:r>
          </w:p>
        </w:tc>
        <w:tc>
          <w:tcPr>
            <w:tcW w:w="815" w:type="dxa"/>
            <w:noWrap w:val="0"/>
            <w:vAlign w:val="center"/>
          </w:tcPr>
          <w:p w14:paraId="3BE093CE">
            <w:pPr>
              <w:jc w:val="center"/>
              <w:rPr>
                <w:rFonts w:ascii="Times New Roman" w:hAnsi="Times New Roman" w:eastAsia="宋体" w:cs="宋体"/>
                <w:color w:val="auto"/>
                <w:sz w:val="21"/>
              </w:rPr>
            </w:pPr>
          </w:p>
        </w:tc>
        <w:tc>
          <w:tcPr>
            <w:tcW w:w="748" w:type="dxa"/>
            <w:noWrap w:val="0"/>
            <w:vAlign w:val="center"/>
          </w:tcPr>
          <w:p w14:paraId="249448F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1791.72</w:t>
            </w:r>
          </w:p>
        </w:tc>
        <w:tc>
          <w:tcPr>
            <w:tcW w:w="748" w:type="dxa"/>
            <w:noWrap w:val="0"/>
            <w:vAlign w:val="center"/>
          </w:tcPr>
          <w:p w14:paraId="3C0B4B4C">
            <w:pPr>
              <w:jc w:val="center"/>
              <w:rPr>
                <w:rFonts w:ascii="Times New Roman" w:hAnsi="Times New Roman" w:eastAsia="宋体" w:cs="宋体"/>
                <w:color w:val="auto"/>
                <w:sz w:val="21"/>
              </w:rPr>
            </w:pPr>
          </w:p>
        </w:tc>
        <w:tc>
          <w:tcPr>
            <w:tcW w:w="748" w:type="dxa"/>
            <w:noWrap w:val="0"/>
            <w:vAlign w:val="center"/>
          </w:tcPr>
          <w:p w14:paraId="16046480">
            <w:pPr>
              <w:jc w:val="center"/>
              <w:rPr>
                <w:rFonts w:ascii="Times New Roman" w:hAnsi="Times New Roman" w:eastAsia="宋体" w:cs="宋体"/>
                <w:color w:val="auto"/>
                <w:sz w:val="21"/>
              </w:rPr>
            </w:pPr>
          </w:p>
        </w:tc>
        <w:tc>
          <w:tcPr>
            <w:tcW w:w="748" w:type="dxa"/>
            <w:noWrap w:val="0"/>
            <w:vAlign w:val="center"/>
          </w:tcPr>
          <w:p w14:paraId="5DC3A6DD">
            <w:pPr>
              <w:jc w:val="center"/>
              <w:rPr>
                <w:rFonts w:ascii="Times New Roman" w:hAnsi="Times New Roman" w:eastAsia="宋体" w:cs="宋体"/>
                <w:color w:val="auto"/>
                <w:sz w:val="21"/>
              </w:rPr>
            </w:pPr>
          </w:p>
        </w:tc>
        <w:tc>
          <w:tcPr>
            <w:tcW w:w="749" w:type="dxa"/>
            <w:noWrap w:val="0"/>
            <w:vAlign w:val="center"/>
          </w:tcPr>
          <w:p w14:paraId="5159E248">
            <w:pPr>
              <w:jc w:val="center"/>
              <w:rPr>
                <w:rFonts w:ascii="Times New Roman" w:hAnsi="Times New Roman" w:eastAsia="宋体" w:cs="宋体"/>
                <w:color w:val="auto"/>
                <w:sz w:val="21"/>
              </w:rPr>
            </w:pPr>
          </w:p>
        </w:tc>
        <w:tc>
          <w:tcPr>
            <w:tcW w:w="748" w:type="dxa"/>
            <w:noWrap w:val="0"/>
            <w:vAlign w:val="center"/>
          </w:tcPr>
          <w:p w14:paraId="70ADA4F3">
            <w:pPr>
              <w:jc w:val="center"/>
              <w:rPr>
                <w:rFonts w:ascii="Times New Roman" w:hAnsi="Times New Roman" w:eastAsia="宋体" w:cs="宋体"/>
                <w:color w:val="auto"/>
                <w:sz w:val="21"/>
              </w:rPr>
            </w:pPr>
          </w:p>
        </w:tc>
        <w:tc>
          <w:tcPr>
            <w:tcW w:w="749" w:type="dxa"/>
            <w:noWrap w:val="0"/>
            <w:vAlign w:val="center"/>
          </w:tcPr>
          <w:p w14:paraId="0CDB09A9">
            <w:pPr>
              <w:jc w:val="center"/>
              <w:rPr>
                <w:rFonts w:ascii="Times New Roman" w:hAnsi="Times New Roman" w:eastAsia="宋体" w:cs="宋体"/>
                <w:color w:val="auto"/>
                <w:sz w:val="21"/>
              </w:rPr>
            </w:pPr>
          </w:p>
        </w:tc>
        <w:tc>
          <w:tcPr>
            <w:tcW w:w="749" w:type="dxa"/>
            <w:noWrap w:val="0"/>
            <w:vAlign w:val="center"/>
          </w:tcPr>
          <w:p w14:paraId="3880EC34">
            <w:pPr>
              <w:jc w:val="center"/>
              <w:rPr>
                <w:rFonts w:ascii="Times New Roman" w:hAnsi="Times New Roman" w:eastAsia="宋体" w:cs="宋体"/>
                <w:color w:val="auto"/>
                <w:sz w:val="21"/>
              </w:rPr>
            </w:pPr>
          </w:p>
        </w:tc>
        <w:tc>
          <w:tcPr>
            <w:tcW w:w="749" w:type="dxa"/>
            <w:noWrap w:val="0"/>
            <w:vAlign w:val="center"/>
          </w:tcPr>
          <w:p w14:paraId="57802B87">
            <w:pPr>
              <w:jc w:val="center"/>
              <w:rPr>
                <w:rFonts w:ascii="Times New Roman" w:hAnsi="Times New Roman" w:eastAsia="宋体" w:cs="宋体"/>
                <w:color w:val="auto"/>
                <w:sz w:val="21"/>
              </w:rPr>
            </w:pPr>
          </w:p>
        </w:tc>
        <w:tc>
          <w:tcPr>
            <w:tcW w:w="749" w:type="dxa"/>
            <w:noWrap w:val="0"/>
            <w:vAlign w:val="center"/>
          </w:tcPr>
          <w:p w14:paraId="163CEF2C">
            <w:pPr>
              <w:jc w:val="center"/>
              <w:rPr>
                <w:rFonts w:ascii="Times New Roman" w:hAnsi="Times New Roman" w:eastAsia="宋体" w:cs="宋体"/>
                <w:color w:val="auto"/>
                <w:sz w:val="21"/>
              </w:rPr>
            </w:pPr>
          </w:p>
        </w:tc>
        <w:tc>
          <w:tcPr>
            <w:tcW w:w="749" w:type="dxa"/>
            <w:noWrap w:val="0"/>
            <w:vAlign w:val="center"/>
          </w:tcPr>
          <w:p w14:paraId="74C196E3">
            <w:pPr>
              <w:jc w:val="center"/>
              <w:rPr>
                <w:rFonts w:ascii="Times New Roman" w:hAnsi="Times New Roman" w:eastAsia="宋体" w:cs="宋体"/>
                <w:color w:val="auto"/>
                <w:sz w:val="21"/>
              </w:rPr>
            </w:pPr>
          </w:p>
        </w:tc>
        <w:tc>
          <w:tcPr>
            <w:tcW w:w="748" w:type="dxa"/>
            <w:noWrap w:val="0"/>
            <w:vAlign w:val="center"/>
          </w:tcPr>
          <w:p w14:paraId="028AB925">
            <w:pPr>
              <w:jc w:val="center"/>
              <w:rPr>
                <w:rFonts w:ascii="Times New Roman" w:hAnsi="Times New Roman" w:eastAsia="宋体" w:cs="宋体"/>
                <w:color w:val="auto"/>
                <w:sz w:val="21"/>
              </w:rPr>
            </w:pPr>
          </w:p>
        </w:tc>
        <w:tc>
          <w:tcPr>
            <w:tcW w:w="749" w:type="dxa"/>
            <w:noWrap w:val="0"/>
            <w:vAlign w:val="center"/>
          </w:tcPr>
          <w:p w14:paraId="0995FD7D">
            <w:pPr>
              <w:jc w:val="center"/>
              <w:rPr>
                <w:rFonts w:ascii="Times New Roman" w:hAnsi="Times New Roman" w:eastAsia="宋体" w:cs="宋体"/>
                <w:color w:val="auto"/>
                <w:sz w:val="21"/>
              </w:rPr>
            </w:pPr>
          </w:p>
        </w:tc>
        <w:tc>
          <w:tcPr>
            <w:tcW w:w="749" w:type="dxa"/>
            <w:noWrap w:val="0"/>
            <w:vAlign w:val="center"/>
          </w:tcPr>
          <w:p w14:paraId="537D02E9">
            <w:pPr>
              <w:jc w:val="center"/>
              <w:rPr>
                <w:rFonts w:ascii="Times New Roman" w:hAnsi="Times New Roman" w:eastAsia="宋体" w:cs="宋体"/>
                <w:color w:val="auto"/>
                <w:sz w:val="21"/>
              </w:rPr>
            </w:pPr>
          </w:p>
        </w:tc>
        <w:tc>
          <w:tcPr>
            <w:tcW w:w="784" w:type="dxa"/>
            <w:noWrap w:val="0"/>
            <w:vAlign w:val="center"/>
          </w:tcPr>
          <w:p w14:paraId="18C3B3C9">
            <w:pPr>
              <w:jc w:val="center"/>
              <w:rPr>
                <w:rFonts w:ascii="Times New Roman" w:hAnsi="Times New Roman" w:eastAsia="宋体" w:cs="宋体"/>
                <w:color w:val="auto"/>
                <w:sz w:val="21"/>
              </w:rPr>
            </w:pPr>
          </w:p>
        </w:tc>
      </w:tr>
      <w:tr w14:paraId="1741B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20" w:type="dxa"/>
            <w:noWrap w:val="0"/>
            <w:vAlign w:val="center"/>
          </w:tcPr>
          <w:p w14:paraId="14929BB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578" w:type="dxa"/>
            <w:noWrap w:val="0"/>
            <w:vAlign w:val="center"/>
          </w:tcPr>
          <w:p w14:paraId="7494BE4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当期折旧费</w:t>
            </w:r>
          </w:p>
        </w:tc>
        <w:tc>
          <w:tcPr>
            <w:tcW w:w="815" w:type="dxa"/>
            <w:noWrap w:val="0"/>
            <w:vAlign w:val="center"/>
          </w:tcPr>
          <w:p w14:paraId="029CA4D1">
            <w:pPr>
              <w:jc w:val="center"/>
              <w:rPr>
                <w:rFonts w:ascii="Times New Roman" w:hAnsi="Times New Roman" w:eastAsia="宋体" w:cs="宋体"/>
                <w:color w:val="auto"/>
                <w:sz w:val="21"/>
              </w:rPr>
            </w:pPr>
          </w:p>
        </w:tc>
        <w:tc>
          <w:tcPr>
            <w:tcW w:w="748" w:type="dxa"/>
            <w:noWrap w:val="0"/>
            <w:vAlign w:val="center"/>
          </w:tcPr>
          <w:p w14:paraId="519DD87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56.74</w:t>
            </w:r>
          </w:p>
        </w:tc>
        <w:tc>
          <w:tcPr>
            <w:tcW w:w="748" w:type="dxa"/>
            <w:noWrap w:val="0"/>
            <w:vAlign w:val="center"/>
          </w:tcPr>
          <w:p w14:paraId="5D6583F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56.74</w:t>
            </w:r>
          </w:p>
        </w:tc>
        <w:tc>
          <w:tcPr>
            <w:tcW w:w="748" w:type="dxa"/>
            <w:noWrap w:val="0"/>
            <w:vAlign w:val="center"/>
          </w:tcPr>
          <w:p w14:paraId="2EE76EF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56.74</w:t>
            </w:r>
          </w:p>
        </w:tc>
        <w:tc>
          <w:tcPr>
            <w:tcW w:w="748" w:type="dxa"/>
            <w:noWrap w:val="0"/>
            <w:vAlign w:val="center"/>
          </w:tcPr>
          <w:p w14:paraId="00EC768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56.74</w:t>
            </w:r>
          </w:p>
        </w:tc>
        <w:tc>
          <w:tcPr>
            <w:tcW w:w="749" w:type="dxa"/>
            <w:noWrap w:val="0"/>
            <w:vAlign w:val="center"/>
          </w:tcPr>
          <w:p w14:paraId="4B0A60A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56.74</w:t>
            </w:r>
          </w:p>
        </w:tc>
        <w:tc>
          <w:tcPr>
            <w:tcW w:w="748" w:type="dxa"/>
            <w:noWrap w:val="0"/>
            <w:vAlign w:val="center"/>
          </w:tcPr>
          <w:p w14:paraId="16B7F6C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56.74</w:t>
            </w:r>
          </w:p>
        </w:tc>
        <w:tc>
          <w:tcPr>
            <w:tcW w:w="749" w:type="dxa"/>
            <w:noWrap w:val="0"/>
            <w:vAlign w:val="center"/>
          </w:tcPr>
          <w:p w14:paraId="4BEC4DE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56.74</w:t>
            </w:r>
          </w:p>
        </w:tc>
        <w:tc>
          <w:tcPr>
            <w:tcW w:w="749" w:type="dxa"/>
            <w:noWrap w:val="0"/>
            <w:vAlign w:val="center"/>
          </w:tcPr>
          <w:p w14:paraId="4B3D40C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56.74</w:t>
            </w:r>
          </w:p>
        </w:tc>
        <w:tc>
          <w:tcPr>
            <w:tcW w:w="749" w:type="dxa"/>
            <w:noWrap w:val="0"/>
            <w:vAlign w:val="center"/>
          </w:tcPr>
          <w:p w14:paraId="67F9290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56.74</w:t>
            </w:r>
          </w:p>
        </w:tc>
        <w:tc>
          <w:tcPr>
            <w:tcW w:w="749" w:type="dxa"/>
            <w:noWrap w:val="0"/>
            <w:vAlign w:val="center"/>
          </w:tcPr>
          <w:p w14:paraId="32B2E8A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56.74</w:t>
            </w:r>
          </w:p>
        </w:tc>
        <w:tc>
          <w:tcPr>
            <w:tcW w:w="749" w:type="dxa"/>
            <w:noWrap w:val="0"/>
            <w:vAlign w:val="center"/>
          </w:tcPr>
          <w:p w14:paraId="66ABA8A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56.74</w:t>
            </w:r>
          </w:p>
        </w:tc>
        <w:tc>
          <w:tcPr>
            <w:tcW w:w="748" w:type="dxa"/>
            <w:noWrap w:val="0"/>
            <w:vAlign w:val="center"/>
          </w:tcPr>
          <w:p w14:paraId="4E18C35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56.74</w:t>
            </w:r>
          </w:p>
        </w:tc>
        <w:tc>
          <w:tcPr>
            <w:tcW w:w="749" w:type="dxa"/>
            <w:noWrap w:val="0"/>
            <w:vAlign w:val="center"/>
          </w:tcPr>
          <w:p w14:paraId="1F8B718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56.74</w:t>
            </w:r>
          </w:p>
        </w:tc>
        <w:tc>
          <w:tcPr>
            <w:tcW w:w="749" w:type="dxa"/>
            <w:noWrap w:val="0"/>
            <w:vAlign w:val="center"/>
          </w:tcPr>
          <w:p w14:paraId="39F51C2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56.74</w:t>
            </w:r>
          </w:p>
        </w:tc>
        <w:tc>
          <w:tcPr>
            <w:tcW w:w="784" w:type="dxa"/>
            <w:noWrap w:val="0"/>
            <w:vAlign w:val="center"/>
          </w:tcPr>
          <w:p w14:paraId="25D615D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56.74</w:t>
            </w:r>
          </w:p>
        </w:tc>
      </w:tr>
      <w:tr w14:paraId="452DD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20" w:type="dxa"/>
            <w:noWrap w:val="0"/>
            <w:vAlign w:val="center"/>
          </w:tcPr>
          <w:p w14:paraId="5D8E369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578" w:type="dxa"/>
            <w:noWrap w:val="0"/>
            <w:vAlign w:val="center"/>
          </w:tcPr>
          <w:p w14:paraId="4642A6D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净值</w:t>
            </w:r>
          </w:p>
        </w:tc>
        <w:tc>
          <w:tcPr>
            <w:tcW w:w="815" w:type="dxa"/>
            <w:noWrap w:val="0"/>
            <w:vAlign w:val="center"/>
          </w:tcPr>
          <w:p w14:paraId="2896E38B">
            <w:pPr>
              <w:jc w:val="center"/>
              <w:rPr>
                <w:rFonts w:ascii="Times New Roman" w:hAnsi="Times New Roman" w:eastAsia="宋体" w:cs="宋体"/>
                <w:color w:val="auto"/>
                <w:sz w:val="21"/>
              </w:rPr>
            </w:pPr>
          </w:p>
        </w:tc>
        <w:tc>
          <w:tcPr>
            <w:tcW w:w="748" w:type="dxa"/>
            <w:noWrap w:val="0"/>
            <w:vAlign w:val="center"/>
          </w:tcPr>
          <w:p w14:paraId="0899314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1734.98</w:t>
            </w:r>
          </w:p>
        </w:tc>
        <w:tc>
          <w:tcPr>
            <w:tcW w:w="748" w:type="dxa"/>
            <w:noWrap w:val="0"/>
            <w:vAlign w:val="center"/>
          </w:tcPr>
          <w:p w14:paraId="66E821E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1678.24</w:t>
            </w:r>
          </w:p>
        </w:tc>
        <w:tc>
          <w:tcPr>
            <w:tcW w:w="748" w:type="dxa"/>
            <w:noWrap w:val="0"/>
            <w:vAlign w:val="center"/>
          </w:tcPr>
          <w:p w14:paraId="21C3874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1621.51</w:t>
            </w:r>
          </w:p>
        </w:tc>
        <w:tc>
          <w:tcPr>
            <w:tcW w:w="748" w:type="dxa"/>
            <w:noWrap w:val="0"/>
            <w:vAlign w:val="center"/>
          </w:tcPr>
          <w:p w14:paraId="4497E1F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1564.77</w:t>
            </w:r>
          </w:p>
        </w:tc>
        <w:tc>
          <w:tcPr>
            <w:tcW w:w="749" w:type="dxa"/>
            <w:noWrap w:val="0"/>
            <w:vAlign w:val="center"/>
          </w:tcPr>
          <w:p w14:paraId="11628F4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1508.03</w:t>
            </w:r>
          </w:p>
        </w:tc>
        <w:tc>
          <w:tcPr>
            <w:tcW w:w="748" w:type="dxa"/>
            <w:noWrap w:val="0"/>
            <w:vAlign w:val="center"/>
          </w:tcPr>
          <w:p w14:paraId="28B88D8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1451.29</w:t>
            </w:r>
          </w:p>
        </w:tc>
        <w:tc>
          <w:tcPr>
            <w:tcW w:w="749" w:type="dxa"/>
            <w:noWrap w:val="0"/>
            <w:vAlign w:val="center"/>
          </w:tcPr>
          <w:p w14:paraId="75C715A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1394.56</w:t>
            </w:r>
          </w:p>
        </w:tc>
        <w:tc>
          <w:tcPr>
            <w:tcW w:w="749" w:type="dxa"/>
            <w:noWrap w:val="0"/>
            <w:vAlign w:val="center"/>
          </w:tcPr>
          <w:p w14:paraId="7A75DF3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1337.82</w:t>
            </w:r>
          </w:p>
        </w:tc>
        <w:tc>
          <w:tcPr>
            <w:tcW w:w="749" w:type="dxa"/>
            <w:noWrap w:val="0"/>
            <w:vAlign w:val="center"/>
          </w:tcPr>
          <w:p w14:paraId="1CF00B4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1281.08</w:t>
            </w:r>
          </w:p>
        </w:tc>
        <w:tc>
          <w:tcPr>
            <w:tcW w:w="749" w:type="dxa"/>
            <w:noWrap w:val="0"/>
            <w:vAlign w:val="center"/>
          </w:tcPr>
          <w:p w14:paraId="1A5230F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1224.34</w:t>
            </w:r>
          </w:p>
        </w:tc>
        <w:tc>
          <w:tcPr>
            <w:tcW w:w="749" w:type="dxa"/>
            <w:noWrap w:val="0"/>
            <w:vAlign w:val="center"/>
          </w:tcPr>
          <w:p w14:paraId="0EA2ADC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1167.60</w:t>
            </w:r>
          </w:p>
        </w:tc>
        <w:tc>
          <w:tcPr>
            <w:tcW w:w="748" w:type="dxa"/>
            <w:noWrap w:val="0"/>
            <w:vAlign w:val="center"/>
          </w:tcPr>
          <w:p w14:paraId="7FFA750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1110.87</w:t>
            </w:r>
          </w:p>
        </w:tc>
        <w:tc>
          <w:tcPr>
            <w:tcW w:w="749" w:type="dxa"/>
            <w:noWrap w:val="0"/>
            <w:vAlign w:val="center"/>
          </w:tcPr>
          <w:p w14:paraId="301D511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1054.13</w:t>
            </w:r>
          </w:p>
        </w:tc>
        <w:tc>
          <w:tcPr>
            <w:tcW w:w="749" w:type="dxa"/>
            <w:noWrap w:val="0"/>
            <w:vAlign w:val="center"/>
          </w:tcPr>
          <w:p w14:paraId="0D35677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997.39</w:t>
            </w:r>
          </w:p>
        </w:tc>
        <w:tc>
          <w:tcPr>
            <w:tcW w:w="784" w:type="dxa"/>
            <w:noWrap w:val="0"/>
            <w:vAlign w:val="center"/>
          </w:tcPr>
          <w:p w14:paraId="0C18A97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940.65</w:t>
            </w:r>
          </w:p>
        </w:tc>
      </w:tr>
      <w:tr w14:paraId="253B5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20" w:type="dxa"/>
            <w:noWrap w:val="0"/>
            <w:vAlign w:val="center"/>
          </w:tcPr>
          <w:p w14:paraId="1F96ABC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3</w:t>
            </w:r>
          </w:p>
        </w:tc>
        <w:tc>
          <w:tcPr>
            <w:tcW w:w="1578" w:type="dxa"/>
            <w:noWrap w:val="0"/>
            <w:vAlign w:val="center"/>
          </w:tcPr>
          <w:p w14:paraId="3B4978A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合计</w:t>
            </w:r>
          </w:p>
        </w:tc>
        <w:tc>
          <w:tcPr>
            <w:tcW w:w="815" w:type="dxa"/>
            <w:noWrap w:val="0"/>
            <w:vAlign w:val="center"/>
          </w:tcPr>
          <w:p w14:paraId="512E7F68">
            <w:pPr>
              <w:jc w:val="center"/>
              <w:rPr>
                <w:rFonts w:ascii="Times New Roman" w:hAnsi="Times New Roman" w:eastAsia="宋体" w:cs="宋体"/>
                <w:color w:val="auto"/>
                <w:sz w:val="21"/>
              </w:rPr>
            </w:pPr>
          </w:p>
        </w:tc>
        <w:tc>
          <w:tcPr>
            <w:tcW w:w="748" w:type="dxa"/>
            <w:noWrap w:val="0"/>
            <w:vAlign w:val="center"/>
          </w:tcPr>
          <w:p w14:paraId="78DC3DF1">
            <w:pPr>
              <w:jc w:val="center"/>
              <w:rPr>
                <w:rFonts w:ascii="Times New Roman" w:hAnsi="Times New Roman" w:eastAsia="宋体" w:cs="宋体"/>
                <w:color w:val="auto"/>
                <w:sz w:val="21"/>
              </w:rPr>
            </w:pPr>
          </w:p>
        </w:tc>
        <w:tc>
          <w:tcPr>
            <w:tcW w:w="748" w:type="dxa"/>
            <w:noWrap w:val="0"/>
            <w:vAlign w:val="center"/>
          </w:tcPr>
          <w:p w14:paraId="2D5815CA">
            <w:pPr>
              <w:jc w:val="center"/>
              <w:rPr>
                <w:rFonts w:ascii="Times New Roman" w:hAnsi="Times New Roman" w:eastAsia="宋体" w:cs="宋体"/>
                <w:color w:val="auto"/>
                <w:sz w:val="21"/>
              </w:rPr>
            </w:pPr>
          </w:p>
        </w:tc>
        <w:tc>
          <w:tcPr>
            <w:tcW w:w="748" w:type="dxa"/>
            <w:noWrap w:val="0"/>
            <w:vAlign w:val="center"/>
          </w:tcPr>
          <w:p w14:paraId="46D072D9">
            <w:pPr>
              <w:jc w:val="center"/>
              <w:rPr>
                <w:rFonts w:ascii="Times New Roman" w:hAnsi="Times New Roman" w:eastAsia="宋体" w:cs="宋体"/>
                <w:color w:val="auto"/>
                <w:sz w:val="21"/>
              </w:rPr>
            </w:pPr>
          </w:p>
        </w:tc>
        <w:tc>
          <w:tcPr>
            <w:tcW w:w="748" w:type="dxa"/>
            <w:noWrap w:val="0"/>
            <w:vAlign w:val="center"/>
          </w:tcPr>
          <w:p w14:paraId="684F6E17">
            <w:pPr>
              <w:jc w:val="center"/>
              <w:rPr>
                <w:rFonts w:ascii="Times New Roman" w:hAnsi="Times New Roman" w:eastAsia="宋体" w:cs="宋体"/>
                <w:color w:val="auto"/>
                <w:sz w:val="21"/>
              </w:rPr>
            </w:pPr>
          </w:p>
        </w:tc>
        <w:tc>
          <w:tcPr>
            <w:tcW w:w="749" w:type="dxa"/>
            <w:noWrap w:val="0"/>
            <w:vAlign w:val="center"/>
          </w:tcPr>
          <w:p w14:paraId="449A2089">
            <w:pPr>
              <w:jc w:val="center"/>
              <w:rPr>
                <w:rFonts w:ascii="Times New Roman" w:hAnsi="Times New Roman" w:eastAsia="宋体" w:cs="宋体"/>
                <w:color w:val="auto"/>
                <w:sz w:val="21"/>
              </w:rPr>
            </w:pPr>
          </w:p>
        </w:tc>
        <w:tc>
          <w:tcPr>
            <w:tcW w:w="748" w:type="dxa"/>
            <w:noWrap w:val="0"/>
            <w:vAlign w:val="center"/>
          </w:tcPr>
          <w:p w14:paraId="3715D003">
            <w:pPr>
              <w:jc w:val="center"/>
              <w:rPr>
                <w:rFonts w:ascii="Times New Roman" w:hAnsi="Times New Roman" w:eastAsia="宋体" w:cs="宋体"/>
                <w:color w:val="auto"/>
                <w:sz w:val="21"/>
              </w:rPr>
            </w:pPr>
          </w:p>
        </w:tc>
        <w:tc>
          <w:tcPr>
            <w:tcW w:w="749" w:type="dxa"/>
            <w:noWrap w:val="0"/>
            <w:vAlign w:val="center"/>
          </w:tcPr>
          <w:p w14:paraId="0D8D9E5F">
            <w:pPr>
              <w:jc w:val="center"/>
              <w:rPr>
                <w:rFonts w:ascii="Times New Roman" w:hAnsi="Times New Roman" w:eastAsia="宋体" w:cs="宋体"/>
                <w:color w:val="auto"/>
                <w:sz w:val="21"/>
              </w:rPr>
            </w:pPr>
          </w:p>
        </w:tc>
        <w:tc>
          <w:tcPr>
            <w:tcW w:w="749" w:type="dxa"/>
            <w:noWrap w:val="0"/>
            <w:vAlign w:val="center"/>
          </w:tcPr>
          <w:p w14:paraId="5337F079">
            <w:pPr>
              <w:jc w:val="center"/>
              <w:rPr>
                <w:rFonts w:ascii="Times New Roman" w:hAnsi="Times New Roman" w:eastAsia="宋体" w:cs="宋体"/>
                <w:color w:val="auto"/>
                <w:sz w:val="21"/>
              </w:rPr>
            </w:pPr>
          </w:p>
        </w:tc>
        <w:tc>
          <w:tcPr>
            <w:tcW w:w="749" w:type="dxa"/>
            <w:noWrap w:val="0"/>
            <w:vAlign w:val="center"/>
          </w:tcPr>
          <w:p w14:paraId="48FFEC53">
            <w:pPr>
              <w:jc w:val="center"/>
              <w:rPr>
                <w:rFonts w:ascii="Times New Roman" w:hAnsi="Times New Roman" w:eastAsia="宋体" w:cs="宋体"/>
                <w:color w:val="auto"/>
                <w:sz w:val="21"/>
              </w:rPr>
            </w:pPr>
          </w:p>
        </w:tc>
        <w:tc>
          <w:tcPr>
            <w:tcW w:w="749" w:type="dxa"/>
            <w:noWrap w:val="0"/>
            <w:vAlign w:val="center"/>
          </w:tcPr>
          <w:p w14:paraId="0F4D0393">
            <w:pPr>
              <w:jc w:val="center"/>
              <w:rPr>
                <w:rFonts w:ascii="Times New Roman" w:hAnsi="Times New Roman" w:eastAsia="宋体" w:cs="宋体"/>
                <w:color w:val="auto"/>
                <w:sz w:val="21"/>
              </w:rPr>
            </w:pPr>
          </w:p>
        </w:tc>
        <w:tc>
          <w:tcPr>
            <w:tcW w:w="749" w:type="dxa"/>
            <w:noWrap w:val="0"/>
            <w:vAlign w:val="center"/>
          </w:tcPr>
          <w:p w14:paraId="1E9A0F3D">
            <w:pPr>
              <w:jc w:val="center"/>
              <w:rPr>
                <w:rFonts w:ascii="Times New Roman" w:hAnsi="Times New Roman" w:eastAsia="宋体" w:cs="宋体"/>
                <w:color w:val="auto"/>
                <w:sz w:val="21"/>
              </w:rPr>
            </w:pPr>
          </w:p>
        </w:tc>
        <w:tc>
          <w:tcPr>
            <w:tcW w:w="748" w:type="dxa"/>
            <w:noWrap w:val="0"/>
            <w:vAlign w:val="center"/>
          </w:tcPr>
          <w:p w14:paraId="20157D44">
            <w:pPr>
              <w:jc w:val="center"/>
              <w:rPr>
                <w:rFonts w:ascii="Times New Roman" w:hAnsi="Times New Roman" w:eastAsia="宋体" w:cs="宋体"/>
                <w:color w:val="auto"/>
                <w:sz w:val="21"/>
              </w:rPr>
            </w:pPr>
          </w:p>
        </w:tc>
        <w:tc>
          <w:tcPr>
            <w:tcW w:w="749" w:type="dxa"/>
            <w:noWrap w:val="0"/>
            <w:vAlign w:val="center"/>
          </w:tcPr>
          <w:p w14:paraId="220AA6FB">
            <w:pPr>
              <w:jc w:val="center"/>
              <w:rPr>
                <w:rFonts w:ascii="Times New Roman" w:hAnsi="Times New Roman" w:eastAsia="宋体" w:cs="宋体"/>
                <w:color w:val="auto"/>
                <w:sz w:val="21"/>
              </w:rPr>
            </w:pPr>
          </w:p>
        </w:tc>
        <w:tc>
          <w:tcPr>
            <w:tcW w:w="749" w:type="dxa"/>
            <w:noWrap w:val="0"/>
            <w:vAlign w:val="center"/>
          </w:tcPr>
          <w:p w14:paraId="53F666DD">
            <w:pPr>
              <w:jc w:val="center"/>
              <w:rPr>
                <w:rFonts w:ascii="Times New Roman" w:hAnsi="Times New Roman" w:eastAsia="宋体" w:cs="宋体"/>
                <w:color w:val="auto"/>
                <w:sz w:val="21"/>
              </w:rPr>
            </w:pPr>
          </w:p>
        </w:tc>
        <w:tc>
          <w:tcPr>
            <w:tcW w:w="784" w:type="dxa"/>
            <w:noWrap w:val="0"/>
            <w:vAlign w:val="center"/>
          </w:tcPr>
          <w:p w14:paraId="04FCD9AC">
            <w:pPr>
              <w:jc w:val="center"/>
              <w:rPr>
                <w:rFonts w:ascii="Times New Roman" w:hAnsi="Times New Roman" w:eastAsia="宋体" w:cs="宋体"/>
                <w:color w:val="auto"/>
                <w:sz w:val="21"/>
              </w:rPr>
            </w:pPr>
          </w:p>
        </w:tc>
      </w:tr>
      <w:tr w14:paraId="76E64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20" w:type="dxa"/>
            <w:noWrap w:val="0"/>
            <w:vAlign w:val="center"/>
          </w:tcPr>
          <w:p w14:paraId="326A96F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578" w:type="dxa"/>
            <w:noWrap w:val="0"/>
            <w:vAlign w:val="center"/>
          </w:tcPr>
          <w:p w14:paraId="6E87CAD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4"/>
                <w:sz w:val="21"/>
                <w:szCs w:val="14"/>
              </w:rPr>
              <w:t>原值</w:t>
            </w:r>
          </w:p>
        </w:tc>
        <w:tc>
          <w:tcPr>
            <w:tcW w:w="815" w:type="dxa"/>
            <w:noWrap w:val="0"/>
            <w:vAlign w:val="center"/>
          </w:tcPr>
          <w:p w14:paraId="1A673253">
            <w:pPr>
              <w:jc w:val="center"/>
              <w:rPr>
                <w:rFonts w:ascii="Times New Roman" w:hAnsi="Times New Roman" w:eastAsia="宋体" w:cs="宋体"/>
                <w:color w:val="auto"/>
                <w:sz w:val="21"/>
              </w:rPr>
            </w:pPr>
          </w:p>
        </w:tc>
        <w:tc>
          <w:tcPr>
            <w:tcW w:w="748" w:type="dxa"/>
            <w:noWrap w:val="0"/>
            <w:vAlign w:val="center"/>
          </w:tcPr>
          <w:p w14:paraId="0DB3866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4059.25</w:t>
            </w:r>
          </w:p>
        </w:tc>
        <w:tc>
          <w:tcPr>
            <w:tcW w:w="748" w:type="dxa"/>
            <w:noWrap w:val="0"/>
            <w:vAlign w:val="center"/>
          </w:tcPr>
          <w:p w14:paraId="62FF7F00">
            <w:pPr>
              <w:jc w:val="center"/>
              <w:rPr>
                <w:rFonts w:ascii="Times New Roman" w:hAnsi="Times New Roman" w:eastAsia="宋体" w:cs="宋体"/>
                <w:color w:val="auto"/>
                <w:sz w:val="21"/>
              </w:rPr>
            </w:pPr>
          </w:p>
        </w:tc>
        <w:tc>
          <w:tcPr>
            <w:tcW w:w="748" w:type="dxa"/>
            <w:noWrap w:val="0"/>
            <w:vAlign w:val="center"/>
          </w:tcPr>
          <w:p w14:paraId="6750E358">
            <w:pPr>
              <w:jc w:val="center"/>
              <w:rPr>
                <w:rFonts w:ascii="Times New Roman" w:hAnsi="Times New Roman" w:eastAsia="宋体" w:cs="宋体"/>
                <w:color w:val="auto"/>
                <w:sz w:val="21"/>
              </w:rPr>
            </w:pPr>
          </w:p>
        </w:tc>
        <w:tc>
          <w:tcPr>
            <w:tcW w:w="748" w:type="dxa"/>
            <w:noWrap w:val="0"/>
            <w:vAlign w:val="center"/>
          </w:tcPr>
          <w:p w14:paraId="5809E0B6">
            <w:pPr>
              <w:jc w:val="center"/>
              <w:rPr>
                <w:rFonts w:ascii="Times New Roman" w:hAnsi="Times New Roman" w:eastAsia="宋体" w:cs="宋体"/>
                <w:color w:val="auto"/>
                <w:sz w:val="21"/>
              </w:rPr>
            </w:pPr>
          </w:p>
        </w:tc>
        <w:tc>
          <w:tcPr>
            <w:tcW w:w="749" w:type="dxa"/>
            <w:noWrap w:val="0"/>
            <w:vAlign w:val="center"/>
          </w:tcPr>
          <w:p w14:paraId="7F0F89B1">
            <w:pPr>
              <w:jc w:val="center"/>
              <w:rPr>
                <w:rFonts w:ascii="Times New Roman" w:hAnsi="Times New Roman" w:eastAsia="宋体" w:cs="宋体"/>
                <w:color w:val="auto"/>
                <w:sz w:val="21"/>
              </w:rPr>
            </w:pPr>
          </w:p>
        </w:tc>
        <w:tc>
          <w:tcPr>
            <w:tcW w:w="748" w:type="dxa"/>
            <w:noWrap w:val="0"/>
            <w:vAlign w:val="center"/>
          </w:tcPr>
          <w:p w14:paraId="2B38B31F">
            <w:pPr>
              <w:jc w:val="center"/>
              <w:rPr>
                <w:rFonts w:ascii="Times New Roman" w:hAnsi="Times New Roman" w:eastAsia="宋体" w:cs="宋体"/>
                <w:color w:val="auto"/>
                <w:sz w:val="21"/>
              </w:rPr>
            </w:pPr>
          </w:p>
        </w:tc>
        <w:tc>
          <w:tcPr>
            <w:tcW w:w="749" w:type="dxa"/>
            <w:noWrap w:val="0"/>
            <w:vAlign w:val="center"/>
          </w:tcPr>
          <w:p w14:paraId="548FBB4A">
            <w:pPr>
              <w:jc w:val="center"/>
              <w:rPr>
                <w:rFonts w:ascii="Times New Roman" w:hAnsi="Times New Roman" w:eastAsia="宋体" w:cs="宋体"/>
                <w:color w:val="auto"/>
                <w:sz w:val="21"/>
              </w:rPr>
            </w:pPr>
          </w:p>
        </w:tc>
        <w:tc>
          <w:tcPr>
            <w:tcW w:w="749" w:type="dxa"/>
            <w:noWrap w:val="0"/>
            <w:vAlign w:val="center"/>
          </w:tcPr>
          <w:p w14:paraId="73DDFDE5">
            <w:pPr>
              <w:jc w:val="center"/>
              <w:rPr>
                <w:rFonts w:ascii="Times New Roman" w:hAnsi="Times New Roman" w:eastAsia="宋体" w:cs="宋体"/>
                <w:color w:val="auto"/>
                <w:sz w:val="21"/>
              </w:rPr>
            </w:pPr>
          </w:p>
        </w:tc>
        <w:tc>
          <w:tcPr>
            <w:tcW w:w="749" w:type="dxa"/>
            <w:noWrap w:val="0"/>
            <w:vAlign w:val="center"/>
          </w:tcPr>
          <w:p w14:paraId="74744DE5">
            <w:pPr>
              <w:jc w:val="center"/>
              <w:rPr>
                <w:rFonts w:ascii="Times New Roman" w:hAnsi="Times New Roman" w:eastAsia="宋体" w:cs="宋体"/>
                <w:color w:val="auto"/>
                <w:sz w:val="21"/>
              </w:rPr>
            </w:pPr>
          </w:p>
        </w:tc>
        <w:tc>
          <w:tcPr>
            <w:tcW w:w="749" w:type="dxa"/>
            <w:noWrap w:val="0"/>
            <w:vAlign w:val="center"/>
          </w:tcPr>
          <w:p w14:paraId="6E23CE5D">
            <w:pPr>
              <w:jc w:val="center"/>
              <w:rPr>
                <w:rFonts w:ascii="Times New Roman" w:hAnsi="Times New Roman" w:eastAsia="宋体" w:cs="宋体"/>
                <w:color w:val="auto"/>
                <w:sz w:val="21"/>
              </w:rPr>
            </w:pPr>
          </w:p>
        </w:tc>
        <w:tc>
          <w:tcPr>
            <w:tcW w:w="749" w:type="dxa"/>
            <w:noWrap w:val="0"/>
            <w:vAlign w:val="center"/>
          </w:tcPr>
          <w:p w14:paraId="5893B2B5">
            <w:pPr>
              <w:jc w:val="center"/>
              <w:rPr>
                <w:rFonts w:ascii="Times New Roman" w:hAnsi="Times New Roman" w:eastAsia="宋体" w:cs="宋体"/>
                <w:color w:val="auto"/>
                <w:sz w:val="21"/>
              </w:rPr>
            </w:pPr>
          </w:p>
        </w:tc>
        <w:tc>
          <w:tcPr>
            <w:tcW w:w="748" w:type="dxa"/>
            <w:noWrap w:val="0"/>
            <w:vAlign w:val="center"/>
          </w:tcPr>
          <w:p w14:paraId="2A809B21">
            <w:pPr>
              <w:jc w:val="center"/>
              <w:rPr>
                <w:rFonts w:ascii="Times New Roman" w:hAnsi="Times New Roman" w:eastAsia="宋体" w:cs="宋体"/>
                <w:color w:val="auto"/>
                <w:sz w:val="21"/>
              </w:rPr>
            </w:pPr>
          </w:p>
        </w:tc>
        <w:tc>
          <w:tcPr>
            <w:tcW w:w="749" w:type="dxa"/>
            <w:noWrap w:val="0"/>
            <w:vAlign w:val="center"/>
          </w:tcPr>
          <w:p w14:paraId="722E80AB">
            <w:pPr>
              <w:jc w:val="center"/>
              <w:rPr>
                <w:rFonts w:ascii="Times New Roman" w:hAnsi="Times New Roman" w:eastAsia="宋体" w:cs="宋体"/>
                <w:color w:val="auto"/>
                <w:sz w:val="21"/>
              </w:rPr>
            </w:pPr>
          </w:p>
        </w:tc>
        <w:tc>
          <w:tcPr>
            <w:tcW w:w="749" w:type="dxa"/>
            <w:noWrap w:val="0"/>
            <w:vAlign w:val="center"/>
          </w:tcPr>
          <w:p w14:paraId="6C4E5C04">
            <w:pPr>
              <w:jc w:val="center"/>
              <w:rPr>
                <w:rFonts w:ascii="Times New Roman" w:hAnsi="Times New Roman" w:eastAsia="宋体" w:cs="宋体"/>
                <w:color w:val="auto"/>
                <w:sz w:val="21"/>
              </w:rPr>
            </w:pPr>
          </w:p>
        </w:tc>
        <w:tc>
          <w:tcPr>
            <w:tcW w:w="784" w:type="dxa"/>
            <w:noWrap w:val="0"/>
            <w:vAlign w:val="center"/>
          </w:tcPr>
          <w:p w14:paraId="6A1F0FBC">
            <w:pPr>
              <w:jc w:val="center"/>
              <w:rPr>
                <w:rFonts w:ascii="Times New Roman" w:hAnsi="Times New Roman" w:eastAsia="宋体" w:cs="宋体"/>
                <w:color w:val="auto"/>
                <w:sz w:val="21"/>
              </w:rPr>
            </w:pPr>
          </w:p>
        </w:tc>
      </w:tr>
      <w:tr w14:paraId="19CBE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20" w:type="dxa"/>
            <w:noWrap w:val="0"/>
            <w:vAlign w:val="center"/>
          </w:tcPr>
          <w:p w14:paraId="7B53679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578" w:type="dxa"/>
            <w:noWrap w:val="0"/>
            <w:vAlign w:val="center"/>
          </w:tcPr>
          <w:p w14:paraId="471E1A7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当期折旧费</w:t>
            </w:r>
          </w:p>
        </w:tc>
        <w:tc>
          <w:tcPr>
            <w:tcW w:w="815" w:type="dxa"/>
            <w:noWrap w:val="0"/>
            <w:vAlign w:val="center"/>
          </w:tcPr>
          <w:p w14:paraId="515B385B">
            <w:pPr>
              <w:jc w:val="center"/>
              <w:rPr>
                <w:rFonts w:ascii="Times New Roman" w:hAnsi="Times New Roman" w:eastAsia="宋体" w:cs="宋体"/>
                <w:color w:val="auto"/>
                <w:sz w:val="21"/>
              </w:rPr>
            </w:pPr>
          </w:p>
        </w:tc>
        <w:tc>
          <w:tcPr>
            <w:tcW w:w="748" w:type="dxa"/>
            <w:noWrap w:val="0"/>
            <w:vAlign w:val="center"/>
          </w:tcPr>
          <w:p w14:paraId="2E208BB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99.78</w:t>
            </w:r>
          </w:p>
        </w:tc>
        <w:tc>
          <w:tcPr>
            <w:tcW w:w="748" w:type="dxa"/>
            <w:noWrap w:val="0"/>
            <w:vAlign w:val="center"/>
          </w:tcPr>
          <w:p w14:paraId="108A039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99.78</w:t>
            </w:r>
          </w:p>
        </w:tc>
        <w:tc>
          <w:tcPr>
            <w:tcW w:w="748" w:type="dxa"/>
            <w:noWrap w:val="0"/>
            <w:vAlign w:val="center"/>
          </w:tcPr>
          <w:p w14:paraId="25FBCE5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99.78</w:t>
            </w:r>
          </w:p>
        </w:tc>
        <w:tc>
          <w:tcPr>
            <w:tcW w:w="748" w:type="dxa"/>
            <w:noWrap w:val="0"/>
            <w:vAlign w:val="center"/>
          </w:tcPr>
          <w:p w14:paraId="099A0FB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99.78</w:t>
            </w:r>
          </w:p>
        </w:tc>
        <w:tc>
          <w:tcPr>
            <w:tcW w:w="749" w:type="dxa"/>
            <w:noWrap w:val="0"/>
            <w:vAlign w:val="center"/>
          </w:tcPr>
          <w:p w14:paraId="57201F8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99.78</w:t>
            </w:r>
          </w:p>
        </w:tc>
        <w:tc>
          <w:tcPr>
            <w:tcW w:w="748" w:type="dxa"/>
            <w:noWrap w:val="0"/>
            <w:vAlign w:val="center"/>
          </w:tcPr>
          <w:p w14:paraId="4F07E7E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99.78</w:t>
            </w:r>
          </w:p>
        </w:tc>
        <w:tc>
          <w:tcPr>
            <w:tcW w:w="749" w:type="dxa"/>
            <w:noWrap w:val="0"/>
            <w:vAlign w:val="center"/>
          </w:tcPr>
          <w:p w14:paraId="5EB5BF9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99.78</w:t>
            </w:r>
          </w:p>
        </w:tc>
        <w:tc>
          <w:tcPr>
            <w:tcW w:w="749" w:type="dxa"/>
            <w:noWrap w:val="0"/>
            <w:vAlign w:val="center"/>
          </w:tcPr>
          <w:p w14:paraId="2E2EA13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99.78</w:t>
            </w:r>
          </w:p>
        </w:tc>
        <w:tc>
          <w:tcPr>
            <w:tcW w:w="749" w:type="dxa"/>
            <w:noWrap w:val="0"/>
            <w:vAlign w:val="center"/>
          </w:tcPr>
          <w:p w14:paraId="1BD44F7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99.78</w:t>
            </w:r>
          </w:p>
        </w:tc>
        <w:tc>
          <w:tcPr>
            <w:tcW w:w="749" w:type="dxa"/>
            <w:noWrap w:val="0"/>
            <w:vAlign w:val="center"/>
          </w:tcPr>
          <w:p w14:paraId="7BEE816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99.78</w:t>
            </w:r>
          </w:p>
        </w:tc>
        <w:tc>
          <w:tcPr>
            <w:tcW w:w="749" w:type="dxa"/>
            <w:noWrap w:val="0"/>
            <w:vAlign w:val="center"/>
          </w:tcPr>
          <w:p w14:paraId="1EB2E36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99.78</w:t>
            </w:r>
          </w:p>
        </w:tc>
        <w:tc>
          <w:tcPr>
            <w:tcW w:w="748" w:type="dxa"/>
            <w:noWrap w:val="0"/>
            <w:vAlign w:val="center"/>
          </w:tcPr>
          <w:p w14:paraId="08C54F5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99.78</w:t>
            </w:r>
          </w:p>
        </w:tc>
        <w:tc>
          <w:tcPr>
            <w:tcW w:w="749" w:type="dxa"/>
            <w:noWrap w:val="0"/>
            <w:vAlign w:val="center"/>
          </w:tcPr>
          <w:p w14:paraId="08DDC73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99.78</w:t>
            </w:r>
          </w:p>
        </w:tc>
        <w:tc>
          <w:tcPr>
            <w:tcW w:w="749" w:type="dxa"/>
            <w:noWrap w:val="0"/>
            <w:vAlign w:val="center"/>
          </w:tcPr>
          <w:p w14:paraId="5416B27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99.78</w:t>
            </w:r>
          </w:p>
        </w:tc>
        <w:tc>
          <w:tcPr>
            <w:tcW w:w="784" w:type="dxa"/>
            <w:noWrap w:val="0"/>
            <w:vAlign w:val="center"/>
          </w:tcPr>
          <w:p w14:paraId="655590D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99.78</w:t>
            </w:r>
          </w:p>
        </w:tc>
      </w:tr>
      <w:tr w14:paraId="431DA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20" w:type="dxa"/>
            <w:noWrap w:val="0"/>
            <w:vAlign w:val="center"/>
          </w:tcPr>
          <w:p w14:paraId="242FC07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578" w:type="dxa"/>
            <w:noWrap w:val="0"/>
            <w:vAlign w:val="center"/>
          </w:tcPr>
          <w:p w14:paraId="3D6F41E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净值</w:t>
            </w:r>
          </w:p>
        </w:tc>
        <w:tc>
          <w:tcPr>
            <w:tcW w:w="815" w:type="dxa"/>
            <w:noWrap w:val="0"/>
            <w:vAlign w:val="center"/>
          </w:tcPr>
          <w:p w14:paraId="63D7DF76">
            <w:pPr>
              <w:jc w:val="center"/>
              <w:rPr>
                <w:rFonts w:ascii="Times New Roman" w:hAnsi="Times New Roman" w:eastAsia="宋体" w:cs="宋体"/>
                <w:color w:val="auto"/>
                <w:sz w:val="21"/>
              </w:rPr>
            </w:pPr>
          </w:p>
        </w:tc>
        <w:tc>
          <w:tcPr>
            <w:tcW w:w="748" w:type="dxa"/>
            <w:noWrap w:val="0"/>
            <w:vAlign w:val="center"/>
          </w:tcPr>
          <w:p w14:paraId="1E3A53B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3959.47</w:t>
            </w:r>
          </w:p>
        </w:tc>
        <w:tc>
          <w:tcPr>
            <w:tcW w:w="748" w:type="dxa"/>
            <w:noWrap w:val="0"/>
            <w:vAlign w:val="center"/>
          </w:tcPr>
          <w:p w14:paraId="18DB0BD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3859.70</w:t>
            </w:r>
          </w:p>
        </w:tc>
        <w:tc>
          <w:tcPr>
            <w:tcW w:w="748" w:type="dxa"/>
            <w:noWrap w:val="0"/>
            <w:vAlign w:val="center"/>
          </w:tcPr>
          <w:p w14:paraId="529E4A8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3759.92</w:t>
            </w:r>
          </w:p>
        </w:tc>
        <w:tc>
          <w:tcPr>
            <w:tcW w:w="748" w:type="dxa"/>
            <w:noWrap w:val="0"/>
            <w:vAlign w:val="center"/>
          </w:tcPr>
          <w:p w14:paraId="483D930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3660.15</w:t>
            </w:r>
          </w:p>
        </w:tc>
        <w:tc>
          <w:tcPr>
            <w:tcW w:w="749" w:type="dxa"/>
            <w:noWrap w:val="0"/>
            <w:vAlign w:val="center"/>
          </w:tcPr>
          <w:p w14:paraId="7A0700B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3560.37</w:t>
            </w:r>
          </w:p>
        </w:tc>
        <w:tc>
          <w:tcPr>
            <w:tcW w:w="748" w:type="dxa"/>
            <w:noWrap w:val="0"/>
            <w:vAlign w:val="center"/>
          </w:tcPr>
          <w:p w14:paraId="5DC369A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3460.60</w:t>
            </w:r>
          </w:p>
        </w:tc>
        <w:tc>
          <w:tcPr>
            <w:tcW w:w="749" w:type="dxa"/>
            <w:noWrap w:val="0"/>
            <w:vAlign w:val="center"/>
          </w:tcPr>
          <w:p w14:paraId="2F827F3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3360.82</w:t>
            </w:r>
          </w:p>
        </w:tc>
        <w:tc>
          <w:tcPr>
            <w:tcW w:w="749" w:type="dxa"/>
            <w:noWrap w:val="0"/>
            <w:vAlign w:val="center"/>
          </w:tcPr>
          <w:p w14:paraId="3B19522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3261.05</w:t>
            </w:r>
          </w:p>
        </w:tc>
        <w:tc>
          <w:tcPr>
            <w:tcW w:w="749" w:type="dxa"/>
            <w:noWrap w:val="0"/>
            <w:vAlign w:val="center"/>
          </w:tcPr>
          <w:p w14:paraId="3E53DA5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3161.27</w:t>
            </w:r>
          </w:p>
        </w:tc>
        <w:tc>
          <w:tcPr>
            <w:tcW w:w="749" w:type="dxa"/>
            <w:noWrap w:val="0"/>
            <w:vAlign w:val="center"/>
          </w:tcPr>
          <w:p w14:paraId="779C181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3061.49</w:t>
            </w:r>
          </w:p>
        </w:tc>
        <w:tc>
          <w:tcPr>
            <w:tcW w:w="749" w:type="dxa"/>
            <w:noWrap w:val="0"/>
            <w:vAlign w:val="center"/>
          </w:tcPr>
          <w:p w14:paraId="74F604F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2961.72</w:t>
            </w:r>
          </w:p>
        </w:tc>
        <w:tc>
          <w:tcPr>
            <w:tcW w:w="748" w:type="dxa"/>
            <w:noWrap w:val="0"/>
            <w:vAlign w:val="center"/>
          </w:tcPr>
          <w:p w14:paraId="2AEA2DB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2861.94</w:t>
            </w:r>
          </w:p>
        </w:tc>
        <w:tc>
          <w:tcPr>
            <w:tcW w:w="749" w:type="dxa"/>
            <w:noWrap w:val="0"/>
            <w:vAlign w:val="center"/>
          </w:tcPr>
          <w:p w14:paraId="3DF8460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2762.17</w:t>
            </w:r>
          </w:p>
        </w:tc>
        <w:tc>
          <w:tcPr>
            <w:tcW w:w="749" w:type="dxa"/>
            <w:noWrap w:val="0"/>
            <w:vAlign w:val="center"/>
          </w:tcPr>
          <w:p w14:paraId="2003ACB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2662.39</w:t>
            </w:r>
          </w:p>
        </w:tc>
        <w:tc>
          <w:tcPr>
            <w:tcW w:w="784" w:type="dxa"/>
            <w:noWrap w:val="0"/>
            <w:vAlign w:val="center"/>
          </w:tcPr>
          <w:p w14:paraId="4B7DA45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2562.62</w:t>
            </w:r>
          </w:p>
        </w:tc>
      </w:tr>
    </w:tbl>
    <w:p w14:paraId="4DC60A03">
      <w:pPr>
        <w:pStyle w:val="12"/>
        <w:rPr>
          <w:rFonts w:ascii="Times New Roman" w:hAnsi="Times New Roman" w:eastAsia="宋体" w:cs="宋体"/>
          <w:color w:val="auto"/>
        </w:rPr>
      </w:pPr>
    </w:p>
    <w:p w14:paraId="28C9BAC9">
      <w:pPr>
        <w:rPr>
          <w:rFonts w:ascii="Times New Roman" w:hAnsi="Times New Roman" w:eastAsia="宋体" w:cs="宋体"/>
          <w:color w:val="auto"/>
        </w:rPr>
        <w:sectPr>
          <w:headerReference r:id="rId26" w:type="default"/>
          <w:footerReference r:id="rId27" w:type="default"/>
          <w:pgSz w:w="16840" w:h="11907"/>
          <w:pgMar w:top="1340" w:right="1330" w:bottom="1148" w:left="1327" w:header="1068" w:footer="961" w:gutter="0"/>
          <w:pgBorders w:offsetFrom="page">
            <w:top w:val="none" w:sz="0" w:space="0"/>
            <w:left w:val="none" w:sz="0" w:space="0"/>
            <w:bottom w:val="none" w:sz="0" w:space="0"/>
            <w:right w:val="none" w:sz="0" w:space="0"/>
          </w:pgBorders>
          <w:pgNumType w:fmt="decimal"/>
          <w:cols w:space="720" w:num="1"/>
        </w:sectPr>
      </w:pPr>
    </w:p>
    <w:p w14:paraId="6CFD4C6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附表5：外购原材料费估算表</w:t>
      </w:r>
    </w:p>
    <w:tbl>
      <w:tblPr>
        <w:tblStyle w:val="26"/>
        <w:tblW w:w="141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6"/>
        <w:gridCol w:w="1883"/>
        <w:gridCol w:w="779"/>
        <w:gridCol w:w="781"/>
        <w:gridCol w:w="781"/>
        <w:gridCol w:w="781"/>
        <w:gridCol w:w="781"/>
        <w:gridCol w:w="781"/>
        <w:gridCol w:w="781"/>
        <w:gridCol w:w="781"/>
        <w:gridCol w:w="781"/>
        <w:gridCol w:w="781"/>
        <w:gridCol w:w="782"/>
        <w:gridCol w:w="781"/>
        <w:gridCol w:w="781"/>
        <w:gridCol w:w="782"/>
        <w:gridCol w:w="834"/>
      </w:tblGrid>
      <w:tr w14:paraId="4360C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526" w:type="dxa"/>
            <w:vMerge w:val="restart"/>
            <w:tcBorders>
              <w:bottom w:val="nil"/>
            </w:tcBorders>
            <w:noWrap w:val="0"/>
            <w:vAlign w:val="center"/>
          </w:tcPr>
          <w:p w14:paraId="6E2BEAC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序号</w:t>
            </w:r>
          </w:p>
        </w:tc>
        <w:tc>
          <w:tcPr>
            <w:tcW w:w="1883" w:type="dxa"/>
            <w:vMerge w:val="restart"/>
            <w:tcBorders>
              <w:bottom w:val="nil"/>
            </w:tcBorders>
            <w:noWrap w:val="0"/>
            <w:vAlign w:val="center"/>
          </w:tcPr>
          <w:p w14:paraId="1BF109A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项目</w:t>
            </w:r>
          </w:p>
        </w:tc>
        <w:tc>
          <w:tcPr>
            <w:tcW w:w="779" w:type="dxa"/>
            <w:vMerge w:val="restart"/>
            <w:tcBorders>
              <w:bottom w:val="nil"/>
            </w:tcBorders>
            <w:noWrap w:val="0"/>
            <w:vAlign w:val="center"/>
          </w:tcPr>
          <w:p w14:paraId="030BB59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合计</w:t>
            </w:r>
          </w:p>
        </w:tc>
        <w:tc>
          <w:tcPr>
            <w:tcW w:w="10989" w:type="dxa"/>
            <w:gridSpan w:val="14"/>
            <w:noWrap w:val="0"/>
            <w:vAlign w:val="center"/>
          </w:tcPr>
          <w:p w14:paraId="55C9257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运营期</w:t>
            </w:r>
          </w:p>
        </w:tc>
      </w:tr>
      <w:tr w14:paraId="2F476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26" w:type="dxa"/>
            <w:vMerge w:val="continue"/>
            <w:tcBorders>
              <w:top w:val="nil"/>
            </w:tcBorders>
            <w:noWrap w:val="0"/>
            <w:vAlign w:val="center"/>
          </w:tcPr>
          <w:p w14:paraId="7A44BF2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883" w:type="dxa"/>
            <w:vMerge w:val="continue"/>
            <w:tcBorders>
              <w:top w:val="nil"/>
            </w:tcBorders>
            <w:noWrap w:val="0"/>
            <w:vAlign w:val="center"/>
          </w:tcPr>
          <w:p w14:paraId="6CC926C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779" w:type="dxa"/>
            <w:vMerge w:val="continue"/>
            <w:tcBorders>
              <w:top w:val="nil"/>
            </w:tcBorders>
            <w:noWrap w:val="0"/>
            <w:vAlign w:val="center"/>
          </w:tcPr>
          <w:p w14:paraId="799180D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781" w:type="dxa"/>
            <w:noWrap w:val="0"/>
            <w:vAlign w:val="center"/>
          </w:tcPr>
          <w:p w14:paraId="58BE10C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w:t>
            </w:r>
          </w:p>
        </w:tc>
        <w:tc>
          <w:tcPr>
            <w:tcW w:w="781" w:type="dxa"/>
            <w:noWrap w:val="0"/>
            <w:vAlign w:val="center"/>
          </w:tcPr>
          <w:p w14:paraId="2224AB9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3</w:t>
            </w:r>
          </w:p>
        </w:tc>
        <w:tc>
          <w:tcPr>
            <w:tcW w:w="781" w:type="dxa"/>
            <w:noWrap w:val="0"/>
            <w:vAlign w:val="center"/>
          </w:tcPr>
          <w:p w14:paraId="4E8ACC0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4</w:t>
            </w:r>
          </w:p>
        </w:tc>
        <w:tc>
          <w:tcPr>
            <w:tcW w:w="781" w:type="dxa"/>
            <w:noWrap w:val="0"/>
            <w:vAlign w:val="center"/>
          </w:tcPr>
          <w:p w14:paraId="0369372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5</w:t>
            </w:r>
          </w:p>
        </w:tc>
        <w:tc>
          <w:tcPr>
            <w:tcW w:w="781" w:type="dxa"/>
            <w:noWrap w:val="0"/>
            <w:vAlign w:val="center"/>
          </w:tcPr>
          <w:p w14:paraId="77B44A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6</w:t>
            </w:r>
          </w:p>
        </w:tc>
        <w:tc>
          <w:tcPr>
            <w:tcW w:w="781" w:type="dxa"/>
            <w:noWrap w:val="0"/>
            <w:vAlign w:val="center"/>
          </w:tcPr>
          <w:p w14:paraId="00CF301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7</w:t>
            </w:r>
          </w:p>
        </w:tc>
        <w:tc>
          <w:tcPr>
            <w:tcW w:w="781" w:type="dxa"/>
            <w:noWrap w:val="0"/>
            <w:vAlign w:val="center"/>
          </w:tcPr>
          <w:p w14:paraId="193B205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8</w:t>
            </w:r>
          </w:p>
        </w:tc>
        <w:tc>
          <w:tcPr>
            <w:tcW w:w="781" w:type="dxa"/>
            <w:noWrap w:val="0"/>
            <w:vAlign w:val="center"/>
          </w:tcPr>
          <w:p w14:paraId="4C80426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9</w:t>
            </w:r>
          </w:p>
        </w:tc>
        <w:tc>
          <w:tcPr>
            <w:tcW w:w="781" w:type="dxa"/>
            <w:noWrap w:val="0"/>
            <w:vAlign w:val="center"/>
          </w:tcPr>
          <w:p w14:paraId="36FECEC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10</w:t>
            </w:r>
          </w:p>
        </w:tc>
        <w:tc>
          <w:tcPr>
            <w:tcW w:w="782" w:type="dxa"/>
            <w:noWrap w:val="0"/>
            <w:vAlign w:val="center"/>
          </w:tcPr>
          <w:p w14:paraId="45264C4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11</w:t>
            </w:r>
          </w:p>
        </w:tc>
        <w:tc>
          <w:tcPr>
            <w:tcW w:w="781" w:type="dxa"/>
            <w:noWrap w:val="0"/>
            <w:vAlign w:val="center"/>
          </w:tcPr>
          <w:p w14:paraId="3A72BE1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12</w:t>
            </w:r>
          </w:p>
        </w:tc>
        <w:tc>
          <w:tcPr>
            <w:tcW w:w="781" w:type="dxa"/>
            <w:noWrap w:val="0"/>
            <w:vAlign w:val="center"/>
          </w:tcPr>
          <w:p w14:paraId="7DBC298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13</w:t>
            </w:r>
          </w:p>
        </w:tc>
        <w:tc>
          <w:tcPr>
            <w:tcW w:w="782" w:type="dxa"/>
            <w:noWrap w:val="0"/>
            <w:vAlign w:val="center"/>
          </w:tcPr>
          <w:p w14:paraId="4BC6428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14</w:t>
            </w:r>
          </w:p>
        </w:tc>
        <w:tc>
          <w:tcPr>
            <w:tcW w:w="834" w:type="dxa"/>
            <w:noWrap w:val="0"/>
            <w:vAlign w:val="center"/>
          </w:tcPr>
          <w:p w14:paraId="5305359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15</w:t>
            </w:r>
          </w:p>
        </w:tc>
      </w:tr>
      <w:tr w14:paraId="313CF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26" w:type="dxa"/>
            <w:noWrap w:val="0"/>
            <w:vAlign w:val="center"/>
          </w:tcPr>
          <w:p w14:paraId="38361FE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883" w:type="dxa"/>
            <w:noWrap w:val="0"/>
            <w:vAlign w:val="center"/>
          </w:tcPr>
          <w:p w14:paraId="6B69F48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生产负荷</w:t>
            </w:r>
          </w:p>
        </w:tc>
        <w:tc>
          <w:tcPr>
            <w:tcW w:w="779" w:type="dxa"/>
            <w:noWrap w:val="0"/>
            <w:vAlign w:val="center"/>
          </w:tcPr>
          <w:p w14:paraId="3B7259C8">
            <w:pPr>
              <w:jc w:val="center"/>
              <w:rPr>
                <w:rFonts w:ascii="Times New Roman" w:hAnsi="Times New Roman" w:eastAsia="宋体" w:cs="宋体"/>
                <w:color w:val="auto"/>
                <w:sz w:val="21"/>
              </w:rPr>
            </w:pPr>
          </w:p>
        </w:tc>
        <w:tc>
          <w:tcPr>
            <w:tcW w:w="781" w:type="dxa"/>
            <w:noWrap w:val="0"/>
            <w:vAlign w:val="center"/>
          </w:tcPr>
          <w:p w14:paraId="6648602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37.50%</w:t>
            </w:r>
          </w:p>
        </w:tc>
        <w:tc>
          <w:tcPr>
            <w:tcW w:w="781" w:type="dxa"/>
            <w:noWrap w:val="0"/>
            <w:vAlign w:val="center"/>
          </w:tcPr>
          <w:p w14:paraId="040592F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60%</w:t>
            </w:r>
          </w:p>
        </w:tc>
        <w:tc>
          <w:tcPr>
            <w:tcW w:w="781" w:type="dxa"/>
            <w:noWrap w:val="0"/>
            <w:vAlign w:val="center"/>
          </w:tcPr>
          <w:p w14:paraId="1F79D80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80%</w:t>
            </w:r>
          </w:p>
        </w:tc>
        <w:tc>
          <w:tcPr>
            <w:tcW w:w="781" w:type="dxa"/>
            <w:noWrap w:val="0"/>
            <w:vAlign w:val="center"/>
          </w:tcPr>
          <w:p w14:paraId="458601D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81" w:type="dxa"/>
            <w:noWrap w:val="0"/>
            <w:vAlign w:val="center"/>
          </w:tcPr>
          <w:p w14:paraId="5C55D54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81" w:type="dxa"/>
            <w:noWrap w:val="0"/>
            <w:vAlign w:val="center"/>
          </w:tcPr>
          <w:p w14:paraId="4878A58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81" w:type="dxa"/>
            <w:noWrap w:val="0"/>
            <w:vAlign w:val="center"/>
          </w:tcPr>
          <w:p w14:paraId="40D8B50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81" w:type="dxa"/>
            <w:noWrap w:val="0"/>
            <w:vAlign w:val="center"/>
          </w:tcPr>
          <w:p w14:paraId="1CF81A2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81" w:type="dxa"/>
            <w:noWrap w:val="0"/>
            <w:vAlign w:val="center"/>
          </w:tcPr>
          <w:p w14:paraId="49ADC03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82" w:type="dxa"/>
            <w:noWrap w:val="0"/>
            <w:vAlign w:val="center"/>
          </w:tcPr>
          <w:p w14:paraId="362393C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81" w:type="dxa"/>
            <w:noWrap w:val="0"/>
            <w:vAlign w:val="center"/>
          </w:tcPr>
          <w:p w14:paraId="7DDD2BB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81" w:type="dxa"/>
            <w:noWrap w:val="0"/>
            <w:vAlign w:val="center"/>
          </w:tcPr>
          <w:p w14:paraId="4749E9E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82" w:type="dxa"/>
            <w:noWrap w:val="0"/>
            <w:vAlign w:val="center"/>
          </w:tcPr>
          <w:p w14:paraId="0FA8447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834" w:type="dxa"/>
            <w:noWrap w:val="0"/>
            <w:vAlign w:val="center"/>
          </w:tcPr>
          <w:p w14:paraId="19281B6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r>
      <w:tr w14:paraId="07080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26" w:type="dxa"/>
            <w:noWrap w:val="0"/>
            <w:vAlign w:val="center"/>
          </w:tcPr>
          <w:p w14:paraId="35C2037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1</w:t>
            </w:r>
          </w:p>
        </w:tc>
        <w:tc>
          <w:tcPr>
            <w:tcW w:w="1883" w:type="dxa"/>
            <w:noWrap w:val="0"/>
            <w:vAlign w:val="center"/>
          </w:tcPr>
          <w:p w14:paraId="23E358E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外购原材料费</w:t>
            </w:r>
          </w:p>
        </w:tc>
        <w:tc>
          <w:tcPr>
            <w:tcW w:w="779" w:type="dxa"/>
            <w:noWrap w:val="0"/>
            <w:vAlign w:val="center"/>
          </w:tcPr>
          <w:p w14:paraId="64FB0D82">
            <w:pPr>
              <w:jc w:val="center"/>
              <w:rPr>
                <w:rFonts w:ascii="Times New Roman" w:hAnsi="Times New Roman" w:eastAsia="宋体" w:cs="宋体"/>
                <w:color w:val="auto"/>
                <w:sz w:val="21"/>
                <w:szCs w:val="14"/>
              </w:rPr>
            </w:pPr>
          </w:p>
        </w:tc>
        <w:tc>
          <w:tcPr>
            <w:tcW w:w="781" w:type="dxa"/>
            <w:noWrap w:val="0"/>
            <w:vAlign w:val="center"/>
          </w:tcPr>
          <w:p w14:paraId="091F07C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3221.25</w:t>
            </w:r>
          </w:p>
        </w:tc>
        <w:tc>
          <w:tcPr>
            <w:tcW w:w="781" w:type="dxa"/>
            <w:noWrap w:val="0"/>
            <w:vAlign w:val="center"/>
          </w:tcPr>
          <w:p w14:paraId="782003F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5154</w:t>
            </w:r>
          </w:p>
        </w:tc>
        <w:tc>
          <w:tcPr>
            <w:tcW w:w="781" w:type="dxa"/>
            <w:noWrap w:val="0"/>
            <w:vAlign w:val="center"/>
          </w:tcPr>
          <w:p w14:paraId="3E70145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6872</w:t>
            </w:r>
          </w:p>
        </w:tc>
        <w:tc>
          <w:tcPr>
            <w:tcW w:w="781" w:type="dxa"/>
            <w:noWrap w:val="0"/>
            <w:vAlign w:val="center"/>
          </w:tcPr>
          <w:p w14:paraId="1260485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8590</w:t>
            </w:r>
          </w:p>
        </w:tc>
        <w:tc>
          <w:tcPr>
            <w:tcW w:w="781" w:type="dxa"/>
            <w:noWrap w:val="0"/>
            <w:vAlign w:val="center"/>
          </w:tcPr>
          <w:p w14:paraId="06CBA3F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1" w:type="dxa"/>
            <w:noWrap w:val="0"/>
            <w:vAlign w:val="center"/>
          </w:tcPr>
          <w:p w14:paraId="35D6369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1" w:type="dxa"/>
            <w:noWrap w:val="0"/>
            <w:vAlign w:val="center"/>
          </w:tcPr>
          <w:p w14:paraId="1AF8B3D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1" w:type="dxa"/>
            <w:noWrap w:val="0"/>
            <w:vAlign w:val="center"/>
          </w:tcPr>
          <w:p w14:paraId="7B19F4F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1" w:type="dxa"/>
            <w:noWrap w:val="0"/>
            <w:vAlign w:val="center"/>
          </w:tcPr>
          <w:p w14:paraId="4518703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2" w:type="dxa"/>
            <w:noWrap w:val="0"/>
            <w:vAlign w:val="center"/>
          </w:tcPr>
          <w:p w14:paraId="7B70730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1" w:type="dxa"/>
            <w:noWrap w:val="0"/>
            <w:vAlign w:val="center"/>
          </w:tcPr>
          <w:p w14:paraId="36D8CC4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1" w:type="dxa"/>
            <w:noWrap w:val="0"/>
            <w:vAlign w:val="center"/>
          </w:tcPr>
          <w:p w14:paraId="3FF4B72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2" w:type="dxa"/>
            <w:noWrap w:val="0"/>
            <w:vAlign w:val="center"/>
          </w:tcPr>
          <w:p w14:paraId="703ACBC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834" w:type="dxa"/>
            <w:noWrap w:val="0"/>
            <w:vAlign w:val="center"/>
          </w:tcPr>
          <w:p w14:paraId="2101F2C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r>
      <w:tr w14:paraId="6A5D0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26" w:type="dxa"/>
            <w:noWrap w:val="0"/>
            <w:vAlign w:val="center"/>
          </w:tcPr>
          <w:p w14:paraId="4F8253B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4"/>
                <w:sz w:val="21"/>
                <w:szCs w:val="14"/>
              </w:rPr>
              <w:t>1.1</w:t>
            </w:r>
          </w:p>
        </w:tc>
        <w:tc>
          <w:tcPr>
            <w:tcW w:w="1883" w:type="dxa"/>
            <w:noWrap w:val="0"/>
            <w:vAlign w:val="center"/>
          </w:tcPr>
          <w:p w14:paraId="2B1E9FB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原料－鲜马铃薯</w:t>
            </w:r>
          </w:p>
        </w:tc>
        <w:tc>
          <w:tcPr>
            <w:tcW w:w="779" w:type="dxa"/>
            <w:noWrap w:val="0"/>
            <w:vAlign w:val="center"/>
          </w:tcPr>
          <w:p w14:paraId="7EBDF3DE">
            <w:pPr>
              <w:jc w:val="center"/>
              <w:rPr>
                <w:rFonts w:ascii="Times New Roman" w:hAnsi="Times New Roman" w:eastAsia="宋体" w:cs="宋体"/>
                <w:color w:val="auto"/>
                <w:sz w:val="21"/>
              </w:rPr>
            </w:pPr>
          </w:p>
        </w:tc>
        <w:tc>
          <w:tcPr>
            <w:tcW w:w="781" w:type="dxa"/>
            <w:noWrap w:val="0"/>
            <w:vAlign w:val="center"/>
          </w:tcPr>
          <w:p w14:paraId="6F03BDF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3187.5</w:t>
            </w:r>
          </w:p>
        </w:tc>
        <w:tc>
          <w:tcPr>
            <w:tcW w:w="781" w:type="dxa"/>
            <w:noWrap w:val="0"/>
            <w:vAlign w:val="center"/>
          </w:tcPr>
          <w:p w14:paraId="62CE201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5100</w:t>
            </w:r>
          </w:p>
        </w:tc>
        <w:tc>
          <w:tcPr>
            <w:tcW w:w="781" w:type="dxa"/>
            <w:noWrap w:val="0"/>
            <w:vAlign w:val="center"/>
          </w:tcPr>
          <w:p w14:paraId="58037D0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6800</w:t>
            </w:r>
          </w:p>
        </w:tc>
        <w:tc>
          <w:tcPr>
            <w:tcW w:w="781" w:type="dxa"/>
            <w:noWrap w:val="0"/>
            <w:vAlign w:val="center"/>
          </w:tcPr>
          <w:p w14:paraId="1F76A8A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1" w:type="dxa"/>
            <w:noWrap w:val="0"/>
            <w:vAlign w:val="center"/>
          </w:tcPr>
          <w:p w14:paraId="21DFF93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1" w:type="dxa"/>
            <w:noWrap w:val="0"/>
            <w:vAlign w:val="center"/>
          </w:tcPr>
          <w:p w14:paraId="05BCF16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1" w:type="dxa"/>
            <w:noWrap w:val="0"/>
            <w:vAlign w:val="center"/>
          </w:tcPr>
          <w:p w14:paraId="285CF5A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1" w:type="dxa"/>
            <w:noWrap w:val="0"/>
            <w:vAlign w:val="center"/>
          </w:tcPr>
          <w:p w14:paraId="6B92017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1" w:type="dxa"/>
            <w:noWrap w:val="0"/>
            <w:vAlign w:val="center"/>
          </w:tcPr>
          <w:p w14:paraId="080DF62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2" w:type="dxa"/>
            <w:noWrap w:val="0"/>
            <w:vAlign w:val="center"/>
          </w:tcPr>
          <w:p w14:paraId="61B1821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1" w:type="dxa"/>
            <w:noWrap w:val="0"/>
            <w:vAlign w:val="center"/>
          </w:tcPr>
          <w:p w14:paraId="2CCA171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1" w:type="dxa"/>
            <w:noWrap w:val="0"/>
            <w:vAlign w:val="center"/>
          </w:tcPr>
          <w:p w14:paraId="4C5044D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782" w:type="dxa"/>
            <w:noWrap w:val="0"/>
            <w:vAlign w:val="center"/>
          </w:tcPr>
          <w:p w14:paraId="4D26A47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c>
          <w:tcPr>
            <w:tcW w:w="834" w:type="dxa"/>
            <w:noWrap w:val="0"/>
            <w:vAlign w:val="center"/>
          </w:tcPr>
          <w:p w14:paraId="7D64020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w:t>
            </w:r>
          </w:p>
        </w:tc>
      </w:tr>
      <w:tr w14:paraId="569F0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26" w:type="dxa"/>
            <w:noWrap w:val="0"/>
            <w:vAlign w:val="center"/>
          </w:tcPr>
          <w:p w14:paraId="069638E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883" w:type="dxa"/>
            <w:noWrap w:val="0"/>
            <w:vAlign w:val="center"/>
          </w:tcPr>
          <w:p w14:paraId="60A1AF4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单价（元/吨）</w:t>
            </w:r>
          </w:p>
        </w:tc>
        <w:tc>
          <w:tcPr>
            <w:tcW w:w="779" w:type="dxa"/>
            <w:noWrap w:val="0"/>
            <w:vAlign w:val="center"/>
          </w:tcPr>
          <w:p w14:paraId="44765807">
            <w:pPr>
              <w:jc w:val="center"/>
              <w:rPr>
                <w:rFonts w:ascii="Times New Roman" w:hAnsi="Times New Roman" w:eastAsia="宋体" w:cs="宋体"/>
                <w:color w:val="auto"/>
                <w:sz w:val="21"/>
              </w:rPr>
            </w:pPr>
          </w:p>
        </w:tc>
        <w:tc>
          <w:tcPr>
            <w:tcW w:w="781" w:type="dxa"/>
            <w:noWrap w:val="0"/>
            <w:vAlign w:val="center"/>
          </w:tcPr>
          <w:p w14:paraId="62A1B99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1700</w:t>
            </w:r>
          </w:p>
        </w:tc>
        <w:tc>
          <w:tcPr>
            <w:tcW w:w="781" w:type="dxa"/>
            <w:noWrap w:val="0"/>
            <w:vAlign w:val="center"/>
          </w:tcPr>
          <w:p w14:paraId="34F66DE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1700</w:t>
            </w:r>
          </w:p>
        </w:tc>
        <w:tc>
          <w:tcPr>
            <w:tcW w:w="781" w:type="dxa"/>
            <w:noWrap w:val="0"/>
            <w:vAlign w:val="center"/>
          </w:tcPr>
          <w:p w14:paraId="45F417B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1700</w:t>
            </w:r>
          </w:p>
        </w:tc>
        <w:tc>
          <w:tcPr>
            <w:tcW w:w="781" w:type="dxa"/>
            <w:noWrap w:val="0"/>
            <w:vAlign w:val="center"/>
          </w:tcPr>
          <w:p w14:paraId="24D0D6A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1700</w:t>
            </w:r>
          </w:p>
        </w:tc>
        <w:tc>
          <w:tcPr>
            <w:tcW w:w="781" w:type="dxa"/>
            <w:noWrap w:val="0"/>
            <w:vAlign w:val="center"/>
          </w:tcPr>
          <w:p w14:paraId="12CD100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1700</w:t>
            </w:r>
          </w:p>
        </w:tc>
        <w:tc>
          <w:tcPr>
            <w:tcW w:w="781" w:type="dxa"/>
            <w:noWrap w:val="0"/>
            <w:vAlign w:val="center"/>
          </w:tcPr>
          <w:p w14:paraId="683CC18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1700</w:t>
            </w:r>
          </w:p>
        </w:tc>
        <w:tc>
          <w:tcPr>
            <w:tcW w:w="781" w:type="dxa"/>
            <w:noWrap w:val="0"/>
            <w:vAlign w:val="center"/>
          </w:tcPr>
          <w:p w14:paraId="55347A7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1700</w:t>
            </w:r>
          </w:p>
        </w:tc>
        <w:tc>
          <w:tcPr>
            <w:tcW w:w="781" w:type="dxa"/>
            <w:noWrap w:val="0"/>
            <w:vAlign w:val="center"/>
          </w:tcPr>
          <w:p w14:paraId="10FEC0E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1700</w:t>
            </w:r>
          </w:p>
        </w:tc>
        <w:tc>
          <w:tcPr>
            <w:tcW w:w="781" w:type="dxa"/>
            <w:noWrap w:val="0"/>
            <w:vAlign w:val="center"/>
          </w:tcPr>
          <w:p w14:paraId="187A7EF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1700</w:t>
            </w:r>
          </w:p>
        </w:tc>
        <w:tc>
          <w:tcPr>
            <w:tcW w:w="782" w:type="dxa"/>
            <w:noWrap w:val="0"/>
            <w:vAlign w:val="center"/>
          </w:tcPr>
          <w:p w14:paraId="2691A9A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1700</w:t>
            </w:r>
          </w:p>
        </w:tc>
        <w:tc>
          <w:tcPr>
            <w:tcW w:w="781" w:type="dxa"/>
            <w:noWrap w:val="0"/>
            <w:vAlign w:val="center"/>
          </w:tcPr>
          <w:p w14:paraId="3102FB4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1700</w:t>
            </w:r>
          </w:p>
        </w:tc>
        <w:tc>
          <w:tcPr>
            <w:tcW w:w="781" w:type="dxa"/>
            <w:noWrap w:val="0"/>
            <w:vAlign w:val="center"/>
          </w:tcPr>
          <w:p w14:paraId="1DAD2DD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1700</w:t>
            </w:r>
          </w:p>
        </w:tc>
        <w:tc>
          <w:tcPr>
            <w:tcW w:w="782" w:type="dxa"/>
            <w:noWrap w:val="0"/>
            <w:vAlign w:val="center"/>
          </w:tcPr>
          <w:p w14:paraId="44AC1B2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1700</w:t>
            </w:r>
          </w:p>
        </w:tc>
        <w:tc>
          <w:tcPr>
            <w:tcW w:w="834" w:type="dxa"/>
            <w:noWrap w:val="0"/>
            <w:vAlign w:val="center"/>
          </w:tcPr>
          <w:p w14:paraId="1F6A6C3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1700</w:t>
            </w:r>
          </w:p>
        </w:tc>
      </w:tr>
      <w:tr w14:paraId="1837E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26" w:type="dxa"/>
            <w:noWrap w:val="0"/>
            <w:vAlign w:val="center"/>
          </w:tcPr>
          <w:p w14:paraId="0AC5049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883" w:type="dxa"/>
            <w:noWrap w:val="0"/>
            <w:vAlign w:val="center"/>
          </w:tcPr>
          <w:p w14:paraId="52036F5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数量（吨）</w:t>
            </w:r>
          </w:p>
        </w:tc>
        <w:tc>
          <w:tcPr>
            <w:tcW w:w="779" w:type="dxa"/>
            <w:noWrap w:val="0"/>
            <w:vAlign w:val="center"/>
          </w:tcPr>
          <w:p w14:paraId="1F8A8AA3">
            <w:pPr>
              <w:jc w:val="center"/>
              <w:rPr>
                <w:rFonts w:ascii="Times New Roman" w:hAnsi="Times New Roman" w:eastAsia="宋体" w:cs="宋体"/>
                <w:color w:val="auto"/>
                <w:sz w:val="21"/>
              </w:rPr>
            </w:pPr>
          </w:p>
        </w:tc>
        <w:tc>
          <w:tcPr>
            <w:tcW w:w="781" w:type="dxa"/>
            <w:noWrap w:val="0"/>
            <w:vAlign w:val="center"/>
          </w:tcPr>
          <w:p w14:paraId="41CB600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18750</w:t>
            </w:r>
          </w:p>
        </w:tc>
        <w:tc>
          <w:tcPr>
            <w:tcW w:w="781" w:type="dxa"/>
            <w:noWrap w:val="0"/>
            <w:vAlign w:val="center"/>
          </w:tcPr>
          <w:p w14:paraId="18577BA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30000</w:t>
            </w:r>
          </w:p>
        </w:tc>
        <w:tc>
          <w:tcPr>
            <w:tcW w:w="781" w:type="dxa"/>
            <w:noWrap w:val="0"/>
            <w:vAlign w:val="center"/>
          </w:tcPr>
          <w:p w14:paraId="7D9442C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40000</w:t>
            </w:r>
          </w:p>
        </w:tc>
        <w:tc>
          <w:tcPr>
            <w:tcW w:w="781" w:type="dxa"/>
            <w:noWrap w:val="0"/>
            <w:vAlign w:val="center"/>
          </w:tcPr>
          <w:p w14:paraId="6FBF6F3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50000</w:t>
            </w:r>
          </w:p>
        </w:tc>
        <w:tc>
          <w:tcPr>
            <w:tcW w:w="781" w:type="dxa"/>
            <w:noWrap w:val="0"/>
            <w:vAlign w:val="center"/>
          </w:tcPr>
          <w:p w14:paraId="0F9BE68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50000</w:t>
            </w:r>
          </w:p>
        </w:tc>
        <w:tc>
          <w:tcPr>
            <w:tcW w:w="781" w:type="dxa"/>
            <w:noWrap w:val="0"/>
            <w:vAlign w:val="center"/>
          </w:tcPr>
          <w:p w14:paraId="47C14FC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50000</w:t>
            </w:r>
          </w:p>
        </w:tc>
        <w:tc>
          <w:tcPr>
            <w:tcW w:w="781" w:type="dxa"/>
            <w:noWrap w:val="0"/>
            <w:vAlign w:val="center"/>
          </w:tcPr>
          <w:p w14:paraId="09D7560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50000</w:t>
            </w:r>
          </w:p>
        </w:tc>
        <w:tc>
          <w:tcPr>
            <w:tcW w:w="781" w:type="dxa"/>
            <w:noWrap w:val="0"/>
            <w:vAlign w:val="center"/>
          </w:tcPr>
          <w:p w14:paraId="0FA2C26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50000</w:t>
            </w:r>
          </w:p>
        </w:tc>
        <w:tc>
          <w:tcPr>
            <w:tcW w:w="781" w:type="dxa"/>
            <w:noWrap w:val="0"/>
            <w:vAlign w:val="center"/>
          </w:tcPr>
          <w:p w14:paraId="1623B21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50000</w:t>
            </w:r>
          </w:p>
        </w:tc>
        <w:tc>
          <w:tcPr>
            <w:tcW w:w="782" w:type="dxa"/>
            <w:noWrap w:val="0"/>
            <w:vAlign w:val="center"/>
          </w:tcPr>
          <w:p w14:paraId="2AAF12B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50000</w:t>
            </w:r>
          </w:p>
        </w:tc>
        <w:tc>
          <w:tcPr>
            <w:tcW w:w="781" w:type="dxa"/>
            <w:noWrap w:val="0"/>
            <w:vAlign w:val="center"/>
          </w:tcPr>
          <w:p w14:paraId="577EE0A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50000</w:t>
            </w:r>
          </w:p>
        </w:tc>
        <w:tc>
          <w:tcPr>
            <w:tcW w:w="781" w:type="dxa"/>
            <w:noWrap w:val="0"/>
            <w:vAlign w:val="center"/>
          </w:tcPr>
          <w:p w14:paraId="72C784E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50000</w:t>
            </w:r>
          </w:p>
        </w:tc>
        <w:tc>
          <w:tcPr>
            <w:tcW w:w="782" w:type="dxa"/>
            <w:noWrap w:val="0"/>
            <w:vAlign w:val="center"/>
          </w:tcPr>
          <w:p w14:paraId="1EE02E7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50000</w:t>
            </w:r>
          </w:p>
        </w:tc>
        <w:tc>
          <w:tcPr>
            <w:tcW w:w="834" w:type="dxa"/>
            <w:noWrap w:val="0"/>
            <w:vAlign w:val="center"/>
          </w:tcPr>
          <w:p w14:paraId="564B976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50000</w:t>
            </w:r>
          </w:p>
        </w:tc>
      </w:tr>
      <w:tr w14:paraId="5805E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26" w:type="dxa"/>
            <w:noWrap w:val="0"/>
            <w:vAlign w:val="center"/>
          </w:tcPr>
          <w:p w14:paraId="128BAA7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883" w:type="dxa"/>
            <w:noWrap w:val="0"/>
            <w:vAlign w:val="center"/>
          </w:tcPr>
          <w:p w14:paraId="3982963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销项税额（13%）</w:t>
            </w:r>
          </w:p>
        </w:tc>
        <w:tc>
          <w:tcPr>
            <w:tcW w:w="779" w:type="dxa"/>
            <w:noWrap w:val="0"/>
            <w:vAlign w:val="center"/>
          </w:tcPr>
          <w:p w14:paraId="746E89CE">
            <w:pPr>
              <w:jc w:val="center"/>
              <w:rPr>
                <w:rFonts w:ascii="Times New Roman" w:hAnsi="Times New Roman" w:eastAsia="宋体" w:cs="宋体"/>
                <w:color w:val="auto"/>
                <w:sz w:val="21"/>
              </w:rPr>
            </w:pPr>
          </w:p>
        </w:tc>
        <w:tc>
          <w:tcPr>
            <w:tcW w:w="781" w:type="dxa"/>
            <w:noWrap w:val="0"/>
            <w:vAlign w:val="center"/>
          </w:tcPr>
          <w:p w14:paraId="1315436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414.375</w:t>
            </w:r>
          </w:p>
        </w:tc>
        <w:tc>
          <w:tcPr>
            <w:tcW w:w="781" w:type="dxa"/>
            <w:noWrap w:val="0"/>
            <w:vAlign w:val="center"/>
          </w:tcPr>
          <w:p w14:paraId="17180CB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663</w:t>
            </w:r>
          </w:p>
        </w:tc>
        <w:tc>
          <w:tcPr>
            <w:tcW w:w="781" w:type="dxa"/>
            <w:noWrap w:val="0"/>
            <w:vAlign w:val="center"/>
          </w:tcPr>
          <w:p w14:paraId="439B62E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884</w:t>
            </w:r>
          </w:p>
        </w:tc>
        <w:tc>
          <w:tcPr>
            <w:tcW w:w="781" w:type="dxa"/>
            <w:noWrap w:val="0"/>
            <w:vAlign w:val="center"/>
          </w:tcPr>
          <w:p w14:paraId="3A8ED4C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1105</w:t>
            </w:r>
          </w:p>
        </w:tc>
        <w:tc>
          <w:tcPr>
            <w:tcW w:w="781" w:type="dxa"/>
            <w:noWrap w:val="0"/>
            <w:vAlign w:val="center"/>
          </w:tcPr>
          <w:p w14:paraId="67422FC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1105</w:t>
            </w:r>
          </w:p>
        </w:tc>
        <w:tc>
          <w:tcPr>
            <w:tcW w:w="781" w:type="dxa"/>
            <w:noWrap w:val="0"/>
            <w:vAlign w:val="center"/>
          </w:tcPr>
          <w:p w14:paraId="57B4EC1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1105</w:t>
            </w:r>
          </w:p>
        </w:tc>
        <w:tc>
          <w:tcPr>
            <w:tcW w:w="781" w:type="dxa"/>
            <w:noWrap w:val="0"/>
            <w:vAlign w:val="center"/>
          </w:tcPr>
          <w:p w14:paraId="1326E2A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1105</w:t>
            </w:r>
          </w:p>
        </w:tc>
        <w:tc>
          <w:tcPr>
            <w:tcW w:w="781" w:type="dxa"/>
            <w:noWrap w:val="0"/>
            <w:vAlign w:val="center"/>
          </w:tcPr>
          <w:p w14:paraId="6E4CA76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1105</w:t>
            </w:r>
          </w:p>
        </w:tc>
        <w:tc>
          <w:tcPr>
            <w:tcW w:w="781" w:type="dxa"/>
            <w:noWrap w:val="0"/>
            <w:vAlign w:val="center"/>
          </w:tcPr>
          <w:p w14:paraId="3F4185B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1105</w:t>
            </w:r>
          </w:p>
        </w:tc>
        <w:tc>
          <w:tcPr>
            <w:tcW w:w="782" w:type="dxa"/>
            <w:noWrap w:val="0"/>
            <w:vAlign w:val="center"/>
          </w:tcPr>
          <w:p w14:paraId="0635372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1105</w:t>
            </w:r>
          </w:p>
        </w:tc>
        <w:tc>
          <w:tcPr>
            <w:tcW w:w="781" w:type="dxa"/>
            <w:noWrap w:val="0"/>
            <w:vAlign w:val="center"/>
          </w:tcPr>
          <w:p w14:paraId="3A4030D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1105</w:t>
            </w:r>
          </w:p>
        </w:tc>
        <w:tc>
          <w:tcPr>
            <w:tcW w:w="781" w:type="dxa"/>
            <w:noWrap w:val="0"/>
            <w:vAlign w:val="center"/>
          </w:tcPr>
          <w:p w14:paraId="0897EE3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1105</w:t>
            </w:r>
          </w:p>
        </w:tc>
        <w:tc>
          <w:tcPr>
            <w:tcW w:w="782" w:type="dxa"/>
            <w:noWrap w:val="0"/>
            <w:vAlign w:val="center"/>
          </w:tcPr>
          <w:p w14:paraId="082DC96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1105</w:t>
            </w:r>
          </w:p>
        </w:tc>
        <w:tc>
          <w:tcPr>
            <w:tcW w:w="834" w:type="dxa"/>
            <w:noWrap w:val="0"/>
            <w:vAlign w:val="center"/>
          </w:tcPr>
          <w:p w14:paraId="6FF5FE2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1105</w:t>
            </w:r>
          </w:p>
        </w:tc>
      </w:tr>
      <w:tr w14:paraId="28493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26" w:type="dxa"/>
            <w:noWrap w:val="0"/>
            <w:vAlign w:val="center"/>
          </w:tcPr>
          <w:p w14:paraId="51BA926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1.2</w:t>
            </w:r>
          </w:p>
        </w:tc>
        <w:tc>
          <w:tcPr>
            <w:tcW w:w="1883" w:type="dxa"/>
            <w:noWrap w:val="0"/>
            <w:vAlign w:val="center"/>
          </w:tcPr>
          <w:p w14:paraId="7BEE9B5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原料－牛皮纸袋（25</w:t>
            </w:r>
            <w:r>
              <w:rPr>
                <w:rFonts w:ascii="Times New Roman" w:hAnsi="Times New Roman" w:eastAsia="宋体" w:cs="宋体"/>
                <w:color w:val="auto"/>
                <w:sz w:val="21"/>
                <w:szCs w:val="14"/>
              </w:rPr>
              <w:t>kg</w:t>
            </w:r>
            <w:r>
              <w:rPr>
                <w:rFonts w:ascii="Times New Roman" w:hAnsi="Times New Roman" w:eastAsia="宋体" w:cs="宋体"/>
                <w:color w:val="auto"/>
                <w:spacing w:val="8"/>
                <w:sz w:val="21"/>
                <w:szCs w:val="14"/>
              </w:rPr>
              <w:t>）</w:t>
            </w:r>
          </w:p>
        </w:tc>
        <w:tc>
          <w:tcPr>
            <w:tcW w:w="779" w:type="dxa"/>
            <w:noWrap w:val="0"/>
            <w:vAlign w:val="center"/>
          </w:tcPr>
          <w:p w14:paraId="7C7049EE">
            <w:pPr>
              <w:jc w:val="center"/>
              <w:rPr>
                <w:rFonts w:ascii="Times New Roman" w:hAnsi="Times New Roman" w:eastAsia="宋体" w:cs="宋体"/>
                <w:color w:val="auto"/>
                <w:sz w:val="21"/>
              </w:rPr>
            </w:pPr>
          </w:p>
        </w:tc>
        <w:tc>
          <w:tcPr>
            <w:tcW w:w="781" w:type="dxa"/>
            <w:noWrap w:val="0"/>
            <w:vAlign w:val="center"/>
          </w:tcPr>
          <w:p w14:paraId="65BCCF0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33.75</w:t>
            </w:r>
          </w:p>
        </w:tc>
        <w:tc>
          <w:tcPr>
            <w:tcW w:w="781" w:type="dxa"/>
            <w:noWrap w:val="0"/>
            <w:vAlign w:val="center"/>
          </w:tcPr>
          <w:p w14:paraId="02741E7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54</w:t>
            </w:r>
          </w:p>
        </w:tc>
        <w:tc>
          <w:tcPr>
            <w:tcW w:w="781" w:type="dxa"/>
            <w:noWrap w:val="0"/>
            <w:vAlign w:val="center"/>
          </w:tcPr>
          <w:p w14:paraId="4B19557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72</w:t>
            </w:r>
          </w:p>
        </w:tc>
        <w:tc>
          <w:tcPr>
            <w:tcW w:w="781" w:type="dxa"/>
            <w:noWrap w:val="0"/>
            <w:vAlign w:val="center"/>
          </w:tcPr>
          <w:p w14:paraId="606E35F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90</w:t>
            </w:r>
          </w:p>
        </w:tc>
        <w:tc>
          <w:tcPr>
            <w:tcW w:w="781" w:type="dxa"/>
            <w:noWrap w:val="0"/>
            <w:vAlign w:val="center"/>
          </w:tcPr>
          <w:p w14:paraId="3201AA4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90</w:t>
            </w:r>
          </w:p>
        </w:tc>
        <w:tc>
          <w:tcPr>
            <w:tcW w:w="781" w:type="dxa"/>
            <w:noWrap w:val="0"/>
            <w:vAlign w:val="center"/>
          </w:tcPr>
          <w:p w14:paraId="39EFE39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90</w:t>
            </w:r>
          </w:p>
        </w:tc>
        <w:tc>
          <w:tcPr>
            <w:tcW w:w="781" w:type="dxa"/>
            <w:noWrap w:val="0"/>
            <w:vAlign w:val="center"/>
          </w:tcPr>
          <w:p w14:paraId="7F05F49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90</w:t>
            </w:r>
          </w:p>
        </w:tc>
        <w:tc>
          <w:tcPr>
            <w:tcW w:w="781" w:type="dxa"/>
            <w:noWrap w:val="0"/>
            <w:vAlign w:val="center"/>
          </w:tcPr>
          <w:p w14:paraId="76BA40B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90</w:t>
            </w:r>
          </w:p>
        </w:tc>
        <w:tc>
          <w:tcPr>
            <w:tcW w:w="781" w:type="dxa"/>
            <w:noWrap w:val="0"/>
            <w:vAlign w:val="center"/>
          </w:tcPr>
          <w:p w14:paraId="21347E9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90</w:t>
            </w:r>
          </w:p>
        </w:tc>
        <w:tc>
          <w:tcPr>
            <w:tcW w:w="782" w:type="dxa"/>
            <w:noWrap w:val="0"/>
            <w:vAlign w:val="center"/>
          </w:tcPr>
          <w:p w14:paraId="200CF42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90</w:t>
            </w:r>
          </w:p>
        </w:tc>
        <w:tc>
          <w:tcPr>
            <w:tcW w:w="781" w:type="dxa"/>
            <w:noWrap w:val="0"/>
            <w:vAlign w:val="center"/>
          </w:tcPr>
          <w:p w14:paraId="717BA7F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90</w:t>
            </w:r>
          </w:p>
        </w:tc>
        <w:tc>
          <w:tcPr>
            <w:tcW w:w="781" w:type="dxa"/>
            <w:noWrap w:val="0"/>
            <w:vAlign w:val="center"/>
          </w:tcPr>
          <w:p w14:paraId="13F4187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90</w:t>
            </w:r>
          </w:p>
        </w:tc>
        <w:tc>
          <w:tcPr>
            <w:tcW w:w="782" w:type="dxa"/>
            <w:noWrap w:val="0"/>
            <w:vAlign w:val="center"/>
          </w:tcPr>
          <w:p w14:paraId="269995D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90</w:t>
            </w:r>
          </w:p>
        </w:tc>
        <w:tc>
          <w:tcPr>
            <w:tcW w:w="834" w:type="dxa"/>
            <w:noWrap w:val="0"/>
            <w:vAlign w:val="center"/>
          </w:tcPr>
          <w:p w14:paraId="76A241C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90</w:t>
            </w:r>
          </w:p>
        </w:tc>
      </w:tr>
      <w:tr w14:paraId="41EAA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26" w:type="dxa"/>
            <w:noWrap w:val="0"/>
            <w:vAlign w:val="center"/>
          </w:tcPr>
          <w:p w14:paraId="1C88727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883" w:type="dxa"/>
            <w:noWrap w:val="0"/>
            <w:vAlign w:val="center"/>
          </w:tcPr>
          <w:p w14:paraId="40CE6F3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单价（元/条）</w:t>
            </w:r>
          </w:p>
        </w:tc>
        <w:tc>
          <w:tcPr>
            <w:tcW w:w="779" w:type="dxa"/>
            <w:noWrap w:val="0"/>
            <w:vAlign w:val="center"/>
          </w:tcPr>
          <w:p w14:paraId="5439D1DA">
            <w:pPr>
              <w:jc w:val="center"/>
              <w:rPr>
                <w:rFonts w:ascii="Times New Roman" w:hAnsi="Times New Roman" w:eastAsia="宋体" w:cs="宋体"/>
                <w:color w:val="auto"/>
                <w:sz w:val="21"/>
              </w:rPr>
            </w:pPr>
          </w:p>
        </w:tc>
        <w:tc>
          <w:tcPr>
            <w:tcW w:w="781" w:type="dxa"/>
            <w:noWrap w:val="0"/>
            <w:vAlign w:val="center"/>
          </w:tcPr>
          <w:p w14:paraId="1B69ABB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2.25</w:t>
            </w:r>
          </w:p>
        </w:tc>
        <w:tc>
          <w:tcPr>
            <w:tcW w:w="781" w:type="dxa"/>
            <w:noWrap w:val="0"/>
            <w:vAlign w:val="center"/>
          </w:tcPr>
          <w:p w14:paraId="1BFAA18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2.25</w:t>
            </w:r>
          </w:p>
        </w:tc>
        <w:tc>
          <w:tcPr>
            <w:tcW w:w="781" w:type="dxa"/>
            <w:noWrap w:val="0"/>
            <w:vAlign w:val="center"/>
          </w:tcPr>
          <w:p w14:paraId="0F6813E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2.25</w:t>
            </w:r>
          </w:p>
        </w:tc>
        <w:tc>
          <w:tcPr>
            <w:tcW w:w="781" w:type="dxa"/>
            <w:noWrap w:val="0"/>
            <w:vAlign w:val="center"/>
          </w:tcPr>
          <w:p w14:paraId="0412628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2.25</w:t>
            </w:r>
          </w:p>
        </w:tc>
        <w:tc>
          <w:tcPr>
            <w:tcW w:w="781" w:type="dxa"/>
            <w:noWrap w:val="0"/>
            <w:vAlign w:val="center"/>
          </w:tcPr>
          <w:p w14:paraId="1486C15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2.25</w:t>
            </w:r>
          </w:p>
        </w:tc>
        <w:tc>
          <w:tcPr>
            <w:tcW w:w="781" w:type="dxa"/>
            <w:noWrap w:val="0"/>
            <w:vAlign w:val="center"/>
          </w:tcPr>
          <w:p w14:paraId="3E5F004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2.25</w:t>
            </w:r>
          </w:p>
        </w:tc>
        <w:tc>
          <w:tcPr>
            <w:tcW w:w="781" w:type="dxa"/>
            <w:noWrap w:val="0"/>
            <w:vAlign w:val="center"/>
          </w:tcPr>
          <w:p w14:paraId="1C978CD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2.25</w:t>
            </w:r>
          </w:p>
        </w:tc>
        <w:tc>
          <w:tcPr>
            <w:tcW w:w="781" w:type="dxa"/>
            <w:noWrap w:val="0"/>
            <w:vAlign w:val="center"/>
          </w:tcPr>
          <w:p w14:paraId="3E9DE41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2.25</w:t>
            </w:r>
          </w:p>
        </w:tc>
        <w:tc>
          <w:tcPr>
            <w:tcW w:w="781" w:type="dxa"/>
            <w:noWrap w:val="0"/>
            <w:vAlign w:val="center"/>
          </w:tcPr>
          <w:p w14:paraId="79C93B1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2.25</w:t>
            </w:r>
          </w:p>
        </w:tc>
        <w:tc>
          <w:tcPr>
            <w:tcW w:w="782" w:type="dxa"/>
            <w:noWrap w:val="0"/>
            <w:vAlign w:val="center"/>
          </w:tcPr>
          <w:p w14:paraId="72668B0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2.25</w:t>
            </w:r>
          </w:p>
        </w:tc>
        <w:tc>
          <w:tcPr>
            <w:tcW w:w="781" w:type="dxa"/>
            <w:noWrap w:val="0"/>
            <w:vAlign w:val="center"/>
          </w:tcPr>
          <w:p w14:paraId="63E5463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2.25</w:t>
            </w:r>
          </w:p>
        </w:tc>
        <w:tc>
          <w:tcPr>
            <w:tcW w:w="781" w:type="dxa"/>
            <w:noWrap w:val="0"/>
            <w:vAlign w:val="center"/>
          </w:tcPr>
          <w:p w14:paraId="2C54F8E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2.25</w:t>
            </w:r>
          </w:p>
        </w:tc>
        <w:tc>
          <w:tcPr>
            <w:tcW w:w="782" w:type="dxa"/>
            <w:noWrap w:val="0"/>
            <w:vAlign w:val="center"/>
          </w:tcPr>
          <w:p w14:paraId="7F76362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2.25</w:t>
            </w:r>
          </w:p>
        </w:tc>
        <w:tc>
          <w:tcPr>
            <w:tcW w:w="834" w:type="dxa"/>
            <w:noWrap w:val="0"/>
            <w:vAlign w:val="center"/>
          </w:tcPr>
          <w:p w14:paraId="321F9C0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2.25</w:t>
            </w:r>
          </w:p>
        </w:tc>
      </w:tr>
      <w:tr w14:paraId="3231E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26" w:type="dxa"/>
            <w:noWrap w:val="0"/>
            <w:vAlign w:val="center"/>
          </w:tcPr>
          <w:p w14:paraId="0A092E9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883" w:type="dxa"/>
            <w:noWrap w:val="0"/>
            <w:vAlign w:val="center"/>
          </w:tcPr>
          <w:p w14:paraId="5EEB858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数量（万条）</w:t>
            </w:r>
          </w:p>
        </w:tc>
        <w:tc>
          <w:tcPr>
            <w:tcW w:w="779" w:type="dxa"/>
            <w:noWrap w:val="0"/>
            <w:vAlign w:val="center"/>
          </w:tcPr>
          <w:p w14:paraId="7E127110">
            <w:pPr>
              <w:jc w:val="center"/>
              <w:rPr>
                <w:rFonts w:ascii="Times New Roman" w:hAnsi="Times New Roman" w:eastAsia="宋体" w:cs="宋体"/>
                <w:color w:val="auto"/>
                <w:sz w:val="21"/>
              </w:rPr>
            </w:pPr>
          </w:p>
        </w:tc>
        <w:tc>
          <w:tcPr>
            <w:tcW w:w="781" w:type="dxa"/>
            <w:noWrap w:val="0"/>
            <w:vAlign w:val="center"/>
          </w:tcPr>
          <w:p w14:paraId="5E1F5DA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15</w:t>
            </w:r>
          </w:p>
        </w:tc>
        <w:tc>
          <w:tcPr>
            <w:tcW w:w="781" w:type="dxa"/>
            <w:noWrap w:val="0"/>
            <w:vAlign w:val="center"/>
          </w:tcPr>
          <w:p w14:paraId="215D68C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24</w:t>
            </w:r>
          </w:p>
        </w:tc>
        <w:tc>
          <w:tcPr>
            <w:tcW w:w="781" w:type="dxa"/>
            <w:noWrap w:val="0"/>
            <w:vAlign w:val="center"/>
          </w:tcPr>
          <w:p w14:paraId="00A0D52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32</w:t>
            </w:r>
          </w:p>
        </w:tc>
        <w:tc>
          <w:tcPr>
            <w:tcW w:w="781" w:type="dxa"/>
            <w:noWrap w:val="0"/>
            <w:vAlign w:val="center"/>
          </w:tcPr>
          <w:p w14:paraId="4AF086A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40</w:t>
            </w:r>
          </w:p>
        </w:tc>
        <w:tc>
          <w:tcPr>
            <w:tcW w:w="781" w:type="dxa"/>
            <w:noWrap w:val="0"/>
            <w:vAlign w:val="center"/>
          </w:tcPr>
          <w:p w14:paraId="5E5C777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40</w:t>
            </w:r>
          </w:p>
        </w:tc>
        <w:tc>
          <w:tcPr>
            <w:tcW w:w="781" w:type="dxa"/>
            <w:noWrap w:val="0"/>
            <w:vAlign w:val="center"/>
          </w:tcPr>
          <w:p w14:paraId="3E11BC5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40</w:t>
            </w:r>
          </w:p>
        </w:tc>
        <w:tc>
          <w:tcPr>
            <w:tcW w:w="781" w:type="dxa"/>
            <w:noWrap w:val="0"/>
            <w:vAlign w:val="center"/>
          </w:tcPr>
          <w:p w14:paraId="053AA23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40</w:t>
            </w:r>
          </w:p>
        </w:tc>
        <w:tc>
          <w:tcPr>
            <w:tcW w:w="781" w:type="dxa"/>
            <w:noWrap w:val="0"/>
            <w:vAlign w:val="center"/>
          </w:tcPr>
          <w:p w14:paraId="6A0328C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40</w:t>
            </w:r>
          </w:p>
        </w:tc>
        <w:tc>
          <w:tcPr>
            <w:tcW w:w="781" w:type="dxa"/>
            <w:noWrap w:val="0"/>
            <w:vAlign w:val="center"/>
          </w:tcPr>
          <w:p w14:paraId="3EE9518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40</w:t>
            </w:r>
          </w:p>
        </w:tc>
        <w:tc>
          <w:tcPr>
            <w:tcW w:w="782" w:type="dxa"/>
            <w:noWrap w:val="0"/>
            <w:vAlign w:val="center"/>
          </w:tcPr>
          <w:p w14:paraId="2745D37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40</w:t>
            </w:r>
          </w:p>
        </w:tc>
        <w:tc>
          <w:tcPr>
            <w:tcW w:w="781" w:type="dxa"/>
            <w:noWrap w:val="0"/>
            <w:vAlign w:val="center"/>
          </w:tcPr>
          <w:p w14:paraId="0F95788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40</w:t>
            </w:r>
          </w:p>
        </w:tc>
        <w:tc>
          <w:tcPr>
            <w:tcW w:w="781" w:type="dxa"/>
            <w:noWrap w:val="0"/>
            <w:vAlign w:val="center"/>
          </w:tcPr>
          <w:p w14:paraId="179CEBE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40</w:t>
            </w:r>
          </w:p>
        </w:tc>
        <w:tc>
          <w:tcPr>
            <w:tcW w:w="782" w:type="dxa"/>
            <w:noWrap w:val="0"/>
            <w:vAlign w:val="center"/>
          </w:tcPr>
          <w:p w14:paraId="4E93814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40</w:t>
            </w:r>
          </w:p>
        </w:tc>
        <w:tc>
          <w:tcPr>
            <w:tcW w:w="834" w:type="dxa"/>
            <w:noWrap w:val="0"/>
            <w:vAlign w:val="center"/>
          </w:tcPr>
          <w:p w14:paraId="4E1FBFC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40</w:t>
            </w:r>
          </w:p>
        </w:tc>
      </w:tr>
      <w:tr w14:paraId="11541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26" w:type="dxa"/>
            <w:noWrap w:val="0"/>
            <w:vAlign w:val="center"/>
          </w:tcPr>
          <w:p w14:paraId="5CEEF8F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883" w:type="dxa"/>
            <w:noWrap w:val="0"/>
            <w:vAlign w:val="center"/>
          </w:tcPr>
          <w:p w14:paraId="3802408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销项税额（13%）</w:t>
            </w:r>
          </w:p>
        </w:tc>
        <w:tc>
          <w:tcPr>
            <w:tcW w:w="779" w:type="dxa"/>
            <w:noWrap w:val="0"/>
            <w:vAlign w:val="center"/>
          </w:tcPr>
          <w:p w14:paraId="3E274AB6">
            <w:pPr>
              <w:jc w:val="center"/>
              <w:rPr>
                <w:rFonts w:ascii="Times New Roman" w:hAnsi="Times New Roman" w:eastAsia="宋体" w:cs="宋体"/>
                <w:color w:val="auto"/>
                <w:sz w:val="21"/>
              </w:rPr>
            </w:pPr>
          </w:p>
        </w:tc>
        <w:tc>
          <w:tcPr>
            <w:tcW w:w="781" w:type="dxa"/>
            <w:noWrap w:val="0"/>
            <w:vAlign w:val="center"/>
          </w:tcPr>
          <w:p w14:paraId="584CC6F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4.39</w:t>
            </w:r>
          </w:p>
        </w:tc>
        <w:tc>
          <w:tcPr>
            <w:tcW w:w="781" w:type="dxa"/>
            <w:noWrap w:val="0"/>
            <w:vAlign w:val="center"/>
          </w:tcPr>
          <w:p w14:paraId="30093B2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7.02</w:t>
            </w:r>
          </w:p>
        </w:tc>
        <w:tc>
          <w:tcPr>
            <w:tcW w:w="781" w:type="dxa"/>
            <w:noWrap w:val="0"/>
            <w:vAlign w:val="center"/>
          </w:tcPr>
          <w:p w14:paraId="04C9321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9.36</w:t>
            </w:r>
          </w:p>
        </w:tc>
        <w:tc>
          <w:tcPr>
            <w:tcW w:w="781" w:type="dxa"/>
            <w:noWrap w:val="0"/>
            <w:vAlign w:val="center"/>
          </w:tcPr>
          <w:p w14:paraId="7D84AD0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11.70</w:t>
            </w:r>
          </w:p>
        </w:tc>
        <w:tc>
          <w:tcPr>
            <w:tcW w:w="781" w:type="dxa"/>
            <w:noWrap w:val="0"/>
            <w:vAlign w:val="center"/>
          </w:tcPr>
          <w:p w14:paraId="7BF8EDD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11.70</w:t>
            </w:r>
          </w:p>
        </w:tc>
        <w:tc>
          <w:tcPr>
            <w:tcW w:w="781" w:type="dxa"/>
            <w:noWrap w:val="0"/>
            <w:vAlign w:val="center"/>
          </w:tcPr>
          <w:p w14:paraId="3710263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11.70</w:t>
            </w:r>
          </w:p>
        </w:tc>
        <w:tc>
          <w:tcPr>
            <w:tcW w:w="781" w:type="dxa"/>
            <w:noWrap w:val="0"/>
            <w:vAlign w:val="center"/>
          </w:tcPr>
          <w:p w14:paraId="76E0525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11.70</w:t>
            </w:r>
          </w:p>
        </w:tc>
        <w:tc>
          <w:tcPr>
            <w:tcW w:w="781" w:type="dxa"/>
            <w:noWrap w:val="0"/>
            <w:vAlign w:val="center"/>
          </w:tcPr>
          <w:p w14:paraId="544EF75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11.70</w:t>
            </w:r>
          </w:p>
        </w:tc>
        <w:tc>
          <w:tcPr>
            <w:tcW w:w="781" w:type="dxa"/>
            <w:noWrap w:val="0"/>
            <w:vAlign w:val="center"/>
          </w:tcPr>
          <w:p w14:paraId="67FD6AC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11.70</w:t>
            </w:r>
          </w:p>
        </w:tc>
        <w:tc>
          <w:tcPr>
            <w:tcW w:w="782" w:type="dxa"/>
            <w:noWrap w:val="0"/>
            <w:vAlign w:val="center"/>
          </w:tcPr>
          <w:p w14:paraId="762A715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11.70</w:t>
            </w:r>
          </w:p>
        </w:tc>
        <w:tc>
          <w:tcPr>
            <w:tcW w:w="781" w:type="dxa"/>
            <w:noWrap w:val="0"/>
            <w:vAlign w:val="center"/>
          </w:tcPr>
          <w:p w14:paraId="44473A3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11.70</w:t>
            </w:r>
          </w:p>
        </w:tc>
        <w:tc>
          <w:tcPr>
            <w:tcW w:w="781" w:type="dxa"/>
            <w:noWrap w:val="0"/>
            <w:vAlign w:val="center"/>
          </w:tcPr>
          <w:p w14:paraId="5C3253B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11.70</w:t>
            </w:r>
          </w:p>
        </w:tc>
        <w:tc>
          <w:tcPr>
            <w:tcW w:w="782" w:type="dxa"/>
            <w:noWrap w:val="0"/>
            <w:vAlign w:val="center"/>
          </w:tcPr>
          <w:p w14:paraId="07225F3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11.70</w:t>
            </w:r>
          </w:p>
        </w:tc>
        <w:tc>
          <w:tcPr>
            <w:tcW w:w="834" w:type="dxa"/>
            <w:noWrap w:val="0"/>
            <w:vAlign w:val="center"/>
          </w:tcPr>
          <w:p w14:paraId="63B3C3A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11.70</w:t>
            </w:r>
          </w:p>
        </w:tc>
      </w:tr>
      <w:tr w14:paraId="7303E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26" w:type="dxa"/>
            <w:noWrap w:val="0"/>
            <w:vAlign w:val="center"/>
          </w:tcPr>
          <w:p w14:paraId="5F871FB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w:t>
            </w:r>
          </w:p>
        </w:tc>
        <w:tc>
          <w:tcPr>
            <w:tcW w:w="1883" w:type="dxa"/>
            <w:noWrap w:val="0"/>
            <w:vAlign w:val="center"/>
          </w:tcPr>
          <w:p w14:paraId="5550B80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外购原材料费合计</w:t>
            </w:r>
          </w:p>
        </w:tc>
        <w:tc>
          <w:tcPr>
            <w:tcW w:w="779" w:type="dxa"/>
            <w:noWrap w:val="0"/>
            <w:vAlign w:val="center"/>
          </w:tcPr>
          <w:p w14:paraId="3A60525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108837.25</w:t>
            </w:r>
          </w:p>
        </w:tc>
        <w:tc>
          <w:tcPr>
            <w:tcW w:w="781" w:type="dxa"/>
            <w:noWrap w:val="0"/>
            <w:vAlign w:val="center"/>
          </w:tcPr>
          <w:p w14:paraId="3B1512B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3221.25</w:t>
            </w:r>
          </w:p>
        </w:tc>
        <w:tc>
          <w:tcPr>
            <w:tcW w:w="781" w:type="dxa"/>
            <w:noWrap w:val="0"/>
            <w:vAlign w:val="center"/>
          </w:tcPr>
          <w:p w14:paraId="0DFE577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5154.00</w:t>
            </w:r>
          </w:p>
        </w:tc>
        <w:tc>
          <w:tcPr>
            <w:tcW w:w="781" w:type="dxa"/>
            <w:noWrap w:val="0"/>
            <w:vAlign w:val="center"/>
          </w:tcPr>
          <w:p w14:paraId="5578407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6872.00</w:t>
            </w:r>
          </w:p>
        </w:tc>
        <w:tc>
          <w:tcPr>
            <w:tcW w:w="781" w:type="dxa"/>
            <w:noWrap w:val="0"/>
            <w:vAlign w:val="center"/>
          </w:tcPr>
          <w:p w14:paraId="3951482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8590.00</w:t>
            </w:r>
          </w:p>
        </w:tc>
        <w:tc>
          <w:tcPr>
            <w:tcW w:w="781" w:type="dxa"/>
            <w:noWrap w:val="0"/>
            <w:vAlign w:val="center"/>
          </w:tcPr>
          <w:p w14:paraId="039D0C5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8500.00</w:t>
            </w:r>
          </w:p>
        </w:tc>
        <w:tc>
          <w:tcPr>
            <w:tcW w:w="781" w:type="dxa"/>
            <w:noWrap w:val="0"/>
            <w:vAlign w:val="center"/>
          </w:tcPr>
          <w:p w14:paraId="5BC855C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8500.00</w:t>
            </w:r>
          </w:p>
        </w:tc>
        <w:tc>
          <w:tcPr>
            <w:tcW w:w="781" w:type="dxa"/>
            <w:noWrap w:val="0"/>
            <w:vAlign w:val="center"/>
          </w:tcPr>
          <w:p w14:paraId="5F800BC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8500.00</w:t>
            </w:r>
          </w:p>
        </w:tc>
        <w:tc>
          <w:tcPr>
            <w:tcW w:w="781" w:type="dxa"/>
            <w:noWrap w:val="0"/>
            <w:vAlign w:val="center"/>
          </w:tcPr>
          <w:p w14:paraId="0CEC9FA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8500.00</w:t>
            </w:r>
          </w:p>
        </w:tc>
        <w:tc>
          <w:tcPr>
            <w:tcW w:w="781" w:type="dxa"/>
            <w:noWrap w:val="0"/>
            <w:vAlign w:val="center"/>
          </w:tcPr>
          <w:p w14:paraId="1133BF9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8500.00</w:t>
            </w:r>
          </w:p>
        </w:tc>
        <w:tc>
          <w:tcPr>
            <w:tcW w:w="782" w:type="dxa"/>
            <w:noWrap w:val="0"/>
            <w:vAlign w:val="center"/>
          </w:tcPr>
          <w:p w14:paraId="02CA3E7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8500.00</w:t>
            </w:r>
          </w:p>
        </w:tc>
        <w:tc>
          <w:tcPr>
            <w:tcW w:w="781" w:type="dxa"/>
            <w:noWrap w:val="0"/>
            <w:vAlign w:val="center"/>
          </w:tcPr>
          <w:p w14:paraId="4AFEC0A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8500.00</w:t>
            </w:r>
          </w:p>
        </w:tc>
        <w:tc>
          <w:tcPr>
            <w:tcW w:w="781" w:type="dxa"/>
            <w:noWrap w:val="0"/>
            <w:vAlign w:val="center"/>
          </w:tcPr>
          <w:p w14:paraId="6F12662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8500.00</w:t>
            </w:r>
          </w:p>
        </w:tc>
        <w:tc>
          <w:tcPr>
            <w:tcW w:w="782" w:type="dxa"/>
            <w:noWrap w:val="0"/>
            <w:vAlign w:val="center"/>
          </w:tcPr>
          <w:p w14:paraId="11730D8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8500.00</w:t>
            </w:r>
          </w:p>
        </w:tc>
        <w:tc>
          <w:tcPr>
            <w:tcW w:w="834" w:type="dxa"/>
            <w:noWrap w:val="0"/>
            <w:vAlign w:val="center"/>
          </w:tcPr>
          <w:p w14:paraId="278D01A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8500.00</w:t>
            </w:r>
          </w:p>
        </w:tc>
      </w:tr>
      <w:tr w14:paraId="6041C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526" w:type="dxa"/>
            <w:noWrap w:val="0"/>
            <w:vAlign w:val="center"/>
          </w:tcPr>
          <w:p w14:paraId="2B9B245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3</w:t>
            </w:r>
          </w:p>
        </w:tc>
        <w:tc>
          <w:tcPr>
            <w:tcW w:w="1883" w:type="dxa"/>
            <w:noWrap w:val="0"/>
            <w:vAlign w:val="center"/>
          </w:tcPr>
          <w:p w14:paraId="4A392B0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外购原材料进项税额</w:t>
            </w:r>
          </w:p>
        </w:tc>
        <w:tc>
          <w:tcPr>
            <w:tcW w:w="779" w:type="dxa"/>
            <w:noWrap w:val="0"/>
            <w:vAlign w:val="center"/>
          </w:tcPr>
          <w:p w14:paraId="656B0B5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14265.84</w:t>
            </w:r>
          </w:p>
        </w:tc>
        <w:tc>
          <w:tcPr>
            <w:tcW w:w="781" w:type="dxa"/>
            <w:noWrap w:val="0"/>
            <w:vAlign w:val="center"/>
          </w:tcPr>
          <w:p w14:paraId="0688346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418.76</w:t>
            </w:r>
          </w:p>
        </w:tc>
        <w:tc>
          <w:tcPr>
            <w:tcW w:w="781" w:type="dxa"/>
            <w:noWrap w:val="0"/>
            <w:vAlign w:val="center"/>
          </w:tcPr>
          <w:p w14:paraId="5EFD455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670.02</w:t>
            </w:r>
          </w:p>
        </w:tc>
        <w:tc>
          <w:tcPr>
            <w:tcW w:w="781" w:type="dxa"/>
            <w:noWrap w:val="0"/>
            <w:vAlign w:val="center"/>
          </w:tcPr>
          <w:p w14:paraId="605C0E0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893.36</w:t>
            </w:r>
          </w:p>
        </w:tc>
        <w:tc>
          <w:tcPr>
            <w:tcW w:w="781" w:type="dxa"/>
            <w:noWrap w:val="0"/>
            <w:vAlign w:val="center"/>
          </w:tcPr>
          <w:p w14:paraId="3D3DB1E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1116.70</w:t>
            </w:r>
          </w:p>
        </w:tc>
        <w:tc>
          <w:tcPr>
            <w:tcW w:w="781" w:type="dxa"/>
            <w:noWrap w:val="0"/>
            <w:vAlign w:val="center"/>
          </w:tcPr>
          <w:p w14:paraId="7614A2F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1116.70</w:t>
            </w:r>
          </w:p>
        </w:tc>
        <w:tc>
          <w:tcPr>
            <w:tcW w:w="781" w:type="dxa"/>
            <w:noWrap w:val="0"/>
            <w:vAlign w:val="center"/>
          </w:tcPr>
          <w:p w14:paraId="294EDC4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1116.70</w:t>
            </w:r>
          </w:p>
        </w:tc>
        <w:tc>
          <w:tcPr>
            <w:tcW w:w="781" w:type="dxa"/>
            <w:noWrap w:val="0"/>
            <w:vAlign w:val="center"/>
          </w:tcPr>
          <w:p w14:paraId="03CF9A5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1116.70</w:t>
            </w:r>
          </w:p>
        </w:tc>
        <w:tc>
          <w:tcPr>
            <w:tcW w:w="781" w:type="dxa"/>
            <w:noWrap w:val="0"/>
            <w:vAlign w:val="center"/>
          </w:tcPr>
          <w:p w14:paraId="1D0570A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1116.70</w:t>
            </w:r>
          </w:p>
        </w:tc>
        <w:tc>
          <w:tcPr>
            <w:tcW w:w="781" w:type="dxa"/>
            <w:noWrap w:val="0"/>
            <w:vAlign w:val="center"/>
          </w:tcPr>
          <w:p w14:paraId="6E0E1A0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1116.70</w:t>
            </w:r>
          </w:p>
        </w:tc>
        <w:tc>
          <w:tcPr>
            <w:tcW w:w="782" w:type="dxa"/>
            <w:noWrap w:val="0"/>
            <w:vAlign w:val="center"/>
          </w:tcPr>
          <w:p w14:paraId="4887BAD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1116.70</w:t>
            </w:r>
          </w:p>
        </w:tc>
        <w:tc>
          <w:tcPr>
            <w:tcW w:w="781" w:type="dxa"/>
            <w:noWrap w:val="0"/>
            <w:vAlign w:val="center"/>
          </w:tcPr>
          <w:p w14:paraId="11F19EB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1116.70</w:t>
            </w:r>
          </w:p>
        </w:tc>
        <w:tc>
          <w:tcPr>
            <w:tcW w:w="781" w:type="dxa"/>
            <w:noWrap w:val="0"/>
            <w:vAlign w:val="center"/>
          </w:tcPr>
          <w:p w14:paraId="388762E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1116.70</w:t>
            </w:r>
          </w:p>
        </w:tc>
        <w:tc>
          <w:tcPr>
            <w:tcW w:w="782" w:type="dxa"/>
            <w:noWrap w:val="0"/>
            <w:vAlign w:val="center"/>
          </w:tcPr>
          <w:p w14:paraId="351B63A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1116.70</w:t>
            </w:r>
          </w:p>
        </w:tc>
        <w:tc>
          <w:tcPr>
            <w:tcW w:w="834" w:type="dxa"/>
            <w:noWrap w:val="0"/>
            <w:vAlign w:val="center"/>
          </w:tcPr>
          <w:p w14:paraId="0750FAD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1116.70</w:t>
            </w:r>
          </w:p>
        </w:tc>
      </w:tr>
    </w:tbl>
    <w:p w14:paraId="070888D0">
      <w:pPr>
        <w:pStyle w:val="12"/>
        <w:rPr>
          <w:rFonts w:ascii="Times New Roman" w:hAnsi="Times New Roman" w:eastAsia="宋体" w:cs="宋体"/>
          <w:color w:val="auto"/>
        </w:rPr>
      </w:pPr>
    </w:p>
    <w:p w14:paraId="6D136719">
      <w:pPr>
        <w:rPr>
          <w:rFonts w:ascii="Times New Roman" w:hAnsi="Times New Roman" w:eastAsia="宋体" w:cs="宋体"/>
          <w:color w:val="auto"/>
        </w:rPr>
        <w:sectPr>
          <w:footerReference r:id="rId28" w:type="default"/>
          <w:pgSz w:w="16840" w:h="11907"/>
          <w:pgMar w:top="1340" w:right="1330" w:bottom="1148" w:left="1327" w:header="1068" w:footer="961" w:gutter="0"/>
          <w:pgBorders w:offsetFrom="page">
            <w:top w:val="none" w:sz="0" w:space="0"/>
            <w:left w:val="none" w:sz="0" w:space="0"/>
            <w:bottom w:val="none" w:sz="0" w:space="0"/>
            <w:right w:val="none" w:sz="0" w:space="0"/>
          </w:pgBorders>
          <w:pgNumType w:fmt="decimal"/>
          <w:cols w:space="720" w:num="1"/>
        </w:sectPr>
      </w:pPr>
    </w:p>
    <w:p w14:paraId="390F8A1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附表6：项目投资现金流量表</w:t>
      </w:r>
    </w:p>
    <w:tbl>
      <w:tblPr>
        <w:tblStyle w:val="26"/>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03"/>
        <w:gridCol w:w="2221"/>
        <w:gridCol w:w="584"/>
        <w:gridCol w:w="759"/>
        <w:gridCol w:w="759"/>
        <w:gridCol w:w="759"/>
        <w:gridCol w:w="759"/>
        <w:gridCol w:w="794"/>
        <w:gridCol w:w="794"/>
        <w:gridCol w:w="794"/>
        <w:gridCol w:w="794"/>
        <w:gridCol w:w="794"/>
        <w:gridCol w:w="794"/>
        <w:gridCol w:w="794"/>
        <w:gridCol w:w="794"/>
        <w:gridCol w:w="794"/>
        <w:gridCol w:w="794"/>
      </w:tblGrid>
      <w:tr w14:paraId="6C1CB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0" w:type="auto"/>
            <w:vMerge w:val="restart"/>
            <w:tcBorders>
              <w:bottom w:val="nil"/>
            </w:tcBorders>
            <w:noWrap w:val="0"/>
            <w:vAlign w:val="center"/>
          </w:tcPr>
          <w:p w14:paraId="5CE5710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序号</w:t>
            </w:r>
          </w:p>
        </w:tc>
        <w:tc>
          <w:tcPr>
            <w:tcW w:w="0" w:type="auto"/>
            <w:vMerge w:val="restart"/>
            <w:tcBorders>
              <w:bottom w:val="nil"/>
            </w:tcBorders>
            <w:noWrap w:val="0"/>
            <w:vAlign w:val="center"/>
          </w:tcPr>
          <w:p w14:paraId="2490754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项目</w:t>
            </w:r>
          </w:p>
        </w:tc>
        <w:tc>
          <w:tcPr>
            <w:tcW w:w="0" w:type="auto"/>
            <w:vMerge w:val="restart"/>
            <w:tcBorders>
              <w:bottom w:val="nil"/>
            </w:tcBorders>
            <w:noWrap w:val="0"/>
            <w:vAlign w:val="center"/>
          </w:tcPr>
          <w:p w14:paraId="5803DC3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合计</w:t>
            </w:r>
          </w:p>
        </w:tc>
        <w:tc>
          <w:tcPr>
            <w:tcW w:w="0" w:type="auto"/>
            <w:noWrap w:val="0"/>
            <w:vAlign w:val="center"/>
          </w:tcPr>
          <w:p w14:paraId="11D5FC9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建设期</w:t>
            </w:r>
          </w:p>
        </w:tc>
        <w:tc>
          <w:tcPr>
            <w:tcW w:w="0" w:type="auto"/>
            <w:gridSpan w:val="13"/>
            <w:noWrap w:val="0"/>
            <w:vAlign w:val="center"/>
          </w:tcPr>
          <w:p w14:paraId="798ECCD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经营期</w:t>
            </w:r>
          </w:p>
        </w:tc>
      </w:tr>
      <w:tr w14:paraId="475B3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vMerge w:val="continue"/>
            <w:tcBorders>
              <w:top w:val="nil"/>
            </w:tcBorders>
            <w:noWrap w:val="0"/>
            <w:vAlign w:val="center"/>
          </w:tcPr>
          <w:p w14:paraId="6813660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0" w:type="auto"/>
            <w:vMerge w:val="continue"/>
            <w:tcBorders>
              <w:top w:val="nil"/>
            </w:tcBorders>
            <w:noWrap w:val="0"/>
            <w:vAlign w:val="center"/>
          </w:tcPr>
          <w:p w14:paraId="78A5560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0" w:type="auto"/>
            <w:vMerge w:val="continue"/>
            <w:tcBorders>
              <w:top w:val="nil"/>
            </w:tcBorders>
            <w:noWrap w:val="0"/>
            <w:vAlign w:val="center"/>
          </w:tcPr>
          <w:p w14:paraId="1FB0958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0" w:type="auto"/>
            <w:noWrap w:val="0"/>
            <w:vAlign w:val="center"/>
          </w:tcPr>
          <w:p w14:paraId="22B4AD0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1</w:t>
            </w:r>
          </w:p>
        </w:tc>
        <w:tc>
          <w:tcPr>
            <w:tcW w:w="0" w:type="auto"/>
            <w:noWrap w:val="0"/>
            <w:vAlign w:val="center"/>
          </w:tcPr>
          <w:p w14:paraId="2998135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w:t>
            </w:r>
          </w:p>
        </w:tc>
        <w:tc>
          <w:tcPr>
            <w:tcW w:w="0" w:type="auto"/>
            <w:noWrap w:val="0"/>
            <w:vAlign w:val="center"/>
          </w:tcPr>
          <w:p w14:paraId="3787315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3</w:t>
            </w:r>
          </w:p>
        </w:tc>
        <w:tc>
          <w:tcPr>
            <w:tcW w:w="0" w:type="auto"/>
            <w:noWrap w:val="0"/>
            <w:vAlign w:val="center"/>
          </w:tcPr>
          <w:p w14:paraId="2EA4E8E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4</w:t>
            </w:r>
          </w:p>
        </w:tc>
        <w:tc>
          <w:tcPr>
            <w:tcW w:w="0" w:type="auto"/>
            <w:noWrap w:val="0"/>
            <w:vAlign w:val="center"/>
          </w:tcPr>
          <w:p w14:paraId="2B798AE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5</w:t>
            </w:r>
          </w:p>
        </w:tc>
        <w:tc>
          <w:tcPr>
            <w:tcW w:w="0" w:type="auto"/>
            <w:noWrap w:val="0"/>
            <w:vAlign w:val="center"/>
          </w:tcPr>
          <w:p w14:paraId="1FB005A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6</w:t>
            </w:r>
          </w:p>
        </w:tc>
        <w:tc>
          <w:tcPr>
            <w:tcW w:w="0" w:type="auto"/>
            <w:noWrap w:val="0"/>
            <w:vAlign w:val="center"/>
          </w:tcPr>
          <w:p w14:paraId="7876410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7</w:t>
            </w:r>
          </w:p>
        </w:tc>
        <w:tc>
          <w:tcPr>
            <w:tcW w:w="0" w:type="auto"/>
            <w:noWrap w:val="0"/>
            <w:vAlign w:val="center"/>
          </w:tcPr>
          <w:p w14:paraId="6078A4B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8</w:t>
            </w:r>
          </w:p>
        </w:tc>
        <w:tc>
          <w:tcPr>
            <w:tcW w:w="0" w:type="auto"/>
            <w:noWrap w:val="0"/>
            <w:vAlign w:val="center"/>
          </w:tcPr>
          <w:p w14:paraId="08AD580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9</w:t>
            </w:r>
          </w:p>
        </w:tc>
        <w:tc>
          <w:tcPr>
            <w:tcW w:w="0" w:type="auto"/>
            <w:noWrap w:val="0"/>
            <w:vAlign w:val="center"/>
          </w:tcPr>
          <w:p w14:paraId="424DF99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10</w:t>
            </w:r>
          </w:p>
        </w:tc>
        <w:tc>
          <w:tcPr>
            <w:tcW w:w="0" w:type="auto"/>
            <w:noWrap w:val="0"/>
            <w:vAlign w:val="center"/>
          </w:tcPr>
          <w:p w14:paraId="724D9CC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11</w:t>
            </w:r>
          </w:p>
        </w:tc>
        <w:tc>
          <w:tcPr>
            <w:tcW w:w="0" w:type="auto"/>
            <w:noWrap w:val="0"/>
            <w:vAlign w:val="center"/>
          </w:tcPr>
          <w:p w14:paraId="4F65C28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12</w:t>
            </w:r>
          </w:p>
        </w:tc>
        <w:tc>
          <w:tcPr>
            <w:tcW w:w="0" w:type="auto"/>
            <w:noWrap w:val="0"/>
            <w:vAlign w:val="center"/>
          </w:tcPr>
          <w:p w14:paraId="0FCF110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13</w:t>
            </w:r>
          </w:p>
        </w:tc>
        <w:tc>
          <w:tcPr>
            <w:tcW w:w="0" w:type="auto"/>
            <w:noWrap w:val="0"/>
            <w:vAlign w:val="center"/>
          </w:tcPr>
          <w:p w14:paraId="7511961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14</w:t>
            </w:r>
          </w:p>
        </w:tc>
      </w:tr>
      <w:tr w14:paraId="716E3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noWrap w:val="0"/>
            <w:vAlign w:val="center"/>
          </w:tcPr>
          <w:p w14:paraId="4C5846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1</w:t>
            </w:r>
          </w:p>
        </w:tc>
        <w:tc>
          <w:tcPr>
            <w:tcW w:w="0" w:type="auto"/>
            <w:noWrap w:val="0"/>
            <w:vAlign w:val="center"/>
          </w:tcPr>
          <w:p w14:paraId="4EA10B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现金流入</w:t>
            </w:r>
          </w:p>
        </w:tc>
        <w:tc>
          <w:tcPr>
            <w:tcW w:w="0" w:type="auto"/>
            <w:noWrap w:val="0"/>
            <w:vAlign w:val="center"/>
          </w:tcPr>
          <w:p w14:paraId="04381ACD">
            <w:pPr>
              <w:jc w:val="center"/>
              <w:rPr>
                <w:rFonts w:ascii="Times New Roman" w:hAnsi="Times New Roman" w:eastAsia="宋体" w:cs="宋体"/>
                <w:color w:val="auto"/>
                <w:sz w:val="21"/>
                <w:szCs w:val="21"/>
              </w:rPr>
            </w:pPr>
          </w:p>
        </w:tc>
        <w:tc>
          <w:tcPr>
            <w:tcW w:w="0" w:type="auto"/>
            <w:noWrap w:val="0"/>
            <w:vAlign w:val="center"/>
          </w:tcPr>
          <w:p w14:paraId="5D9A0B98">
            <w:pPr>
              <w:jc w:val="center"/>
              <w:rPr>
                <w:rFonts w:ascii="Times New Roman" w:hAnsi="Times New Roman" w:eastAsia="宋体" w:cs="宋体"/>
                <w:color w:val="auto"/>
                <w:sz w:val="21"/>
                <w:szCs w:val="21"/>
              </w:rPr>
            </w:pPr>
          </w:p>
        </w:tc>
        <w:tc>
          <w:tcPr>
            <w:tcW w:w="0" w:type="auto"/>
            <w:noWrap w:val="0"/>
            <w:vAlign w:val="center"/>
          </w:tcPr>
          <w:p w14:paraId="5CDF606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4200</w:t>
            </w:r>
          </w:p>
        </w:tc>
        <w:tc>
          <w:tcPr>
            <w:tcW w:w="0" w:type="auto"/>
            <w:noWrap w:val="0"/>
            <w:vAlign w:val="center"/>
          </w:tcPr>
          <w:p w14:paraId="01990AB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6720</w:t>
            </w:r>
          </w:p>
        </w:tc>
        <w:tc>
          <w:tcPr>
            <w:tcW w:w="0" w:type="auto"/>
            <w:noWrap w:val="0"/>
            <w:vAlign w:val="center"/>
          </w:tcPr>
          <w:p w14:paraId="6544B87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8960</w:t>
            </w:r>
          </w:p>
        </w:tc>
        <w:tc>
          <w:tcPr>
            <w:tcW w:w="0" w:type="auto"/>
            <w:noWrap w:val="0"/>
            <w:vAlign w:val="center"/>
          </w:tcPr>
          <w:p w14:paraId="7FC01EE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118D231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52B630B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495D915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3AAEFEC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20156AC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1D4B7D6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39FBC0D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3066858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36F1B2C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r>
      <w:tr w14:paraId="2CC5E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noWrap w:val="0"/>
            <w:vAlign w:val="center"/>
          </w:tcPr>
          <w:p w14:paraId="75373E5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4"/>
                <w:sz w:val="21"/>
                <w:szCs w:val="14"/>
              </w:rPr>
              <w:t>1.1</w:t>
            </w:r>
          </w:p>
        </w:tc>
        <w:tc>
          <w:tcPr>
            <w:tcW w:w="0" w:type="auto"/>
            <w:noWrap w:val="0"/>
            <w:vAlign w:val="center"/>
          </w:tcPr>
          <w:p w14:paraId="29540DF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营业收入</w:t>
            </w:r>
          </w:p>
        </w:tc>
        <w:tc>
          <w:tcPr>
            <w:tcW w:w="0" w:type="auto"/>
            <w:noWrap w:val="0"/>
            <w:vAlign w:val="center"/>
          </w:tcPr>
          <w:p w14:paraId="0337724B">
            <w:pPr>
              <w:jc w:val="center"/>
              <w:rPr>
                <w:rFonts w:ascii="Times New Roman" w:hAnsi="Times New Roman" w:eastAsia="宋体" w:cs="宋体"/>
                <w:color w:val="auto"/>
                <w:sz w:val="21"/>
                <w:szCs w:val="21"/>
              </w:rPr>
            </w:pPr>
          </w:p>
        </w:tc>
        <w:tc>
          <w:tcPr>
            <w:tcW w:w="0" w:type="auto"/>
            <w:noWrap w:val="0"/>
            <w:vAlign w:val="center"/>
          </w:tcPr>
          <w:p w14:paraId="471F4FE4">
            <w:pPr>
              <w:jc w:val="center"/>
              <w:rPr>
                <w:rFonts w:ascii="Times New Roman" w:hAnsi="Times New Roman" w:eastAsia="宋体" w:cs="宋体"/>
                <w:color w:val="auto"/>
                <w:sz w:val="21"/>
                <w:szCs w:val="21"/>
              </w:rPr>
            </w:pPr>
          </w:p>
        </w:tc>
        <w:tc>
          <w:tcPr>
            <w:tcW w:w="0" w:type="auto"/>
            <w:noWrap w:val="0"/>
            <w:vAlign w:val="center"/>
          </w:tcPr>
          <w:p w14:paraId="6D09475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4200</w:t>
            </w:r>
          </w:p>
        </w:tc>
        <w:tc>
          <w:tcPr>
            <w:tcW w:w="0" w:type="auto"/>
            <w:noWrap w:val="0"/>
            <w:vAlign w:val="center"/>
          </w:tcPr>
          <w:p w14:paraId="55F5F6D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6720</w:t>
            </w:r>
          </w:p>
        </w:tc>
        <w:tc>
          <w:tcPr>
            <w:tcW w:w="0" w:type="auto"/>
            <w:noWrap w:val="0"/>
            <w:vAlign w:val="center"/>
          </w:tcPr>
          <w:p w14:paraId="6FCA0E2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8960</w:t>
            </w:r>
          </w:p>
        </w:tc>
        <w:tc>
          <w:tcPr>
            <w:tcW w:w="0" w:type="auto"/>
            <w:noWrap w:val="0"/>
            <w:vAlign w:val="center"/>
          </w:tcPr>
          <w:p w14:paraId="3DFAE54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1173603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1541A22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59C0520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78CD404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43213C8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3E39761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0C741C9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7D63BF1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799E4EC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11200</w:t>
            </w:r>
          </w:p>
        </w:tc>
      </w:tr>
      <w:tr w14:paraId="3CF63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noWrap w:val="0"/>
            <w:vAlign w:val="center"/>
          </w:tcPr>
          <w:p w14:paraId="7B6B69F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1.2</w:t>
            </w:r>
          </w:p>
        </w:tc>
        <w:tc>
          <w:tcPr>
            <w:tcW w:w="0" w:type="auto"/>
            <w:noWrap w:val="0"/>
            <w:vAlign w:val="center"/>
          </w:tcPr>
          <w:p w14:paraId="6ABFEC9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补助收入</w:t>
            </w:r>
          </w:p>
        </w:tc>
        <w:tc>
          <w:tcPr>
            <w:tcW w:w="0" w:type="auto"/>
            <w:noWrap w:val="0"/>
            <w:vAlign w:val="center"/>
          </w:tcPr>
          <w:p w14:paraId="212B9FD5">
            <w:pPr>
              <w:jc w:val="center"/>
              <w:rPr>
                <w:rFonts w:ascii="Times New Roman" w:hAnsi="Times New Roman" w:eastAsia="宋体" w:cs="宋体"/>
                <w:color w:val="auto"/>
                <w:sz w:val="21"/>
                <w:szCs w:val="21"/>
              </w:rPr>
            </w:pPr>
          </w:p>
        </w:tc>
        <w:tc>
          <w:tcPr>
            <w:tcW w:w="0" w:type="auto"/>
            <w:noWrap w:val="0"/>
            <w:vAlign w:val="center"/>
          </w:tcPr>
          <w:p w14:paraId="7ED43557">
            <w:pPr>
              <w:jc w:val="center"/>
              <w:rPr>
                <w:rFonts w:ascii="Times New Roman" w:hAnsi="Times New Roman" w:eastAsia="宋体" w:cs="宋体"/>
                <w:color w:val="auto"/>
                <w:sz w:val="21"/>
                <w:szCs w:val="21"/>
              </w:rPr>
            </w:pPr>
          </w:p>
        </w:tc>
        <w:tc>
          <w:tcPr>
            <w:tcW w:w="0" w:type="auto"/>
            <w:noWrap w:val="0"/>
            <w:vAlign w:val="center"/>
          </w:tcPr>
          <w:p w14:paraId="785276D6">
            <w:pPr>
              <w:jc w:val="center"/>
              <w:rPr>
                <w:rFonts w:ascii="Times New Roman" w:hAnsi="Times New Roman" w:eastAsia="宋体" w:cs="宋体"/>
                <w:color w:val="auto"/>
                <w:sz w:val="21"/>
                <w:szCs w:val="21"/>
              </w:rPr>
            </w:pPr>
          </w:p>
        </w:tc>
        <w:tc>
          <w:tcPr>
            <w:tcW w:w="0" w:type="auto"/>
            <w:noWrap w:val="0"/>
            <w:vAlign w:val="center"/>
          </w:tcPr>
          <w:p w14:paraId="00BBB3A9">
            <w:pPr>
              <w:jc w:val="center"/>
              <w:rPr>
                <w:rFonts w:ascii="Times New Roman" w:hAnsi="Times New Roman" w:eastAsia="宋体" w:cs="宋体"/>
                <w:color w:val="auto"/>
                <w:sz w:val="21"/>
                <w:szCs w:val="21"/>
              </w:rPr>
            </w:pPr>
          </w:p>
        </w:tc>
        <w:tc>
          <w:tcPr>
            <w:tcW w:w="0" w:type="auto"/>
            <w:noWrap w:val="0"/>
            <w:vAlign w:val="center"/>
          </w:tcPr>
          <w:p w14:paraId="6FD6D2E0">
            <w:pPr>
              <w:jc w:val="center"/>
              <w:rPr>
                <w:rFonts w:ascii="Times New Roman" w:hAnsi="Times New Roman" w:eastAsia="宋体" w:cs="宋体"/>
                <w:color w:val="auto"/>
                <w:sz w:val="21"/>
                <w:szCs w:val="21"/>
              </w:rPr>
            </w:pPr>
          </w:p>
        </w:tc>
        <w:tc>
          <w:tcPr>
            <w:tcW w:w="0" w:type="auto"/>
            <w:noWrap w:val="0"/>
            <w:vAlign w:val="center"/>
          </w:tcPr>
          <w:p w14:paraId="048CCD83">
            <w:pPr>
              <w:jc w:val="center"/>
              <w:rPr>
                <w:rFonts w:ascii="Times New Roman" w:hAnsi="Times New Roman" w:eastAsia="宋体" w:cs="宋体"/>
                <w:color w:val="auto"/>
                <w:sz w:val="21"/>
                <w:szCs w:val="21"/>
              </w:rPr>
            </w:pPr>
          </w:p>
        </w:tc>
        <w:tc>
          <w:tcPr>
            <w:tcW w:w="0" w:type="auto"/>
            <w:noWrap w:val="0"/>
            <w:vAlign w:val="center"/>
          </w:tcPr>
          <w:p w14:paraId="14660E63">
            <w:pPr>
              <w:jc w:val="center"/>
              <w:rPr>
                <w:rFonts w:ascii="Times New Roman" w:hAnsi="Times New Roman" w:eastAsia="宋体" w:cs="宋体"/>
                <w:color w:val="auto"/>
                <w:sz w:val="21"/>
                <w:szCs w:val="21"/>
              </w:rPr>
            </w:pPr>
          </w:p>
        </w:tc>
        <w:tc>
          <w:tcPr>
            <w:tcW w:w="0" w:type="auto"/>
            <w:noWrap w:val="0"/>
            <w:vAlign w:val="center"/>
          </w:tcPr>
          <w:p w14:paraId="6CD2FC93">
            <w:pPr>
              <w:jc w:val="center"/>
              <w:rPr>
                <w:rFonts w:ascii="Times New Roman" w:hAnsi="Times New Roman" w:eastAsia="宋体" w:cs="宋体"/>
                <w:color w:val="auto"/>
                <w:sz w:val="21"/>
                <w:szCs w:val="21"/>
              </w:rPr>
            </w:pPr>
          </w:p>
        </w:tc>
        <w:tc>
          <w:tcPr>
            <w:tcW w:w="0" w:type="auto"/>
            <w:noWrap w:val="0"/>
            <w:vAlign w:val="center"/>
          </w:tcPr>
          <w:p w14:paraId="1FB6743A">
            <w:pPr>
              <w:jc w:val="center"/>
              <w:rPr>
                <w:rFonts w:ascii="Times New Roman" w:hAnsi="Times New Roman" w:eastAsia="宋体" w:cs="宋体"/>
                <w:color w:val="auto"/>
                <w:sz w:val="21"/>
                <w:szCs w:val="21"/>
              </w:rPr>
            </w:pPr>
          </w:p>
        </w:tc>
        <w:tc>
          <w:tcPr>
            <w:tcW w:w="0" w:type="auto"/>
            <w:noWrap w:val="0"/>
            <w:vAlign w:val="center"/>
          </w:tcPr>
          <w:p w14:paraId="2BAC0E4A">
            <w:pPr>
              <w:jc w:val="center"/>
              <w:rPr>
                <w:rFonts w:ascii="Times New Roman" w:hAnsi="Times New Roman" w:eastAsia="宋体" w:cs="宋体"/>
                <w:color w:val="auto"/>
                <w:sz w:val="21"/>
                <w:szCs w:val="21"/>
              </w:rPr>
            </w:pPr>
          </w:p>
        </w:tc>
        <w:tc>
          <w:tcPr>
            <w:tcW w:w="0" w:type="auto"/>
            <w:noWrap w:val="0"/>
            <w:vAlign w:val="center"/>
          </w:tcPr>
          <w:p w14:paraId="27B8A7AE">
            <w:pPr>
              <w:jc w:val="center"/>
              <w:rPr>
                <w:rFonts w:ascii="Times New Roman" w:hAnsi="Times New Roman" w:eastAsia="宋体" w:cs="宋体"/>
                <w:color w:val="auto"/>
                <w:sz w:val="21"/>
                <w:szCs w:val="21"/>
              </w:rPr>
            </w:pPr>
          </w:p>
        </w:tc>
        <w:tc>
          <w:tcPr>
            <w:tcW w:w="0" w:type="auto"/>
            <w:noWrap w:val="0"/>
            <w:vAlign w:val="center"/>
          </w:tcPr>
          <w:p w14:paraId="2010B0E7">
            <w:pPr>
              <w:jc w:val="center"/>
              <w:rPr>
                <w:rFonts w:ascii="Times New Roman" w:hAnsi="Times New Roman" w:eastAsia="宋体" w:cs="宋体"/>
                <w:color w:val="auto"/>
                <w:sz w:val="21"/>
                <w:szCs w:val="21"/>
              </w:rPr>
            </w:pPr>
          </w:p>
        </w:tc>
        <w:tc>
          <w:tcPr>
            <w:tcW w:w="0" w:type="auto"/>
            <w:noWrap w:val="0"/>
            <w:vAlign w:val="center"/>
          </w:tcPr>
          <w:p w14:paraId="55761C71">
            <w:pPr>
              <w:jc w:val="center"/>
              <w:rPr>
                <w:rFonts w:ascii="Times New Roman" w:hAnsi="Times New Roman" w:eastAsia="宋体" w:cs="宋体"/>
                <w:color w:val="auto"/>
                <w:sz w:val="21"/>
                <w:szCs w:val="21"/>
              </w:rPr>
            </w:pPr>
          </w:p>
        </w:tc>
        <w:tc>
          <w:tcPr>
            <w:tcW w:w="0" w:type="auto"/>
            <w:noWrap w:val="0"/>
            <w:vAlign w:val="center"/>
          </w:tcPr>
          <w:p w14:paraId="2CF7F5E6">
            <w:pPr>
              <w:jc w:val="center"/>
              <w:rPr>
                <w:rFonts w:ascii="Times New Roman" w:hAnsi="Times New Roman" w:eastAsia="宋体" w:cs="宋体"/>
                <w:color w:val="auto"/>
                <w:sz w:val="21"/>
                <w:szCs w:val="21"/>
              </w:rPr>
            </w:pPr>
          </w:p>
        </w:tc>
        <w:tc>
          <w:tcPr>
            <w:tcW w:w="0" w:type="auto"/>
            <w:noWrap w:val="0"/>
            <w:vAlign w:val="center"/>
          </w:tcPr>
          <w:p w14:paraId="340465F3">
            <w:pPr>
              <w:jc w:val="center"/>
              <w:rPr>
                <w:rFonts w:ascii="Times New Roman" w:hAnsi="Times New Roman" w:eastAsia="宋体" w:cs="宋体"/>
                <w:color w:val="auto"/>
                <w:sz w:val="21"/>
                <w:szCs w:val="21"/>
              </w:rPr>
            </w:pPr>
          </w:p>
        </w:tc>
      </w:tr>
      <w:tr w14:paraId="40977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noWrap w:val="0"/>
            <w:vAlign w:val="center"/>
          </w:tcPr>
          <w:p w14:paraId="6936711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1.3</w:t>
            </w:r>
          </w:p>
        </w:tc>
        <w:tc>
          <w:tcPr>
            <w:tcW w:w="0" w:type="auto"/>
            <w:noWrap w:val="0"/>
            <w:vAlign w:val="center"/>
          </w:tcPr>
          <w:p w14:paraId="11B4C33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回收固定资产余值</w:t>
            </w:r>
          </w:p>
        </w:tc>
        <w:tc>
          <w:tcPr>
            <w:tcW w:w="0" w:type="auto"/>
            <w:noWrap w:val="0"/>
            <w:vAlign w:val="center"/>
          </w:tcPr>
          <w:p w14:paraId="2FF1D22B">
            <w:pPr>
              <w:jc w:val="center"/>
              <w:rPr>
                <w:rFonts w:ascii="Times New Roman" w:hAnsi="Times New Roman" w:eastAsia="宋体" w:cs="宋体"/>
                <w:color w:val="auto"/>
                <w:sz w:val="21"/>
                <w:szCs w:val="21"/>
              </w:rPr>
            </w:pPr>
          </w:p>
        </w:tc>
        <w:tc>
          <w:tcPr>
            <w:tcW w:w="0" w:type="auto"/>
            <w:noWrap w:val="0"/>
            <w:vAlign w:val="center"/>
          </w:tcPr>
          <w:p w14:paraId="7B4ABBE2">
            <w:pPr>
              <w:jc w:val="center"/>
              <w:rPr>
                <w:rFonts w:ascii="Times New Roman" w:hAnsi="Times New Roman" w:eastAsia="宋体" w:cs="宋体"/>
                <w:color w:val="auto"/>
                <w:sz w:val="21"/>
                <w:szCs w:val="21"/>
              </w:rPr>
            </w:pPr>
          </w:p>
        </w:tc>
        <w:tc>
          <w:tcPr>
            <w:tcW w:w="0" w:type="auto"/>
            <w:noWrap w:val="0"/>
            <w:vAlign w:val="center"/>
          </w:tcPr>
          <w:p w14:paraId="4A599A88">
            <w:pPr>
              <w:jc w:val="center"/>
              <w:rPr>
                <w:rFonts w:ascii="Times New Roman" w:hAnsi="Times New Roman" w:eastAsia="宋体" w:cs="宋体"/>
                <w:color w:val="auto"/>
                <w:sz w:val="21"/>
                <w:szCs w:val="21"/>
              </w:rPr>
            </w:pPr>
          </w:p>
        </w:tc>
        <w:tc>
          <w:tcPr>
            <w:tcW w:w="0" w:type="auto"/>
            <w:noWrap w:val="0"/>
            <w:vAlign w:val="center"/>
          </w:tcPr>
          <w:p w14:paraId="738DA5B3">
            <w:pPr>
              <w:jc w:val="center"/>
              <w:rPr>
                <w:rFonts w:ascii="Times New Roman" w:hAnsi="Times New Roman" w:eastAsia="宋体" w:cs="宋体"/>
                <w:color w:val="auto"/>
                <w:sz w:val="21"/>
                <w:szCs w:val="21"/>
              </w:rPr>
            </w:pPr>
          </w:p>
        </w:tc>
        <w:tc>
          <w:tcPr>
            <w:tcW w:w="0" w:type="auto"/>
            <w:noWrap w:val="0"/>
            <w:vAlign w:val="center"/>
          </w:tcPr>
          <w:p w14:paraId="0CAC411C">
            <w:pPr>
              <w:jc w:val="center"/>
              <w:rPr>
                <w:rFonts w:ascii="Times New Roman" w:hAnsi="Times New Roman" w:eastAsia="宋体" w:cs="宋体"/>
                <w:color w:val="auto"/>
                <w:sz w:val="21"/>
                <w:szCs w:val="21"/>
              </w:rPr>
            </w:pPr>
          </w:p>
        </w:tc>
        <w:tc>
          <w:tcPr>
            <w:tcW w:w="0" w:type="auto"/>
            <w:noWrap w:val="0"/>
            <w:vAlign w:val="center"/>
          </w:tcPr>
          <w:p w14:paraId="3186A891">
            <w:pPr>
              <w:jc w:val="center"/>
              <w:rPr>
                <w:rFonts w:ascii="Times New Roman" w:hAnsi="Times New Roman" w:eastAsia="宋体" w:cs="宋体"/>
                <w:color w:val="auto"/>
                <w:sz w:val="21"/>
                <w:szCs w:val="21"/>
              </w:rPr>
            </w:pPr>
          </w:p>
        </w:tc>
        <w:tc>
          <w:tcPr>
            <w:tcW w:w="0" w:type="auto"/>
            <w:noWrap w:val="0"/>
            <w:vAlign w:val="center"/>
          </w:tcPr>
          <w:p w14:paraId="6C1A5FDB">
            <w:pPr>
              <w:jc w:val="center"/>
              <w:rPr>
                <w:rFonts w:ascii="Times New Roman" w:hAnsi="Times New Roman" w:eastAsia="宋体" w:cs="宋体"/>
                <w:color w:val="auto"/>
                <w:sz w:val="21"/>
                <w:szCs w:val="21"/>
              </w:rPr>
            </w:pPr>
          </w:p>
        </w:tc>
        <w:tc>
          <w:tcPr>
            <w:tcW w:w="0" w:type="auto"/>
            <w:noWrap w:val="0"/>
            <w:vAlign w:val="center"/>
          </w:tcPr>
          <w:p w14:paraId="7862014C">
            <w:pPr>
              <w:jc w:val="center"/>
              <w:rPr>
                <w:rFonts w:ascii="Times New Roman" w:hAnsi="Times New Roman" w:eastAsia="宋体" w:cs="宋体"/>
                <w:color w:val="auto"/>
                <w:sz w:val="21"/>
                <w:szCs w:val="21"/>
              </w:rPr>
            </w:pPr>
          </w:p>
        </w:tc>
        <w:tc>
          <w:tcPr>
            <w:tcW w:w="0" w:type="auto"/>
            <w:noWrap w:val="0"/>
            <w:vAlign w:val="center"/>
          </w:tcPr>
          <w:p w14:paraId="26B0644F">
            <w:pPr>
              <w:jc w:val="center"/>
              <w:rPr>
                <w:rFonts w:ascii="Times New Roman" w:hAnsi="Times New Roman" w:eastAsia="宋体" w:cs="宋体"/>
                <w:color w:val="auto"/>
                <w:sz w:val="21"/>
                <w:szCs w:val="21"/>
              </w:rPr>
            </w:pPr>
          </w:p>
        </w:tc>
        <w:tc>
          <w:tcPr>
            <w:tcW w:w="0" w:type="auto"/>
            <w:noWrap w:val="0"/>
            <w:vAlign w:val="center"/>
          </w:tcPr>
          <w:p w14:paraId="6258F996">
            <w:pPr>
              <w:jc w:val="center"/>
              <w:rPr>
                <w:rFonts w:ascii="Times New Roman" w:hAnsi="Times New Roman" w:eastAsia="宋体" w:cs="宋体"/>
                <w:color w:val="auto"/>
                <w:sz w:val="21"/>
                <w:szCs w:val="21"/>
              </w:rPr>
            </w:pPr>
          </w:p>
        </w:tc>
        <w:tc>
          <w:tcPr>
            <w:tcW w:w="0" w:type="auto"/>
            <w:noWrap w:val="0"/>
            <w:vAlign w:val="center"/>
          </w:tcPr>
          <w:p w14:paraId="57A9ED27">
            <w:pPr>
              <w:jc w:val="center"/>
              <w:rPr>
                <w:rFonts w:ascii="Times New Roman" w:hAnsi="Times New Roman" w:eastAsia="宋体" w:cs="宋体"/>
                <w:color w:val="auto"/>
                <w:sz w:val="21"/>
                <w:szCs w:val="21"/>
              </w:rPr>
            </w:pPr>
          </w:p>
        </w:tc>
        <w:tc>
          <w:tcPr>
            <w:tcW w:w="0" w:type="auto"/>
            <w:noWrap w:val="0"/>
            <w:vAlign w:val="center"/>
          </w:tcPr>
          <w:p w14:paraId="3E982D39">
            <w:pPr>
              <w:jc w:val="center"/>
              <w:rPr>
                <w:rFonts w:ascii="Times New Roman" w:hAnsi="Times New Roman" w:eastAsia="宋体" w:cs="宋体"/>
                <w:color w:val="auto"/>
                <w:sz w:val="21"/>
                <w:szCs w:val="21"/>
              </w:rPr>
            </w:pPr>
          </w:p>
        </w:tc>
        <w:tc>
          <w:tcPr>
            <w:tcW w:w="0" w:type="auto"/>
            <w:noWrap w:val="0"/>
            <w:vAlign w:val="center"/>
          </w:tcPr>
          <w:p w14:paraId="1F4D05FF">
            <w:pPr>
              <w:jc w:val="center"/>
              <w:rPr>
                <w:rFonts w:ascii="Times New Roman" w:hAnsi="Times New Roman" w:eastAsia="宋体" w:cs="宋体"/>
                <w:color w:val="auto"/>
                <w:sz w:val="21"/>
                <w:szCs w:val="21"/>
              </w:rPr>
            </w:pPr>
          </w:p>
        </w:tc>
        <w:tc>
          <w:tcPr>
            <w:tcW w:w="0" w:type="auto"/>
            <w:noWrap w:val="0"/>
            <w:vAlign w:val="center"/>
          </w:tcPr>
          <w:p w14:paraId="5F29CB8B">
            <w:pPr>
              <w:jc w:val="center"/>
              <w:rPr>
                <w:rFonts w:ascii="Times New Roman" w:hAnsi="Times New Roman" w:eastAsia="宋体" w:cs="宋体"/>
                <w:color w:val="auto"/>
                <w:sz w:val="21"/>
                <w:szCs w:val="21"/>
              </w:rPr>
            </w:pPr>
          </w:p>
        </w:tc>
        <w:tc>
          <w:tcPr>
            <w:tcW w:w="0" w:type="auto"/>
            <w:noWrap w:val="0"/>
            <w:vAlign w:val="center"/>
          </w:tcPr>
          <w:p w14:paraId="60881EFE">
            <w:pPr>
              <w:jc w:val="center"/>
              <w:rPr>
                <w:rFonts w:ascii="Times New Roman" w:hAnsi="Times New Roman" w:eastAsia="宋体" w:cs="宋体"/>
                <w:color w:val="auto"/>
                <w:sz w:val="21"/>
                <w:szCs w:val="21"/>
              </w:rPr>
            </w:pPr>
          </w:p>
        </w:tc>
      </w:tr>
      <w:tr w14:paraId="3659C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59EC667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1.4</w:t>
            </w:r>
          </w:p>
        </w:tc>
        <w:tc>
          <w:tcPr>
            <w:tcW w:w="0" w:type="auto"/>
            <w:noWrap w:val="0"/>
            <w:vAlign w:val="center"/>
          </w:tcPr>
          <w:p w14:paraId="3D9C994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回收流动资金</w:t>
            </w:r>
          </w:p>
        </w:tc>
        <w:tc>
          <w:tcPr>
            <w:tcW w:w="0" w:type="auto"/>
            <w:noWrap w:val="0"/>
            <w:vAlign w:val="center"/>
          </w:tcPr>
          <w:p w14:paraId="1A10A123">
            <w:pPr>
              <w:jc w:val="center"/>
              <w:rPr>
                <w:rFonts w:ascii="Times New Roman" w:hAnsi="Times New Roman" w:eastAsia="宋体" w:cs="宋体"/>
                <w:color w:val="auto"/>
                <w:sz w:val="21"/>
                <w:szCs w:val="21"/>
              </w:rPr>
            </w:pPr>
          </w:p>
        </w:tc>
        <w:tc>
          <w:tcPr>
            <w:tcW w:w="0" w:type="auto"/>
            <w:noWrap w:val="0"/>
            <w:vAlign w:val="center"/>
          </w:tcPr>
          <w:p w14:paraId="792B985D">
            <w:pPr>
              <w:jc w:val="center"/>
              <w:rPr>
                <w:rFonts w:ascii="Times New Roman" w:hAnsi="Times New Roman" w:eastAsia="宋体" w:cs="宋体"/>
                <w:color w:val="auto"/>
                <w:sz w:val="21"/>
                <w:szCs w:val="21"/>
              </w:rPr>
            </w:pPr>
          </w:p>
        </w:tc>
        <w:tc>
          <w:tcPr>
            <w:tcW w:w="0" w:type="auto"/>
            <w:noWrap w:val="0"/>
            <w:vAlign w:val="center"/>
          </w:tcPr>
          <w:p w14:paraId="6CC66373">
            <w:pPr>
              <w:jc w:val="center"/>
              <w:rPr>
                <w:rFonts w:ascii="Times New Roman" w:hAnsi="Times New Roman" w:eastAsia="宋体" w:cs="宋体"/>
                <w:color w:val="auto"/>
                <w:sz w:val="21"/>
                <w:szCs w:val="21"/>
              </w:rPr>
            </w:pPr>
          </w:p>
        </w:tc>
        <w:tc>
          <w:tcPr>
            <w:tcW w:w="0" w:type="auto"/>
            <w:noWrap w:val="0"/>
            <w:vAlign w:val="center"/>
          </w:tcPr>
          <w:p w14:paraId="557C97F9">
            <w:pPr>
              <w:jc w:val="center"/>
              <w:rPr>
                <w:rFonts w:ascii="Times New Roman" w:hAnsi="Times New Roman" w:eastAsia="宋体" w:cs="宋体"/>
                <w:color w:val="auto"/>
                <w:sz w:val="21"/>
                <w:szCs w:val="21"/>
              </w:rPr>
            </w:pPr>
          </w:p>
        </w:tc>
        <w:tc>
          <w:tcPr>
            <w:tcW w:w="0" w:type="auto"/>
            <w:noWrap w:val="0"/>
            <w:vAlign w:val="center"/>
          </w:tcPr>
          <w:p w14:paraId="4081AC03">
            <w:pPr>
              <w:jc w:val="center"/>
              <w:rPr>
                <w:rFonts w:ascii="Times New Roman" w:hAnsi="Times New Roman" w:eastAsia="宋体" w:cs="宋体"/>
                <w:color w:val="auto"/>
                <w:sz w:val="21"/>
                <w:szCs w:val="21"/>
              </w:rPr>
            </w:pPr>
          </w:p>
        </w:tc>
        <w:tc>
          <w:tcPr>
            <w:tcW w:w="0" w:type="auto"/>
            <w:noWrap w:val="0"/>
            <w:vAlign w:val="center"/>
          </w:tcPr>
          <w:p w14:paraId="390E9F37">
            <w:pPr>
              <w:jc w:val="center"/>
              <w:rPr>
                <w:rFonts w:ascii="Times New Roman" w:hAnsi="Times New Roman" w:eastAsia="宋体" w:cs="宋体"/>
                <w:color w:val="auto"/>
                <w:sz w:val="21"/>
                <w:szCs w:val="21"/>
              </w:rPr>
            </w:pPr>
          </w:p>
        </w:tc>
        <w:tc>
          <w:tcPr>
            <w:tcW w:w="0" w:type="auto"/>
            <w:noWrap w:val="0"/>
            <w:vAlign w:val="center"/>
          </w:tcPr>
          <w:p w14:paraId="144392A3">
            <w:pPr>
              <w:jc w:val="center"/>
              <w:rPr>
                <w:rFonts w:ascii="Times New Roman" w:hAnsi="Times New Roman" w:eastAsia="宋体" w:cs="宋体"/>
                <w:color w:val="auto"/>
                <w:sz w:val="21"/>
                <w:szCs w:val="21"/>
              </w:rPr>
            </w:pPr>
          </w:p>
        </w:tc>
        <w:tc>
          <w:tcPr>
            <w:tcW w:w="0" w:type="auto"/>
            <w:noWrap w:val="0"/>
            <w:vAlign w:val="center"/>
          </w:tcPr>
          <w:p w14:paraId="75AF4341">
            <w:pPr>
              <w:jc w:val="center"/>
              <w:rPr>
                <w:rFonts w:ascii="Times New Roman" w:hAnsi="Times New Roman" w:eastAsia="宋体" w:cs="宋体"/>
                <w:color w:val="auto"/>
                <w:sz w:val="21"/>
                <w:szCs w:val="21"/>
              </w:rPr>
            </w:pPr>
          </w:p>
        </w:tc>
        <w:tc>
          <w:tcPr>
            <w:tcW w:w="0" w:type="auto"/>
            <w:noWrap w:val="0"/>
            <w:vAlign w:val="center"/>
          </w:tcPr>
          <w:p w14:paraId="108A40A9">
            <w:pPr>
              <w:jc w:val="center"/>
              <w:rPr>
                <w:rFonts w:ascii="Times New Roman" w:hAnsi="Times New Roman" w:eastAsia="宋体" w:cs="宋体"/>
                <w:color w:val="auto"/>
                <w:sz w:val="21"/>
                <w:szCs w:val="21"/>
              </w:rPr>
            </w:pPr>
          </w:p>
        </w:tc>
        <w:tc>
          <w:tcPr>
            <w:tcW w:w="0" w:type="auto"/>
            <w:noWrap w:val="0"/>
            <w:vAlign w:val="center"/>
          </w:tcPr>
          <w:p w14:paraId="5ED79EC7">
            <w:pPr>
              <w:jc w:val="center"/>
              <w:rPr>
                <w:rFonts w:ascii="Times New Roman" w:hAnsi="Times New Roman" w:eastAsia="宋体" w:cs="宋体"/>
                <w:color w:val="auto"/>
                <w:sz w:val="21"/>
                <w:szCs w:val="21"/>
              </w:rPr>
            </w:pPr>
          </w:p>
        </w:tc>
        <w:tc>
          <w:tcPr>
            <w:tcW w:w="0" w:type="auto"/>
            <w:noWrap w:val="0"/>
            <w:vAlign w:val="center"/>
          </w:tcPr>
          <w:p w14:paraId="6B75DA1E">
            <w:pPr>
              <w:jc w:val="center"/>
              <w:rPr>
                <w:rFonts w:ascii="Times New Roman" w:hAnsi="Times New Roman" w:eastAsia="宋体" w:cs="宋体"/>
                <w:color w:val="auto"/>
                <w:sz w:val="21"/>
                <w:szCs w:val="21"/>
              </w:rPr>
            </w:pPr>
          </w:p>
        </w:tc>
        <w:tc>
          <w:tcPr>
            <w:tcW w:w="0" w:type="auto"/>
            <w:noWrap w:val="0"/>
            <w:vAlign w:val="center"/>
          </w:tcPr>
          <w:p w14:paraId="4DD80DC1">
            <w:pPr>
              <w:jc w:val="center"/>
              <w:rPr>
                <w:rFonts w:ascii="Times New Roman" w:hAnsi="Times New Roman" w:eastAsia="宋体" w:cs="宋体"/>
                <w:color w:val="auto"/>
                <w:sz w:val="21"/>
                <w:szCs w:val="21"/>
              </w:rPr>
            </w:pPr>
          </w:p>
        </w:tc>
        <w:tc>
          <w:tcPr>
            <w:tcW w:w="0" w:type="auto"/>
            <w:noWrap w:val="0"/>
            <w:vAlign w:val="center"/>
          </w:tcPr>
          <w:p w14:paraId="27D322ED">
            <w:pPr>
              <w:jc w:val="center"/>
              <w:rPr>
                <w:rFonts w:ascii="Times New Roman" w:hAnsi="Times New Roman" w:eastAsia="宋体" w:cs="宋体"/>
                <w:color w:val="auto"/>
                <w:sz w:val="21"/>
                <w:szCs w:val="21"/>
              </w:rPr>
            </w:pPr>
          </w:p>
        </w:tc>
        <w:tc>
          <w:tcPr>
            <w:tcW w:w="0" w:type="auto"/>
            <w:noWrap w:val="0"/>
            <w:vAlign w:val="center"/>
          </w:tcPr>
          <w:p w14:paraId="041C1459">
            <w:pPr>
              <w:jc w:val="center"/>
              <w:rPr>
                <w:rFonts w:ascii="Times New Roman" w:hAnsi="Times New Roman" w:eastAsia="宋体" w:cs="宋体"/>
                <w:color w:val="auto"/>
                <w:sz w:val="21"/>
                <w:szCs w:val="21"/>
              </w:rPr>
            </w:pPr>
          </w:p>
        </w:tc>
        <w:tc>
          <w:tcPr>
            <w:tcW w:w="0" w:type="auto"/>
            <w:noWrap w:val="0"/>
            <w:vAlign w:val="center"/>
          </w:tcPr>
          <w:p w14:paraId="0CBCBD92">
            <w:pPr>
              <w:jc w:val="center"/>
              <w:rPr>
                <w:rFonts w:ascii="Times New Roman" w:hAnsi="Times New Roman" w:eastAsia="宋体" w:cs="宋体"/>
                <w:color w:val="auto"/>
                <w:sz w:val="21"/>
                <w:szCs w:val="21"/>
              </w:rPr>
            </w:pPr>
          </w:p>
        </w:tc>
      </w:tr>
      <w:tr w14:paraId="2727A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0C2B9FD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w:t>
            </w:r>
          </w:p>
        </w:tc>
        <w:tc>
          <w:tcPr>
            <w:tcW w:w="0" w:type="auto"/>
            <w:noWrap w:val="0"/>
            <w:vAlign w:val="center"/>
          </w:tcPr>
          <w:p w14:paraId="0C67F1E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现金流出</w:t>
            </w:r>
          </w:p>
        </w:tc>
        <w:tc>
          <w:tcPr>
            <w:tcW w:w="0" w:type="auto"/>
            <w:noWrap w:val="0"/>
            <w:vAlign w:val="center"/>
          </w:tcPr>
          <w:p w14:paraId="565D0943">
            <w:pPr>
              <w:jc w:val="center"/>
              <w:rPr>
                <w:rFonts w:ascii="Times New Roman" w:hAnsi="Times New Roman" w:eastAsia="宋体" w:cs="宋体"/>
                <w:color w:val="auto"/>
                <w:sz w:val="21"/>
                <w:szCs w:val="21"/>
              </w:rPr>
            </w:pPr>
          </w:p>
        </w:tc>
        <w:tc>
          <w:tcPr>
            <w:tcW w:w="0" w:type="auto"/>
            <w:noWrap w:val="0"/>
            <w:vAlign w:val="center"/>
          </w:tcPr>
          <w:p w14:paraId="31ECDD8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4559.76 </w:t>
            </w:r>
          </w:p>
        </w:tc>
        <w:tc>
          <w:tcPr>
            <w:tcW w:w="0" w:type="auto"/>
            <w:noWrap w:val="0"/>
            <w:vAlign w:val="center"/>
          </w:tcPr>
          <w:p w14:paraId="257995B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4219.68 </w:t>
            </w:r>
          </w:p>
        </w:tc>
        <w:tc>
          <w:tcPr>
            <w:tcW w:w="0" w:type="auto"/>
            <w:noWrap w:val="0"/>
            <w:vAlign w:val="center"/>
          </w:tcPr>
          <w:p w14:paraId="16A2FE3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6561.36 </w:t>
            </w:r>
          </w:p>
        </w:tc>
        <w:tc>
          <w:tcPr>
            <w:tcW w:w="0" w:type="auto"/>
            <w:noWrap w:val="0"/>
            <w:vAlign w:val="center"/>
          </w:tcPr>
          <w:p w14:paraId="6B203A4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8287.42 </w:t>
            </w:r>
          </w:p>
        </w:tc>
        <w:tc>
          <w:tcPr>
            <w:tcW w:w="0" w:type="auto"/>
            <w:noWrap w:val="0"/>
            <w:vAlign w:val="center"/>
          </w:tcPr>
          <w:p w14:paraId="25C88D0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10346.80 </w:t>
            </w:r>
          </w:p>
        </w:tc>
        <w:tc>
          <w:tcPr>
            <w:tcW w:w="0" w:type="auto"/>
            <w:noWrap w:val="0"/>
            <w:vAlign w:val="center"/>
          </w:tcPr>
          <w:p w14:paraId="6E588F0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10346.80 </w:t>
            </w:r>
          </w:p>
        </w:tc>
        <w:tc>
          <w:tcPr>
            <w:tcW w:w="0" w:type="auto"/>
            <w:noWrap w:val="0"/>
            <w:vAlign w:val="center"/>
          </w:tcPr>
          <w:p w14:paraId="7A30EB4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10346.80 </w:t>
            </w:r>
          </w:p>
        </w:tc>
        <w:tc>
          <w:tcPr>
            <w:tcW w:w="0" w:type="auto"/>
            <w:noWrap w:val="0"/>
            <w:vAlign w:val="center"/>
          </w:tcPr>
          <w:p w14:paraId="3D86655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10346.80 </w:t>
            </w:r>
          </w:p>
        </w:tc>
        <w:tc>
          <w:tcPr>
            <w:tcW w:w="0" w:type="auto"/>
            <w:noWrap w:val="0"/>
            <w:vAlign w:val="center"/>
          </w:tcPr>
          <w:p w14:paraId="5F68B19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10346.80 </w:t>
            </w:r>
          </w:p>
        </w:tc>
        <w:tc>
          <w:tcPr>
            <w:tcW w:w="0" w:type="auto"/>
            <w:noWrap w:val="0"/>
            <w:vAlign w:val="center"/>
          </w:tcPr>
          <w:p w14:paraId="4C6D245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10346.80 </w:t>
            </w:r>
          </w:p>
        </w:tc>
        <w:tc>
          <w:tcPr>
            <w:tcW w:w="0" w:type="auto"/>
            <w:noWrap w:val="0"/>
            <w:vAlign w:val="center"/>
          </w:tcPr>
          <w:p w14:paraId="763FE30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10346.80 </w:t>
            </w:r>
          </w:p>
        </w:tc>
        <w:tc>
          <w:tcPr>
            <w:tcW w:w="0" w:type="auto"/>
            <w:noWrap w:val="0"/>
            <w:vAlign w:val="center"/>
          </w:tcPr>
          <w:p w14:paraId="68A412A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10346.80 </w:t>
            </w:r>
          </w:p>
        </w:tc>
        <w:tc>
          <w:tcPr>
            <w:tcW w:w="0" w:type="auto"/>
            <w:noWrap w:val="0"/>
            <w:vAlign w:val="center"/>
          </w:tcPr>
          <w:p w14:paraId="34CF92F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10346.80 </w:t>
            </w:r>
          </w:p>
        </w:tc>
        <w:tc>
          <w:tcPr>
            <w:tcW w:w="0" w:type="auto"/>
            <w:noWrap w:val="0"/>
            <w:vAlign w:val="center"/>
          </w:tcPr>
          <w:p w14:paraId="39ED950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10346.80 </w:t>
            </w:r>
          </w:p>
        </w:tc>
      </w:tr>
      <w:tr w14:paraId="4509B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067533A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2.1</w:t>
            </w:r>
          </w:p>
        </w:tc>
        <w:tc>
          <w:tcPr>
            <w:tcW w:w="0" w:type="auto"/>
            <w:noWrap w:val="0"/>
            <w:vAlign w:val="center"/>
          </w:tcPr>
          <w:p w14:paraId="1D2BAD5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建设投资</w:t>
            </w:r>
          </w:p>
        </w:tc>
        <w:tc>
          <w:tcPr>
            <w:tcW w:w="0" w:type="auto"/>
            <w:noWrap w:val="0"/>
            <w:vAlign w:val="center"/>
          </w:tcPr>
          <w:p w14:paraId="3F221C2C">
            <w:pPr>
              <w:jc w:val="center"/>
              <w:rPr>
                <w:rFonts w:ascii="Times New Roman" w:hAnsi="Times New Roman" w:eastAsia="宋体" w:cs="宋体"/>
                <w:color w:val="auto"/>
                <w:sz w:val="21"/>
                <w:szCs w:val="21"/>
              </w:rPr>
            </w:pPr>
          </w:p>
        </w:tc>
        <w:tc>
          <w:tcPr>
            <w:tcW w:w="0" w:type="auto"/>
            <w:noWrap w:val="0"/>
            <w:vAlign w:val="center"/>
          </w:tcPr>
          <w:p w14:paraId="7CCD0E5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4559.76 </w:t>
            </w:r>
          </w:p>
        </w:tc>
        <w:tc>
          <w:tcPr>
            <w:tcW w:w="0" w:type="auto"/>
            <w:noWrap w:val="0"/>
            <w:vAlign w:val="center"/>
          </w:tcPr>
          <w:p w14:paraId="0B22602E">
            <w:pPr>
              <w:jc w:val="center"/>
              <w:rPr>
                <w:rFonts w:ascii="Times New Roman" w:hAnsi="Times New Roman" w:eastAsia="宋体" w:cs="宋体"/>
                <w:color w:val="auto"/>
                <w:sz w:val="21"/>
                <w:szCs w:val="21"/>
              </w:rPr>
            </w:pPr>
          </w:p>
        </w:tc>
        <w:tc>
          <w:tcPr>
            <w:tcW w:w="0" w:type="auto"/>
            <w:noWrap w:val="0"/>
            <w:vAlign w:val="center"/>
          </w:tcPr>
          <w:p w14:paraId="03E20D04">
            <w:pPr>
              <w:jc w:val="center"/>
              <w:rPr>
                <w:rFonts w:ascii="Times New Roman" w:hAnsi="Times New Roman" w:eastAsia="宋体" w:cs="宋体"/>
                <w:color w:val="auto"/>
                <w:sz w:val="21"/>
                <w:szCs w:val="21"/>
              </w:rPr>
            </w:pPr>
          </w:p>
        </w:tc>
        <w:tc>
          <w:tcPr>
            <w:tcW w:w="0" w:type="auto"/>
            <w:noWrap w:val="0"/>
            <w:vAlign w:val="center"/>
          </w:tcPr>
          <w:p w14:paraId="7202FF66">
            <w:pPr>
              <w:jc w:val="center"/>
              <w:rPr>
                <w:rFonts w:ascii="Times New Roman" w:hAnsi="Times New Roman" w:eastAsia="宋体" w:cs="宋体"/>
                <w:color w:val="auto"/>
                <w:sz w:val="21"/>
                <w:szCs w:val="21"/>
              </w:rPr>
            </w:pPr>
          </w:p>
        </w:tc>
        <w:tc>
          <w:tcPr>
            <w:tcW w:w="0" w:type="auto"/>
            <w:noWrap w:val="0"/>
            <w:vAlign w:val="center"/>
          </w:tcPr>
          <w:p w14:paraId="28FE0222">
            <w:pPr>
              <w:jc w:val="center"/>
              <w:rPr>
                <w:rFonts w:ascii="Times New Roman" w:hAnsi="Times New Roman" w:eastAsia="宋体" w:cs="宋体"/>
                <w:color w:val="auto"/>
                <w:sz w:val="21"/>
                <w:szCs w:val="21"/>
              </w:rPr>
            </w:pPr>
          </w:p>
        </w:tc>
        <w:tc>
          <w:tcPr>
            <w:tcW w:w="0" w:type="auto"/>
            <w:noWrap w:val="0"/>
            <w:vAlign w:val="center"/>
          </w:tcPr>
          <w:p w14:paraId="3BEA2563">
            <w:pPr>
              <w:jc w:val="center"/>
              <w:rPr>
                <w:rFonts w:ascii="Times New Roman" w:hAnsi="Times New Roman" w:eastAsia="宋体" w:cs="宋体"/>
                <w:color w:val="auto"/>
                <w:sz w:val="21"/>
                <w:szCs w:val="21"/>
              </w:rPr>
            </w:pPr>
          </w:p>
        </w:tc>
        <w:tc>
          <w:tcPr>
            <w:tcW w:w="0" w:type="auto"/>
            <w:noWrap w:val="0"/>
            <w:vAlign w:val="center"/>
          </w:tcPr>
          <w:p w14:paraId="09033E9F">
            <w:pPr>
              <w:jc w:val="center"/>
              <w:rPr>
                <w:rFonts w:ascii="Times New Roman" w:hAnsi="Times New Roman" w:eastAsia="宋体" w:cs="宋体"/>
                <w:color w:val="auto"/>
                <w:sz w:val="21"/>
                <w:szCs w:val="21"/>
              </w:rPr>
            </w:pPr>
          </w:p>
        </w:tc>
        <w:tc>
          <w:tcPr>
            <w:tcW w:w="0" w:type="auto"/>
            <w:noWrap w:val="0"/>
            <w:vAlign w:val="center"/>
          </w:tcPr>
          <w:p w14:paraId="321B22C5">
            <w:pPr>
              <w:jc w:val="center"/>
              <w:rPr>
                <w:rFonts w:ascii="Times New Roman" w:hAnsi="Times New Roman" w:eastAsia="宋体" w:cs="宋体"/>
                <w:color w:val="auto"/>
                <w:sz w:val="21"/>
                <w:szCs w:val="21"/>
              </w:rPr>
            </w:pPr>
          </w:p>
        </w:tc>
        <w:tc>
          <w:tcPr>
            <w:tcW w:w="0" w:type="auto"/>
            <w:noWrap w:val="0"/>
            <w:vAlign w:val="center"/>
          </w:tcPr>
          <w:p w14:paraId="546532C0">
            <w:pPr>
              <w:jc w:val="center"/>
              <w:rPr>
                <w:rFonts w:ascii="Times New Roman" w:hAnsi="Times New Roman" w:eastAsia="宋体" w:cs="宋体"/>
                <w:color w:val="auto"/>
                <w:sz w:val="21"/>
                <w:szCs w:val="21"/>
              </w:rPr>
            </w:pPr>
          </w:p>
        </w:tc>
        <w:tc>
          <w:tcPr>
            <w:tcW w:w="0" w:type="auto"/>
            <w:noWrap w:val="0"/>
            <w:vAlign w:val="center"/>
          </w:tcPr>
          <w:p w14:paraId="6C3718AC">
            <w:pPr>
              <w:jc w:val="center"/>
              <w:rPr>
                <w:rFonts w:ascii="Times New Roman" w:hAnsi="Times New Roman" w:eastAsia="宋体" w:cs="宋体"/>
                <w:color w:val="auto"/>
                <w:sz w:val="21"/>
                <w:szCs w:val="21"/>
              </w:rPr>
            </w:pPr>
          </w:p>
        </w:tc>
        <w:tc>
          <w:tcPr>
            <w:tcW w:w="0" w:type="auto"/>
            <w:noWrap w:val="0"/>
            <w:vAlign w:val="center"/>
          </w:tcPr>
          <w:p w14:paraId="6409EDE9">
            <w:pPr>
              <w:jc w:val="center"/>
              <w:rPr>
                <w:rFonts w:ascii="Times New Roman" w:hAnsi="Times New Roman" w:eastAsia="宋体" w:cs="宋体"/>
                <w:color w:val="auto"/>
                <w:sz w:val="21"/>
                <w:szCs w:val="21"/>
              </w:rPr>
            </w:pPr>
          </w:p>
        </w:tc>
        <w:tc>
          <w:tcPr>
            <w:tcW w:w="0" w:type="auto"/>
            <w:noWrap w:val="0"/>
            <w:vAlign w:val="center"/>
          </w:tcPr>
          <w:p w14:paraId="69140578">
            <w:pPr>
              <w:jc w:val="center"/>
              <w:rPr>
                <w:rFonts w:ascii="Times New Roman" w:hAnsi="Times New Roman" w:eastAsia="宋体" w:cs="宋体"/>
                <w:color w:val="auto"/>
                <w:sz w:val="21"/>
                <w:szCs w:val="21"/>
              </w:rPr>
            </w:pPr>
          </w:p>
        </w:tc>
        <w:tc>
          <w:tcPr>
            <w:tcW w:w="0" w:type="auto"/>
            <w:noWrap w:val="0"/>
            <w:vAlign w:val="center"/>
          </w:tcPr>
          <w:p w14:paraId="0075ED56">
            <w:pPr>
              <w:jc w:val="center"/>
              <w:rPr>
                <w:rFonts w:ascii="Times New Roman" w:hAnsi="Times New Roman" w:eastAsia="宋体" w:cs="宋体"/>
                <w:color w:val="auto"/>
                <w:sz w:val="21"/>
                <w:szCs w:val="21"/>
              </w:rPr>
            </w:pPr>
          </w:p>
        </w:tc>
        <w:tc>
          <w:tcPr>
            <w:tcW w:w="0" w:type="auto"/>
            <w:noWrap w:val="0"/>
            <w:vAlign w:val="center"/>
          </w:tcPr>
          <w:p w14:paraId="6030E026">
            <w:pPr>
              <w:jc w:val="center"/>
              <w:rPr>
                <w:rFonts w:ascii="Times New Roman" w:hAnsi="Times New Roman" w:eastAsia="宋体" w:cs="宋体"/>
                <w:color w:val="auto"/>
                <w:sz w:val="21"/>
                <w:szCs w:val="21"/>
              </w:rPr>
            </w:pPr>
          </w:p>
        </w:tc>
      </w:tr>
      <w:tr w14:paraId="1280E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22E478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3"/>
                <w:sz w:val="21"/>
                <w:szCs w:val="14"/>
              </w:rPr>
              <w:t>2.2</w:t>
            </w:r>
          </w:p>
        </w:tc>
        <w:tc>
          <w:tcPr>
            <w:tcW w:w="0" w:type="auto"/>
            <w:noWrap w:val="0"/>
            <w:vAlign w:val="center"/>
          </w:tcPr>
          <w:p w14:paraId="07E1E64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流动资金</w:t>
            </w:r>
          </w:p>
        </w:tc>
        <w:tc>
          <w:tcPr>
            <w:tcW w:w="0" w:type="auto"/>
            <w:noWrap w:val="0"/>
            <w:vAlign w:val="center"/>
          </w:tcPr>
          <w:p w14:paraId="5698AE78">
            <w:pPr>
              <w:jc w:val="center"/>
              <w:rPr>
                <w:rFonts w:ascii="Times New Roman" w:hAnsi="Times New Roman" w:eastAsia="宋体" w:cs="宋体"/>
                <w:color w:val="auto"/>
                <w:sz w:val="21"/>
                <w:szCs w:val="21"/>
              </w:rPr>
            </w:pPr>
          </w:p>
        </w:tc>
        <w:tc>
          <w:tcPr>
            <w:tcW w:w="0" w:type="auto"/>
            <w:noWrap w:val="0"/>
            <w:vAlign w:val="center"/>
          </w:tcPr>
          <w:p w14:paraId="6AE6D88A">
            <w:pPr>
              <w:jc w:val="center"/>
              <w:rPr>
                <w:rFonts w:ascii="Times New Roman" w:hAnsi="Times New Roman" w:eastAsia="宋体" w:cs="宋体"/>
                <w:color w:val="auto"/>
                <w:sz w:val="21"/>
                <w:szCs w:val="21"/>
              </w:rPr>
            </w:pPr>
          </w:p>
        </w:tc>
        <w:tc>
          <w:tcPr>
            <w:tcW w:w="0" w:type="auto"/>
            <w:noWrap w:val="0"/>
            <w:vAlign w:val="center"/>
          </w:tcPr>
          <w:p w14:paraId="58AFF3C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310.63</w:t>
            </w:r>
          </w:p>
        </w:tc>
        <w:tc>
          <w:tcPr>
            <w:tcW w:w="0" w:type="auto"/>
            <w:noWrap w:val="0"/>
            <w:vAlign w:val="center"/>
          </w:tcPr>
          <w:p w14:paraId="1F27AD7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333.33</w:t>
            </w:r>
          </w:p>
        </w:tc>
        <w:tc>
          <w:tcPr>
            <w:tcW w:w="0" w:type="auto"/>
            <w:noWrap w:val="0"/>
            <w:vAlign w:val="center"/>
          </w:tcPr>
          <w:p w14:paraId="226484F7">
            <w:pPr>
              <w:jc w:val="center"/>
              <w:rPr>
                <w:rFonts w:ascii="Times New Roman" w:hAnsi="Times New Roman" w:eastAsia="宋体" w:cs="宋体"/>
                <w:color w:val="auto"/>
                <w:sz w:val="21"/>
                <w:szCs w:val="21"/>
              </w:rPr>
            </w:pPr>
          </w:p>
        </w:tc>
        <w:tc>
          <w:tcPr>
            <w:tcW w:w="0" w:type="auto"/>
            <w:noWrap w:val="0"/>
            <w:vAlign w:val="center"/>
          </w:tcPr>
          <w:p w14:paraId="4B03855A">
            <w:pPr>
              <w:jc w:val="center"/>
              <w:rPr>
                <w:rFonts w:ascii="Times New Roman" w:hAnsi="Times New Roman" w:eastAsia="宋体" w:cs="宋体"/>
                <w:color w:val="auto"/>
                <w:sz w:val="21"/>
                <w:szCs w:val="21"/>
              </w:rPr>
            </w:pPr>
          </w:p>
        </w:tc>
        <w:tc>
          <w:tcPr>
            <w:tcW w:w="0" w:type="auto"/>
            <w:noWrap w:val="0"/>
            <w:vAlign w:val="center"/>
          </w:tcPr>
          <w:p w14:paraId="29C96887">
            <w:pPr>
              <w:jc w:val="center"/>
              <w:rPr>
                <w:rFonts w:ascii="Times New Roman" w:hAnsi="Times New Roman" w:eastAsia="宋体" w:cs="宋体"/>
                <w:color w:val="auto"/>
                <w:sz w:val="21"/>
                <w:szCs w:val="21"/>
              </w:rPr>
            </w:pPr>
          </w:p>
        </w:tc>
        <w:tc>
          <w:tcPr>
            <w:tcW w:w="0" w:type="auto"/>
            <w:noWrap w:val="0"/>
            <w:vAlign w:val="center"/>
          </w:tcPr>
          <w:p w14:paraId="14AB60F8">
            <w:pPr>
              <w:jc w:val="center"/>
              <w:rPr>
                <w:rFonts w:ascii="Times New Roman" w:hAnsi="Times New Roman" w:eastAsia="宋体" w:cs="宋体"/>
                <w:color w:val="auto"/>
                <w:sz w:val="21"/>
                <w:szCs w:val="21"/>
              </w:rPr>
            </w:pPr>
          </w:p>
        </w:tc>
        <w:tc>
          <w:tcPr>
            <w:tcW w:w="0" w:type="auto"/>
            <w:noWrap w:val="0"/>
            <w:vAlign w:val="center"/>
          </w:tcPr>
          <w:p w14:paraId="1831FFC5">
            <w:pPr>
              <w:jc w:val="center"/>
              <w:rPr>
                <w:rFonts w:ascii="Times New Roman" w:hAnsi="Times New Roman" w:eastAsia="宋体" w:cs="宋体"/>
                <w:color w:val="auto"/>
                <w:sz w:val="21"/>
                <w:szCs w:val="21"/>
              </w:rPr>
            </w:pPr>
          </w:p>
        </w:tc>
        <w:tc>
          <w:tcPr>
            <w:tcW w:w="0" w:type="auto"/>
            <w:noWrap w:val="0"/>
            <w:vAlign w:val="center"/>
          </w:tcPr>
          <w:p w14:paraId="36BCE197">
            <w:pPr>
              <w:jc w:val="center"/>
              <w:rPr>
                <w:rFonts w:ascii="Times New Roman" w:hAnsi="Times New Roman" w:eastAsia="宋体" w:cs="宋体"/>
                <w:color w:val="auto"/>
                <w:sz w:val="21"/>
                <w:szCs w:val="21"/>
              </w:rPr>
            </w:pPr>
          </w:p>
        </w:tc>
        <w:tc>
          <w:tcPr>
            <w:tcW w:w="0" w:type="auto"/>
            <w:noWrap w:val="0"/>
            <w:vAlign w:val="center"/>
          </w:tcPr>
          <w:p w14:paraId="0CE1072B">
            <w:pPr>
              <w:jc w:val="center"/>
              <w:rPr>
                <w:rFonts w:ascii="Times New Roman" w:hAnsi="Times New Roman" w:eastAsia="宋体" w:cs="宋体"/>
                <w:color w:val="auto"/>
                <w:sz w:val="21"/>
                <w:szCs w:val="21"/>
              </w:rPr>
            </w:pPr>
          </w:p>
        </w:tc>
        <w:tc>
          <w:tcPr>
            <w:tcW w:w="0" w:type="auto"/>
            <w:noWrap w:val="0"/>
            <w:vAlign w:val="center"/>
          </w:tcPr>
          <w:p w14:paraId="1158665F">
            <w:pPr>
              <w:jc w:val="center"/>
              <w:rPr>
                <w:rFonts w:ascii="Times New Roman" w:hAnsi="Times New Roman" w:eastAsia="宋体" w:cs="宋体"/>
                <w:color w:val="auto"/>
                <w:sz w:val="21"/>
                <w:szCs w:val="21"/>
              </w:rPr>
            </w:pPr>
          </w:p>
        </w:tc>
        <w:tc>
          <w:tcPr>
            <w:tcW w:w="0" w:type="auto"/>
            <w:noWrap w:val="0"/>
            <w:vAlign w:val="center"/>
          </w:tcPr>
          <w:p w14:paraId="7C3832BC">
            <w:pPr>
              <w:jc w:val="center"/>
              <w:rPr>
                <w:rFonts w:ascii="Times New Roman" w:hAnsi="Times New Roman" w:eastAsia="宋体" w:cs="宋体"/>
                <w:color w:val="auto"/>
                <w:sz w:val="21"/>
                <w:szCs w:val="21"/>
              </w:rPr>
            </w:pPr>
          </w:p>
        </w:tc>
        <w:tc>
          <w:tcPr>
            <w:tcW w:w="0" w:type="auto"/>
            <w:noWrap w:val="0"/>
            <w:vAlign w:val="center"/>
          </w:tcPr>
          <w:p w14:paraId="3C11BB67">
            <w:pPr>
              <w:jc w:val="center"/>
              <w:rPr>
                <w:rFonts w:ascii="Times New Roman" w:hAnsi="Times New Roman" w:eastAsia="宋体" w:cs="宋体"/>
                <w:color w:val="auto"/>
                <w:sz w:val="21"/>
                <w:szCs w:val="21"/>
              </w:rPr>
            </w:pPr>
          </w:p>
        </w:tc>
        <w:tc>
          <w:tcPr>
            <w:tcW w:w="0" w:type="auto"/>
            <w:noWrap w:val="0"/>
            <w:vAlign w:val="center"/>
          </w:tcPr>
          <w:p w14:paraId="14852A9A">
            <w:pPr>
              <w:jc w:val="center"/>
              <w:rPr>
                <w:rFonts w:ascii="Times New Roman" w:hAnsi="Times New Roman" w:eastAsia="宋体" w:cs="宋体"/>
                <w:color w:val="auto"/>
                <w:sz w:val="21"/>
                <w:szCs w:val="21"/>
              </w:rPr>
            </w:pPr>
          </w:p>
        </w:tc>
      </w:tr>
      <w:tr w14:paraId="2766E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3594CDB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3"/>
                <w:sz w:val="21"/>
                <w:szCs w:val="14"/>
              </w:rPr>
              <w:t>2.3</w:t>
            </w:r>
          </w:p>
        </w:tc>
        <w:tc>
          <w:tcPr>
            <w:tcW w:w="0" w:type="auto"/>
            <w:noWrap w:val="0"/>
            <w:vAlign w:val="center"/>
          </w:tcPr>
          <w:p w14:paraId="6DEB22C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经营成本</w:t>
            </w:r>
          </w:p>
        </w:tc>
        <w:tc>
          <w:tcPr>
            <w:tcW w:w="0" w:type="auto"/>
            <w:noWrap w:val="0"/>
            <w:vAlign w:val="center"/>
          </w:tcPr>
          <w:p w14:paraId="7DF134B9">
            <w:pPr>
              <w:jc w:val="center"/>
              <w:rPr>
                <w:rFonts w:ascii="Times New Roman" w:hAnsi="Times New Roman" w:eastAsia="宋体" w:cs="宋体"/>
                <w:color w:val="auto"/>
                <w:sz w:val="21"/>
                <w:szCs w:val="21"/>
              </w:rPr>
            </w:pPr>
          </w:p>
        </w:tc>
        <w:tc>
          <w:tcPr>
            <w:tcW w:w="0" w:type="auto"/>
            <w:noWrap w:val="0"/>
            <w:vAlign w:val="center"/>
          </w:tcPr>
          <w:p w14:paraId="7E1ADD34">
            <w:pPr>
              <w:jc w:val="center"/>
              <w:rPr>
                <w:rFonts w:ascii="Times New Roman" w:hAnsi="Times New Roman" w:eastAsia="宋体" w:cs="宋体"/>
                <w:color w:val="auto"/>
                <w:sz w:val="21"/>
                <w:szCs w:val="21"/>
              </w:rPr>
            </w:pPr>
          </w:p>
        </w:tc>
        <w:tc>
          <w:tcPr>
            <w:tcW w:w="0" w:type="auto"/>
            <w:noWrap w:val="0"/>
            <w:vAlign w:val="center"/>
          </w:tcPr>
          <w:p w14:paraId="1271985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3900.35 </w:t>
            </w:r>
          </w:p>
        </w:tc>
        <w:tc>
          <w:tcPr>
            <w:tcW w:w="0" w:type="auto"/>
            <w:noWrap w:val="0"/>
            <w:vAlign w:val="center"/>
          </w:tcPr>
          <w:p w14:paraId="55660B8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6210.63 </w:t>
            </w:r>
          </w:p>
        </w:tc>
        <w:tc>
          <w:tcPr>
            <w:tcW w:w="0" w:type="auto"/>
            <w:noWrap w:val="0"/>
            <w:vAlign w:val="center"/>
          </w:tcPr>
          <w:p w14:paraId="6EF1264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8264.21 </w:t>
            </w:r>
          </w:p>
        </w:tc>
        <w:tc>
          <w:tcPr>
            <w:tcW w:w="0" w:type="auto"/>
            <w:noWrap w:val="0"/>
            <w:vAlign w:val="center"/>
          </w:tcPr>
          <w:p w14:paraId="71BCE90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10317.79 </w:t>
            </w:r>
          </w:p>
        </w:tc>
        <w:tc>
          <w:tcPr>
            <w:tcW w:w="0" w:type="auto"/>
            <w:noWrap w:val="0"/>
            <w:vAlign w:val="center"/>
          </w:tcPr>
          <w:p w14:paraId="64D8244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10317.79 </w:t>
            </w:r>
          </w:p>
        </w:tc>
        <w:tc>
          <w:tcPr>
            <w:tcW w:w="0" w:type="auto"/>
            <w:noWrap w:val="0"/>
            <w:vAlign w:val="center"/>
          </w:tcPr>
          <w:p w14:paraId="10B7227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10317.79 </w:t>
            </w:r>
          </w:p>
        </w:tc>
        <w:tc>
          <w:tcPr>
            <w:tcW w:w="0" w:type="auto"/>
            <w:noWrap w:val="0"/>
            <w:vAlign w:val="center"/>
          </w:tcPr>
          <w:p w14:paraId="03B6BCA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10317.79 </w:t>
            </w:r>
          </w:p>
        </w:tc>
        <w:tc>
          <w:tcPr>
            <w:tcW w:w="0" w:type="auto"/>
            <w:noWrap w:val="0"/>
            <w:vAlign w:val="center"/>
          </w:tcPr>
          <w:p w14:paraId="38B31F3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10317.79 </w:t>
            </w:r>
          </w:p>
        </w:tc>
        <w:tc>
          <w:tcPr>
            <w:tcW w:w="0" w:type="auto"/>
            <w:noWrap w:val="0"/>
            <w:vAlign w:val="center"/>
          </w:tcPr>
          <w:p w14:paraId="374B48F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10317.79 </w:t>
            </w:r>
          </w:p>
        </w:tc>
        <w:tc>
          <w:tcPr>
            <w:tcW w:w="0" w:type="auto"/>
            <w:noWrap w:val="0"/>
            <w:vAlign w:val="center"/>
          </w:tcPr>
          <w:p w14:paraId="2C3BB6F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10317.79 </w:t>
            </w:r>
          </w:p>
        </w:tc>
        <w:tc>
          <w:tcPr>
            <w:tcW w:w="0" w:type="auto"/>
            <w:noWrap w:val="0"/>
            <w:vAlign w:val="center"/>
          </w:tcPr>
          <w:p w14:paraId="6D70073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10317.79 </w:t>
            </w:r>
          </w:p>
        </w:tc>
        <w:tc>
          <w:tcPr>
            <w:tcW w:w="0" w:type="auto"/>
            <w:noWrap w:val="0"/>
            <w:vAlign w:val="center"/>
          </w:tcPr>
          <w:p w14:paraId="5EF15CC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10317.79 </w:t>
            </w:r>
          </w:p>
        </w:tc>
        <w:tc>
          <w:tcPr>
            <w:tcW w:w="0" w:type="auto"/>
            <w:noWrap w:val="0"/>
            <w:vAlign w:val="center"/>
          </w:tcPr>
          <w:p w14:paraId="6C0FA67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10317.79 </w:t>
            </w:r>
          </w:p>
        </w:tc>
      </w:tr>
      <w:tr w14:paraId="0E68F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26E9B3C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3"/>
                <w:sz w:val="21"/>
                <w:szCs w:val="14"/>
              </w:rPr>
              <w:t>2.4</w:t>
            </w:r>
          </w:p>
        </w:tc>
        <w:tc>
          <w:tcPr>
            <w:tcW w:w="0" w:type="auto"/>
            <w:noWrap w:val="0"/>
            <w:vAlign w:val="center"/>
          </w:tcPr>
          <w:p w14:paraId="608C52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营业税金及附加</w:t>
            </w:r>
          </w:p>
        </w:tc>
        <w:tc>
          <w:tcPr>
            <w:tcW w:w="0" w:type="auto"/>
            <w:noWrap w:val="0"/>
            <w:vAlign w:val="center"/>
          </w:tcPr>
          <w:p w14:paraId="1F077A3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368.42</w:t>
            </w:r>
          </w:p>
        </w:tc>
        <w:tc>
          <w:tcPr>
            <w:tcW w:w="0" w:type="auto"/>
            <w:noWrap w:val="0"/>
            <w:vAlign w:val="center"/>
          </w:tcPr>
          <w:p w14:paraId="7FB00CC2">
            <w:pPr>
              <w:jc w:val="center"/>
              <w:rPr>
                <w:rFonts w:ascii="Times New Roman" w:hAnsi="Times New Roman" w:eastAsia="宋体" w:cs="宋体"/>
                <w:color w:val="auto"/>
                <w:sz w:val="21"/>
                <w:szCs w:val="21"/>
              </w:rPr>
            </w:pPr>
          </w:p>
        </w:tc>
        <w:tc>
          <w:tcPr>
            <w:tcW w:w="0" w:type="auto"/>
            <w:noWrap w:val="0"/>
            <w:vAlign w:val="center"/>
          </w:tcPr>
          <w:p w14:paraId="7025757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8.7</w:t>
            </w:r>
          </w:p>
        </w:tc>
        <w:tc>
          <w:tcPr>
            <w:tcW w:w="0" w:type="auto"/>
            <w:noWrap w:val="0"/>
            <w:vAlign w:val="center"/>
          </w:tcPr>
          <w:p w14:paraId="7C5FC69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17.4</w:t>
            </w:r>
          </w:p>
        </w:tc>
        <w:tc>
          <w:tcPr>
            <w:tcW w:w="0" w:type="auto"/>
            <w:noWrap w:val="0"/>
            <w:vAlign w:val="center"/>
          </w:tcPr>
          <w:p w14:paraId="38D250B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23.21</w:t>
            </w:r>
          </w:p>
        </w:tc>
        <w:tc>
          <w:tcPr>
            <w:tcW w:w="0" w:type="auto"/>
            <w:noWrap w:val="0"/>
            <w:vAlign w:val="center"/>
          </w:tcPr>
          <w:p w14:paraId="13E2749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140B282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327319E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4AD3213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2F9DFDA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682AC54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17E58DE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68FAEAC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4918C79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41FD099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29.01</w:t>
            </w:r>
          </w:p>
        </w:tc>
      </w:tr>
      <w:tr w14:paraId="19BD3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176F2DB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3"/>
                <w:sz w:val="21"/>
                <w:szCs w:val="14"/>
              </w:rPr>
              <w:t>2.5</w:t>
            </w:r>
          </w:p>
        </w:tc>
        <w:tc>
          <w:tcPr>
            <w:tcW w:w="0" w:type="auto"/>
            <w:noWrap w:val="0"/>
            <w:vAlign w:val="center"/>
          </w:tcPr>
          <w:p w14:paraId="154711B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还本付息</w:t>
            </w:r>
          </w:p>
        </w:tc>
        <w:tc>
          <w:tcPr>
            <w:tcW w:w="0" w:type="auto"/>
            <w:noWrap w:val="0"/>
            <w:vAlign w:val="center"/>
          </w:tcPr>
          <w:p w14:paraId="4C43698E">
            <w:pPr>
              <w:jc w:val="center"/>
              <w:rPr>
                <w:rFonts w:ascii="Times New Roman" w:hAnsi="Times New Roman" w:eastAsia="宋体" w:cs="宋体"/>
                <w:color w:val="auto"/>
                <w:sz w:val="21"/>
                <w:szCs w:val="21"/>
              </w:rPr>
            </w:pPr>
          </w:p>
        </w:tc>
        <w:tc>
          <w:tcPr>
            <w:tcW w:w="0" w:type="auto"/>
            <w:noWrap w:val="0"/>
            <w:vAlign w:val="center"/>
          </w:tcPr>
          <w:p w14:paraId="324F761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0" w:type="auto"/>
            <w:noWrap w:val="0"/>
            <w:vAlign w:val="center"/>
          </w:tcPr>
          <w:p w14:paraId="6B2C1DF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0" w:type="auto"/>
            <w:noWrap w:val="0"/>
            <w:vAlign w:val="center"/>
          </w:tcPr>
          <w:p w14:paraId="68ED643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0" w:type="auto"/>
            <w:noWrap w:val="0"/>
            <w:vAlign w:val="center"/>
          </w:tcPr>
          <w:p w14:paraId="456D646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0" w:type="auto"/>
            <w:noWrap w:val="0"/>
            <w:vAlign w:val="center"/>
          </w:tcPr>
          <w:p w14:paraId="2A5A3BC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0" w:type="auto"/>
            <w:noWrap w:val="0"/>
            <w:vAlign w:val="center"/>
          </w:tcPr>
          <w:p w14:paraId="23C2875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0" w:type="auto"/>
            <w:noWrap w:val="0"/>
            <w:vAlign w:val="center"/>
          </w:tcPr>
          <w:p w14:paraId="0409146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0" w:type="auto"/>
            <w:noWrap w:val="0"/>
            <w:vAlign w:val="center"/>
          </w:tcPr>
          <w:p w14:paraId="4AA295D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0" w:type="auto"/>
            <w:noWrap w:val="0"/>
            <w:vAlign w:val="center"/>
          </w:tcPr>
          <w:p w14:paraId="5826951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0" w:type="auto"/>
            <w:noWrap w:val="0"/>
            <w:vAlign w:val="center"/>
          </w:tcPr>
          <w:p w14:paraId="2468DBE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0" w:type="auto"/>
            <w:noWrap w:val="0"/>
            <w:vAlign w:val="center"/>
          </w:tcPr>
          <w:p w14:paraId="6791CB0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0" w:type="auto"/>
            <w:noWrap w:val="0"/>
            <w:vAlign w:val="center"/>
          </w:tcPr>
          <w:p w14:paraId="7FC306C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0" w:type="auto"/>
            <w:noWrap w:val="0"/>
            <w:vAlign w:val="center"/>
          </w:tcPr>
          <w:p w14:paraId="66EDAE6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0" w:type="auto"/>
            <w:noWrap w:val="0"/>
            <w:vAlign w:val="center"/>
          </w:tcPr>
          <w:p w14:paraId="6935A380">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0</w:t>
            </w:r>
          </w:p>
        </w:tc>
      </w:tr>
      <w:tr w14:paraId="79539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1D1DC91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3</w:t>
            </w:r>
          </w:p>
        </w:tc>
        <w:tc>
          <w:tcPr>
            <w:tcW w:w="0" w:type="auto"/>
            <w:noWrap w:val="0"/>
            <w:vAlign w:val="center"/>
          </w:tcPr>
          <w:p w14:paraId="643B974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所得税前净现金流量（1-2）</w:t>
            </w:r>
          </w:p>
        </w:tc>
        <w:tc>
          <w:tcPr>
            <w:tcW w:w="0" w:type="auto"/>
            <w:noWrap w:val="0"/>
            <w:vAlign w:val="center"/>
          </w:tcPr>
          <w:p w14:paraId="2ED385E1">
            <w:pPr>
              <w:jc w:val="center"/>
              <w:rPr>
                <w:rFonts w:ascii="Times New Roman" w:hAnsi="Times New Roman" w:eastAsia="宋体" w:cs="宋体"/>
                <w:color w:val="auto"/>
                <w:sz w:val="21"/>
                <w:szCs w:val="21"/>
              </w:rPr>
            </w:pPr>
          </w:p>
        </w:tc>
        <w:tc>
          <w:tcPr>
            <w:tcW w:w="0" w:type="auto"/>
            <w:noWrap w:val="0"/>
            <w:vAlign w:val="center"/>
          </w:tcPr>
          <w:p w14:paraId="08DB16B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-4559.76 </w:t>
            </w:r>
          </w:p>
        </w:tc>
        <w:tc>
          <w:tcPr>
            <w:tcW w:w="0" w:type="auto"/>
            <w:noWrap w:val="0"/>
            <w:vAlign w:val="center"/>
          </w:tcPr>
          <w:p w14:paraId="2F7C652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-19.68 </w:t>
            </w:r>
          </w:p>
        </w:tc>
        <w:tc>
          <w:tcPr>
            <w:tcW w:w="0" w:type="auto"/>
            <w:noWrap w:val="0"/>
            <w:vAlign w:val="center"/>
          </w:tcPr>
          <w:p w14:paraId="5D5EEE1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158.64 </w:t>
            </w:r>
          </w:p>
        </w:tc>
        <w:tc>
          <w:tcPr>
            <w:tcW w:w="0" w:type="auto"/>
            <w:noWrap w:val="0"/>
            <w:vAlign w:val="center"/>
          </w:tcPr>
          <w:p w14:paraId="099F2D3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672.58 </w:t>
            </w:r>
          </w:p>
        </w:tc>
        <w:tc>
          <w:tcPr>
            <w:tcW w:w="0" w:type="auto"/>
            <w:noWrap w:val="0"/>
            <w:vAlign w:val="center"/>
          </w:tcPr>
          <w:p w14:paraId="271010A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853.20 </w:t>
            </w:r>
          </w:p>
        </w:tc>
        <w:tc>
          <w:tcPr>
            <w:tcW w:w="0" w:type="auto"/>
            <w:noWrap w:val="0"/>
            <w:vAlign w:val="center"/>
          </w:tcPr>
          <w:p w14:paraId="564005D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853.20 </w:t>
            </w:r>
          </w:p>
        </w:tc>
        <w:tc>
          <w:tcPr>
            <w:tcW w:w="0" w:type="auto"/>
            <w:noWrap w:val="0"/>
            <w:vAlign w:val="center"/>
          </w:tcPr>
          <w:p w14:paraId="3DE5BBD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853.20 </w:t>
            </w:r>
          </w:p>
        </w:tc>
        <w:tc>
          <w:tcPr>
            <w:tcW w:w="0" w:type="auto"/>
            <w:noWrap w:val="0"/>
            <w:vAlign w:val="center"/>
          </w:tcPr>
          <w:p w14:paraId="23D0A18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853.20 </w:t>
            </w:r>
          </w:p>
        </w:tc>
        <w:tc>
          <w:tcPr>
            <w:tcW w:w="0" w:type="auto"/>
            <w:noWrap w:val="0"/>
            <w:vAlign w:val="center"/>
          </w:tcPr>
          <w:p w14:paraId="6EF7003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853.20 </w:t>
            </w:r>
          </w:p>
        </w:tc>
        <w:tc>
          <w:tcPr>
            <w:tcW w:w="0" w:type="auto"/>
            <w:noWrap w:val="0"/>
            <w:vAlign w:val="center"/>
          </w:tcPr>
          <w:p w14:paraId="79FD1B0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853.20 </w:t>
            </w:r>
          </w:p>
        </w:tc>
        <w:tc>
          <w:tcPr>
            <w:tcW w:w="0" w:type="auto"/>
            <w:noWrap w:val="0"/>
            <w:vAlign w:val="center"/>
          </w:tcPr>
          <w:p w14:paraId="6754CD5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853.20 </w:t>
            </w:r>
          </w:p>
        </w:tc>
        <w:tc>
          <w:tcPr>
            <w:tcW w:w="0" w:type="auto"/>
            <w:noWrap w:val="0"/>
            <w:vAlign w:val="center"/>
          </w:tcPr>
          <w:p w14:paraId="71119C9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853.20 </w:t>
            </w:r>
          </w:p>
        </w:tc>
        <w:tc>
          <w:tcPr>
            <w:tcW w:w="0" w:type="auto"/>
            <w:noWrap w:val="0"/>
            <w:vAlign w:val="center"/>
          </w:tcPr>
          <w:p w14:paraId="00BCCCD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853.20 </w:t>
            </w:r>
          </w:p>
        </w:tc>
        <w:tc>
          <w:tcPr>
            <w:tcW w:w="0" w:type="auto"/>
            <w:noWrap w:val="0"/>
            <w:vAlign w:val="center"/>
          </w:tcPr>
          <w:p w14:paraId="0580AD1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853.20 </w:t>
            </w:r>
          </w:p>
        </w:tc>
      </w:tr>
      <w:tr w14:paraId="0BF82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083EC66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4</w:t>
            </w:r>
          </w:p>
        </w:tc>
        <w:tc>
          <w:tcPr>
            <w:tcW w:w="0" w:type="auto"/>
            <w:noWrap w:val="0"/>
            <w:vAlign w:val="center"/>
          </w:tcPr>
          <w:p w14:paraId="70030AA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累计所得税前净现金流量</w:t>
            </w:r>
          </w:p>
        </w:tc>
        <w:tc>
          <w:tcPr>
            <w:tcW w:w="0" w:type="auto"/>
            <w:noWrap w:val="0"/>
            <w:vAlign w:val="center"/>
          </w:tcPr>
          <w:p w14:paraId="402B76D2">
            <w:pPr>
              <w:jc w:val="center"/>
              <w:rPr>
                <w:rFonts w:ascii="Times New Roman" w:hAnsi="Times New Roman" w:eastAsia="宋体" w:cs="宋体"/>
                <w:color w:val="auto"/>
                <w:sz w:val="21"/>
                <w:szCs w:val="21"/>
              </w:rPr>
            </w:pPr>
          </w:p>
        </w:tc>
        <w:tc>
          <w:tcPr>
            <w:tcW w:w="0" w:type="auto"/>
            <w:noWrap w:val="0"/>
            <w:vAlign w:val="center"/>
          </w:tcPr>
          <w:p w14:paraId="4C6FAAF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-4559.76 </w:t>
            </w:r>
          </w:p>
        </w:tc>
        <w:tc>
          <w:tcPr>
            <w:tcW w:w="0" w:type="auto"/>
            <w:noWrap w:val="0"/>
            <w:vAlign w:val="center"/>
          </w:tcPr>
          <w:p w14:paraId="34338B6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-4579.44 </w:t>
            </w:r>
          </w:p>
        </w:tc>
        <w:tc>
          <w:tcPr>
            <w:tcW w:w="0" w:type="auto"/>
            <w:noWrap w:val="0"/>
            <w:vAlign w:val="center"/>
          </w:tcPr>
          <w:p w14:paraId="4ED87FF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-4420.81 </w:t>
            </w:r>
          </w:p>
        </w:tc>
        <w:tc>
          <w:tcPr>
            <w:tcW w:w="0" w:type="auto"/>
            <w:noWrap w:val="0"/>
            <w:vAlign w:val="center"/>
          </w:tcPr>
          <w:p w14:paraId="035035C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-3748.23 </w:t>
            </w:r>
          </w:p>
        </w:tc>
        <w:tc>
          <w:tcPr>
            <w:tcW w:w="0" w:type="auto"/>
            <w:noWrap w:val="0"/>
            <w:vAlign w:val="center"/>
          </w:tcPr>
          <w:p w14:paraId="0D2E190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-2895.03 </w:t>
            </w:r>
          </w:p>
        </w:tc>
        <w:tc>
          <w:tcPr>
            <w:tcW w:w="0" w:type="auto"/>
            <w:noWrap w:val="0"/>
            <w:vAlign w:val="center"/>
          </w:tcPr>
          <w:p w14:paraId="25370F7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-2041.84 </w:t>
            </w:r>
          </w:p>
        </w:tc>
        <w:tc>
          <w:tcPr>
            <w:tcW w:w="0" w:type="auto"/>
            <w:noWrap w:val="0"/>
            <w:vAlign w:val="center"/>
          </w:tcPr>
          <w:p w14:paraId="56B1B8F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-1188.64 </w:t>
            </w:r>
          </w:p>
        </w:tc>
        <w:tc>
          <w:tcPr>
            <w:tcW w:w="0" w:type="auto"/>
            <w:noWrap w:val="0"/>
            <w:vAlign w:val="center"/>
          </w:tcPr>
          <w:p w14:paraId="604BB5A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-335.45 </w:t>
            </w:r>
          </w:p>
        </w:tc>
        <w:tc>
          <w:tcPr>
            <w:tcW w:w="0" w:type="auto"/>
            <w:noWrap w:val="0"/>
            <w:vAlign w:val="center"/>
          </w:tcPr>
          <w:p w14:paraId="7E4D8BE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517.75 </w:t>
            </w:r>
          </w:p>
        </w:tc>
        <w:tc>
          <w:tcPr>
            <w:tcW w:w="0" w:type="auto"/>
            <w:noWrap w:val="0"/>
            <w:vAlign w:val="center"/>
          </w:tcPr>
          <w:p w14:paraId="6E8B6FE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1370.95 </w:t>
            </w:r>
          </w:p>
        </w:tc>
        <w:tc>
          <w:tcPr>
            <w:tcW w:w="0" w:type="auto"/>
            <w:noWrap w:val="0"/>
            <w:vAlign w:val="center"/>
          </w:tcPr>
          <w:p w14:paraId="118A679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2224.14 </w:t>
            </w:r>
          </w:p>
        </w:tc>
        <w:tc>
          <w:tcPr>
            <w:tcW w:w="0" w:type="auto"/>
            <w:noWrap w:val="0"/>
            <w:vAlign w:val="center"/>
          </w:tcPr>
          <w:p w14:paraId="0247EBE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3077.34 </w:t>
            </w:r>
          </w:p>
        </w:tc>
        <w:tc>
          <w:tcPr>
            <w:tcW w:w="0" w:type="auto"/>
            <w:noWrap w:val="0"/>
            <w:vAlign w:val="center"/>
          </w:tcPr>
          <w:p w14:paraId="7D0F269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3930.53 </w:t>
            </w:r>
          </w:p>
        </w:tc>
        <w:tc>
          <w:tcPr>
            <w:tcW w:w="0" w:type="auto"/>
            <w:noWrap w:val="0"/>
            <w:vAlign w:val="center"/>
          </w:tcPr>
          <w:p w14:paraId="14220A9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4783.73 </w:t>
            </w:r>
          </w:p>
        </w:tc>
      </w:tr>
      <w:tr w14:paraId="25D5A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5F26972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5</w:t>
            </w:r>
          </w:p>
        </w:tc>
        <w:tc>
          <w:tcPr>
            <w:tcW w:w="0" w:type="auto"/>
            <w:noWrap w:val="0"/>
            <w:vAlign w:val="center"/>
          </w:tcPr>
          <w:p w14:paraId="571E994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调整所得税</w:t>
            </w:r>
          </w:p>
        </w:tc>
        <w:tc>
          <w:tcPr>
            <w:tcW w:w="0" w:type="auto"/>
            <w:noWrap w:val="0"/>
            <w:vAlign w:val="center"/>
          </w:tcPr>
          <w:p w14:paraId="18135AF7">
            <w:pPr>
              <w:jc w:val="center"/>
              <w:rPr>
                <w:rFonts w:ascii="Times New Roman" w:hAnsi="Times New Roman" w:eastAsia="宋体" w:cs="宋体"/>
                <w:color w:val="auto"/>
                <w:sz w:val="21"/>
                <w:szCs w:val="21"/>
              </w:rPr>
            </w:pPr>
          </w:p>
        </w:tc>
        <w:tc>
          <w:tcPr>
            <w:tcW w:w="0" w:type="auto"/>
            <w:noWrap w:val="0"/>
            <w:vAlign w:val="center"/>
          </w:tcPr>
          <w:p w14:paraId="7B2C50B5">
            <w:pPr>
              <w:jc w:val="center"/>
              <w:rPr>
                <w:rFonts w:ascii="Times New Roman" w:hAnsi="Times New Roman" w:eastAsia="宋体" w:cs="宋体"/>
                <w:color w:val="auto"/>
                <w:sz w:val="21"/>
                <w:szCs w:val="21"/>
              </w:rPr>
            </w:pPr>
          </w:p>
        </w:tc>
        <w:tc>
          <w:tcPr>
            <w:tcW w:w="0" w:type="auto"/>
            <w:noWrap w:val="0"/>
            <w:vAlign w:val="center"/>
          </w:tcPr>
          <w:p w14:paraId="09313F5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47.79 </w:t>
            </w:r>
          </w:p>
        </w:tc>
        <w:tc>
          <w:tcPr>
            <w:tcW w:w="0" w:type="auto"/>
            <w:noWrap w:val="0"/>
            <w:vAlign w:val="center"/>
          </w:tcPr>
          <w:p w14:paraId="46BD7BAB">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98.05 </w:t>
            </w:r>
          </w:p>
        </w:tc>
        <w:tc>
          <w:tcPr>
            <w:tcW w:w="0" w:type="auto"/>
            <w:noWrap w:val="0"/>
            <w:vAlign w:val="center"/>
          </w:tcPr>
          <w:p w14:paraId="439060B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143.20 </w:t>
            </w:r>
          </w:p>
        </w:tc>
        <w:tc>
          <w:tcPr>
            <w:tcW w:w="0" w:type="auto"/>
            <w:noWrap w:val="0"/>
            <w:vAlign w:val="center"/>
          </w:tcPr>
          <w:p w14:paraId="39108D9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188.35 </w:t>
            </w:r>
          </w:p>
        </w:tc>
        <w:tc>
          <w:tcPr>
            <w:tcW w:w="0" w:type="auto"/>
            <w:noWrap w:val="0"/>
            <w:vAlign w:val="center"/>
          </w:tcPr>
          <w:p w14:paraId="391D102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188.35 </w:t>
            </w:r>
          </w:p>
        </w:tc>
        <w:tc>
          <w:tcPr>
            <w:tcW w:w="0" w:type="auto"/>
            <w:noWrap w:val="0"/>
            <w:vAlign w:val="center"/>
          </w:tcPr>
          <w:p w14:paraId="6EA4571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188.35 </w:t>
            </w:r>
          </w:p>
        </w:tc>
        <w:tc>
          <w:tcPr>
            <w:tcW w:w="0" w:type="auto"/>
            <w:noWrap w:val="0"/>
            <w:vAlign w:val="center"/>
          </w:tcPr>
          <w:p w14:paraId="6048709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188.35 </w:t>
            </w:r>
          </w:p>
        </w:tc>
        <w:tc>
          <w:tcPr>
            <w:tcW w:w="0" w:type="auto"/>
            <w:noWrap w:val="0"/>
            <w:vAlign w:val="center"/>
          </w:tcPr>
          <w:p w14:paraId="4D330D0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188.35 </w:t>
            </w:r>
          </w:p>
        </w:tc>
        <w:tc>
          <w:tcPr>
            <w:tcW w:w="0" w:type="auto"/>
            <w:noWrap w:val="0"/>
            <w:vAlign w:val="center"/>
          </w:tcPr>
          <w:p w14:paraId="7BEAEA0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188.35 </w:t>
            </w:r>
          </w:p>
        </w:tc>
        <w:tc>
          <w:tcPr>
            <w:tcW w:w="0" w:type="auto"/>
            <w:noWrap w:val="0"/>
            <w:vAlign w:val="center"/>
          </w:tcPr>
          <w:p w14:paraId="3CE5A09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188.35 </w:t>
            </w:r>
          </w:p>
        </w:tc>
        <w:tc>
          <w:tcPr>
            <w:tcW w:w="0" w:type="auto"/>
            <w:noWrap w:val="0"/>
            <w:vAlign w:val="center"/>
          </w:tcPr>
          <w:p w14:paraId="59CD1371">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188.35 </w:t>
            </w:r>
          </w:p>
        </w:tc>
        <w:tc>
          <w:tcPr>
            <w:tcW w:w="0" w:type="auto"/>
            <w:noWrap w:val="0"/>
            <w:vAlign w:val="center"/>
          </w:tcPr>
          <w:p w14:paraId="4BA602A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188.35 </w:t>
            </w:r>
          </w:p>
        </w:tc>
        <w:tc>
          <w:tcPr>
            <w:tcW w:w="0" w:type="auto"/>
            <w:noWrap w:val="0"/>
            <w:vAlign w:val="center"/>
          </w:tcPr>
          <w:p w14:paraId="6F40A01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188.35 </w:t>
            </w:r>
          </w:p>
        </w:tc>
      </w:tr>
      <w:tr w14:paraId="7CA93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0" w:type="auto"/>
            <w:noWrap w:val="0"/>
            <w:vAlign w:val="center"/>
          </w:tcPr>
          <w:p w14:paraId="21CEC04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6</w:t>
            </w:r>
          </w:p>
        </w:tc>
        <w:tc>
          <w:tcPr>
            <w:tcW w:w="0" w:type="auto"/>
            <w:noWrap w:val="0"/>
            <w:vAlign w:val="center"/>
          </w:tcPr>
          <w:p w14:paraId="4054887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所得税后净现金流量（3-5）</w:t>
            </w:r>
          </w:p>
        </w:tc>
        <w:tc>
          <w:tcPr>
            <w:tcW w:w="0" w:type="auto"/>
            <w:noWrap w:val="0"/>
            <w:vAlign w:val="center"/>
          </w:tcPr>
          <w:p w14:paraId="222A937F">
            <w:pPr>
              <w:jc w:val="center"/>
              <w:rPr>
                <w:rFonts w:ascii="Times New Roman" w:hAnsi="Times New Roman" w:eastAsia="宋体" w:cs="宋体"/>
                <w:color w:val="auto"/>
                <w:sz w:val="21"/>
                <w:szCs w:val="21"/>
              </w:rPr>
            </w:pPr>
          </w:p>
        </w:tc>
        <w:tc>
          <w:tcPr>
            <w:tcW w:w="0" w:type="auto"/>
            <w:noWrap w:val="0"/>
            <w:vAlign w:val="center"/>
          </w:tcPr>
          <w:p w14:paraId="06C8105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-4559.76 </w:t>
            </w:r>
          </w:p>
        </w:tc>
        <w:tc>
          <w:tcPr>
            <w:tcW w:w="0" w:type="auto"/>
            <w:noWrap w:val="0"/>
            <w:vAlign w:val="center"/>
          </w:tcPr>
          <w:p w14:paraId="4F05DE1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-67.48 </w:t>
            </w:r>
          </w:p>
        </w:tc>
        <w:tc>
          <w:tcPr>
            <w:tcW w:w="0" w:type="auto"/>
            <w:noWrap w:val="0"/>
            <w:vAlign w:val="center"/>
          </w:tcPr>
          <w:p w14:paraId="4519B49D">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60.59 </w:t>
            </w:r>
          </w:p>
        </w:tc>
        <w:tc>
          <w:tcPr>
            <w:tcW w:w="0" w:type="auto"/>
            <w:noWrap w:val="0"/>
            <w:vAlign w:val="center"/>
          </w:tcPr>
          <w:p w14:paraId="3CA6045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529.38 </w:t>
            </w:r>
          </w:p>
        </w:tc>
        <w:tc>
          <w:tcPr>
            <w:tcW w:w="0" w:type="auto"/>
            <w:noWrap w:val="0"/>
            <w:vAlign w:val="center"/>
          </w:tcPr>
          <w:p w14:paraId="5F49980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664.84 </w:t>
            </w:r>
          </w:p>
        </w:tc>
        <w:tc>
          <w:tcPr>
            <w:tcW w:w="0" w:type="auto"/>
            <w:noWrap w:val="0"/>
            <w:vAlign w:val="center"/>
          </w:tcPr>
          <w:p w14:paraId="6F0F871E">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664.84 </w:t>
            </w:r>
          </w:p>
        </w:tc>
        <w:tc>
          <w:tcPr>
            <w:tcW w:w="0" w:type="auto"/>
            <w:noWrap w:val="0"/>
            <w:vAlign w:val="center"/>
          </w:tcPr>
          <w:p w14:paraId="7DADF08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664.84 </w:t>
            </w:r>
          </w:p>
        </w:tc>
        <w:tc>
          <w:tcPr>
            <w:tcW w:w="0" w:type="auto"/>
            <w:noWrap w:val="0"/>
            <w:vAlign w:val="center"/>
          </w:tcPr>
          <w:p w14:paraId="2ACA154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664.84 </w:t>
            </w:r>
          </w:p>
        </w:tc>
        <w:tc>
          <w:tcPr>
            <w:tcW w:w="0" w:type="auto"/>
            <w:noWrap w:val="0"/>
            <w:vAlign w:val="center"/>
          </w:tcPr>
          <w:p w14:paraId="113DE6A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664.84 </w:t>
            </w:r>
          </w:p>
        </w:tc>
        <w:tc>
          <w:tcPr>
            <w:tcW w:w="0" w:type="auto"/>
            <w:noWrap w:val="0"/>
            <w:vAlign w:val="center"/>
          </w:tcPr>
          <w:p w14:paraId="238CF70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664.84 </w:t>
            </w:r>
          </w:p>
        </w:tc>
        <w:tc>
          <w:tcPr>
            <w:tcW w:w="0" w:type="auto"/>
            <w:noWrap w:val="0"/>
            <w:vAlign w:val="center"/>
          </w:tcPr>
          <w:p w14:paraId="07E3B86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664.84 </w:t>
            </w:r>
          </w:p>
        </w:tc>
        <w:tc>
          <w:tcPr>
            <w:tcW w:w="0" w:type="auto"/>
            <w:noWrap w:val="0"/>
            <w:vAlign w:val="center"/>
          </w:tcPr>
          <w:p w14:paraId="4DFC5A7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664.84 </w:t>
            </w:r>
          </w:p>
        </w:tc>
        <w:tc>
          <w:tcPr>
            <w:tcW w:w="0" w:type="auto"/>
            <w:noWrap w:val="0"/>
            <w:vAlign w:val="center"/>
          </w:tcPr>
          <w:p w14:paraId="61EF78A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664.84 </w:t>
            </w:r>
          </w:p>
        </w:tc>
        <w:tc>
          <w:tcPr>
            <w:tcW w:w="0" w:type="auto"/>
            <w:noWrap w:val="0"/>
            <w:vAlign w:val="center"/>
          </w:tcPr>
          <w:p w14:paraId="14B25B97">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664.84 </w:t>
            </w:r>
          </w:p>
        </w:tc>
      </w:tr>
      <w:tr w14:paraId="2C107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0" w:type="auto"/>
            <w:noWrap w:val="0"/>
            <w:vAlign w:val="center"/>
          </w:tcPr>
          <w:p w14:paraId="05FF08E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7</w:t>
            </w:r>
          </w:p>
        </w:tc>
        <w:tc>
          <w:tcPr>
            <w:tcW w:w="0" w:type="auto"/>
            <w:noWrap w:val="0"/>
            <w:vAlign w:val="center"/>
          </w:tcPr>
          <w:p w14:paraId="7093A33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累计所得税后净现金流量</w:t>
            </w:r>
          </w:p>
        </w:tc>
        <w:tc>
          <w:tcPr>
            <w:tcW w:w="0" w:type="auto"/>
            <w:noWrap w:val="0"/>
            <w:vAlign w:val="center"/>
          </w:tcPr>
          <w:p w14:paraId="6EDB756E">
            <w:pPr>
              <w:jc w:val="center"/>
              <w:rPr>
                <w:rFonts w:ascii="Times New Roman" w:hAnsi="Times New Roman" w:eastAsia="宋体" w:cs="宋体"/>
                <w:color w:val="auto"/>
                <w:sz w:val="21"/>
                <w:szCs w:val="21"/>
              </w:rPr>
            </w:pPr>
          </w:p>
        </w:tc>
        <w:tc>
          <w:tcPr>
            <w:tcW w:w="0" w:type="auto"/>
            <w:noWrap w:val="0"/>
            <w:vAlign w:val="center"/>
          </w:tcPr>
          <w:p w14:paraId="75B2425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-4559.76 </w:t>
            </w:r>
          </w:p>
        </w:tc>
        <w:tc>
          <w:tcPr>
            <w:tcW w:w="0" w:type="auto"/>
            <w:noWrap w:val="0"/>
            <w:vAlign w:val="center"/>
          </w:tcPr>
          <w:p w14:paraId="4442B18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-4627.24 </w:t>
            </w:r>
          </w:p>
        </w:tc>
        <w:tc>
          <w:tcPr>
            <w:tcW w:w="0" w:type="auto"/>
            <w:noWrap w:val="0"/>
            <w:vAlign w:val="center"/>
          </w:tcPr>
          <w:p w14:paraId="0D15C608">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-4566.64 </w:t>
            </w:r>
          </w:p>
        </w:tc>
        <w:tc>
          <w:tcPr>
            <w:tcW w:w="0" w:type="auto"/>
            <w:noWrap w:val="0"/>
            <w:vAlign w:val="center"/>
          </w:tcPr>
          <w:p w14:paraId="264407F4">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-4037.27 </w:t>
            </w:r>
          </w:p>
        </w:tc>
        <w:tc>
          <w:tcPr>
            <w:tcW w:w="0" w:type="auto"/>
            <w:noWrap w:val="0"/>
            <w:vAlign w:val="center"/>
          </w:tcPr>
          <w:p w14:paraId="541FC9F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-3372.43 </w:t>
            </w:r>
          </w:p>
        </w:tc>
        <w:tc>
          <w:tcPr>
            <w:tcW w:w="0" w:type="auto"/>
            <w:noWrap w:val="0"/>
            <w:vAlign w:val="center"/>
          </w:tcPr>
          <w:p w14:paraId="215A8159">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-2707.58 </w:t>
            </w:r>
          </w:p>
        </w:tc>
        <w:tc>
          <w:tcPr>
            <w:tcW w:w="0" w:type="auto"/>
            <w:noWrap w:val="0"/>
            <w:vAlign w:val="center"/>
          </w:tcPr>
          <w:p w14:paraId="3524B6DA">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-2042.74 </w:t>
            </w:r>
          </w:p>
        </w:tc>
        <w:tc>
          <w:tcPr>
            <w:tcW w:w="0" w:type="auto"/>
            <w:noWrap w:val="0"/>
            <w:vAlign w:val="center"/>
          </w:tcPr>
          <w:p w14:paraId="4A224582">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-1377.90 </w:t>
            </w:r>
          </w:p>
        </w:tc>
        <w:tc>
          <w:tcPr>
            <w:tcW w:w="0" w:type="auto"/>
            <w:noWrap w:val="0"/>
            <w:vAlign w:val="center"/>
          </w:tcPr>
          <w:p w14:paraId="6EF821F6">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-713.06 </w:t>
            </w:r>
          </w:p>
        </w:tc>
        <w:tc>
          <w:tcPr>
            <w:tcW w:w="0" w:type="auto"/>
            <w:noWrap w:val="0"/>
            <w:vAlign w:val="center"/>
          </w:tcPr>
          <w:p w14:paraId="0B62232C">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-48.22 </w:t>
            </w:r>
          </w:p>
        </w:tc>
        <w:tc>
          <w:tcPr>
            <w:tcW w:w="0" w:type="auto"/>
            <w:noWrap w:val="0"/>
            <w:vAlign w:val="center"/>
          </w:tcPr>
          <w:p w14:paraId="6F0B542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616.63 </w:t>
            </w:r>
          </w:p>
        </w:tc>
        <w:tc>
          <w:tcPr>
            <w:tcW w:w="0" w:type="auto"/>
            <w:noWrap w:val="0"/>
            <w:vAlign w:val="center"/>
          </w:tcPr>
          <w:p w14:paraId="6BFCF1B5">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1281.47 </w:t>
            </w:r>
          </w:p>
        </w:tc>
        <w:tc>
          <w:tcPr>
            <w:tcW w:w="0" w:type="auto"/>
            <w:noWrap w:val="0"/>
            <w:vAlign w:val="center"/>
          </w:tcPr>
          <w:p w14:paraId="618C4493">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1946.31 </w:t>
            </w:r>
          </w:p>
        </w:tc>
        <w:tc>
          <w:tcPr>
            <w:tcW w:w="0" w:type="auto"/>
            <w:noWrap w:val="0"/>
            <w:vAlign w:val="center"/>
          </w:tcPr>
          <w:p w14:paraId="50BA8D3F">
            <w:pPr>
              <w:keepNext w:val="0"/>
              <w:keepLines w:val="0"/>
              <w:widowControl/>
              <w:suppressLineNumbers w:val="0"/>
              <w:jc w:val="center"/>
              <w:textAlignment w:val="center"/>
              <w:rPr>
                <w:rFonts w:ascii="Times New Roman" w:hAnsi="Times New Roman" w:eastAsia="宋体" w:cs="宋体"/>
                <w:color w:val="auto"/>
                <w:sz w:val="21"/>
                <w:szCs w:val="21"/>
              </w:rPr>
            </w:pPr>
            <w:r>
              <w:rPr>
                <w:rFonts w:hint="default" w:ascii="Times New Roman" w:hAnsi="Times New Roman" w:eastAsia="宋体" w:cs="宋体"/>
                <w:i w:val="0"/>
                <w:iCs w:val="0"/>
                <w:snapToGrid w:val="0"/>
                <w:color w:val="auto"/>
                <w:kern w:val="0"/>
                <w:sz w:val="21"/>
                <w:szCs w:val="21"/>
                <w:u w:val="none"/>
                <w:lang w:val="en-US" w:eastAsia="zh-CN" w:bidi="ar"/>
              </w:rPr>
              <w:t xml:space="preserve">2611.15 </w:t>
            </w:r>
          </w:p>
        </w:tc>
      </w:tr>
    </w:tbl>
    <w:p w14:paraId="2A8445D1">
      <w:pPr>
        <w:pStyle w:val="12"/>
        <w:rPr>
          <w:rFonts w:ascii="Times New Roman" w:hAnsi="Times New Roman" w:eastAsia="宋体" w:cs="宋体"/>
          <w:color w:val="auto"/>
        </w:rPr>
      </w:pPr>
    </w:p>
    <w:p w14:paraId="05BFBF30">
      <w:pPr>
        <w:rPr>
          <w:rFonts w:ascii="Times New Roman" w:hAnsi="Times New Roman" w:eastAsia="宋体" w:cs="宋体"/>
          <w:color w:val="auto"/>
        </w:rPr>
        <w:sectPr>
          <w:footerReference r:id="rId29" w:type="default"/>
          <w:pgSz w:w="16840" w:h="11907"/>
          <w:pgMar w:top="1340" w:right="1330" w:bottom="1148" w:left="1327" w:header="1068" w:footer="961" w:gutter="0"/>
          <w:pgBorders w:offsetFrom="page">
            <w:top w:val="none" w:sz="0" w:space="0"/>
            <w:left w:val="none" w:sz="0" w:space="0"/>
            <w:bottom w:val="none" w:sz="0" w:space="0"/>
            <w:right w:val="none" w:sz="0" w:space="0"/>
          </w:pgBorders>
          <w:pgNumType w:fmt="decimal"/>
          <w:cols w:space="720" w:num="1"/>
        </w:sectPr>
      </w:pPr>
    </w:p>
    <w:p w14:paraId="7ACB289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附表7：利润及利润分配表</w:t>
      </w:r>
    </w:p>
    <w:tbl>
      <w:tblPr>
        <w:tblStyle w:val="26"/>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04"/>
        <w:gridCol w:w="2387"/>
        <w:gridCol w:w="689"/>
        <w:gridCol w:w="689"/>
        <w:gridCol w:w="689"/>
        <w:gridCol w:w="689"/>
        <w:gridCol w:w="794"/>
        <w:gridCol w:w="794"/>
        <w:gridCol w:w="794"/>
        <w:gridCol w:w="794"/>
        <w:gridCol w:w="794"/>
        <w:gridCol w:w="794"/>
        <w:gridCol w:w="794"/>
        <w:gridCol w:w="794"/>
        <w:gridCol w:w="794"/>
        <w:gridCol w:w="794"/>
        <w:gridCol w:w="794"/>
      </w:tblGrid>
      <w:tr w14:paraId="0856D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0" w:type="auto"/>
            <w:vMerge w:val="restart"/>
            <w:tcBorders>
              <w:bottom w:val="nil"/>
            </w:tcBorders>
            <w:noWrap w:val="0"/>
            <w:vAlign w:val="center"/>
          </w:tcPr>
          <w:p w14:paraId="1E15BE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序号</w:t>
            </w:r>
          </w:p>
        </w:tc>
        <w:tc>
          <w:tcPr>
            <w:tcW w:w="0" w:type="auto"/>
            <w:vMerge w:val="restart"/>
            <w:tcBorders>
              <w:bottom w:val="nil"/>
            </w:tcBorders>
            <w:noWrap w:val="0"/>
            <w:vAlign w:val="center"/>
          </w:tcPr>
          <w:p w14:paraId="55ADB09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项目</w:t>
            </w:r>
          </w:p>
        </w:tc>
        <w:tc>
          <w:tcPr>
            <w:tcW w:w="0" w:type="auto"/>
            <w:vMerge w:val="restart"/>
            <w:tcBorders>
              <w:bottom w:val="nil"/>
            </w:tcBorders>
            <w:noWrap w:val="0"/>
            <w:vAlign w:val="center"/>
          </w:tcPr>
          <w:p w14:paraId="6C0836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合计</w:t>
            </w:r>
          </w:p>
        </w:tc>
        <w:tc>
          <w:tcPr>
            <w:tcW w:w="0" w:type="auto"/>
            <w:gridSpan w:val="14"/>
            <w:tcBorders>
              <w:right w:val="nil"/>
            </w:tcBorders>
            <w:noWrap w:val="0"/>
            <w:vAlign w:val="center"/>
          </w:tcPr>
          <w:p w14:paraId="7420AA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运营期</w:t>
            </w:r>
          </w:p>
        </w:tc>
      </w:tr>
      <w:tr w14:paraId="7B3F5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vMerge w:val="continue"/>
            <w:tcBorders>
              <w:top w:val="nil"/>
            </w:tcBorders>
            <w:noWrap w:val="0"/>
            <w:vAlign w:val="center"/>
          </w:tcPr>
          <w:p w14:paraId="0B7B12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rPr>
            </w:pPr>
          </w:p>
        </w:tc>
        <w:tc>
          <w:tcPr>
            <w:tcW w:w="0" w:type="auto"/>
            <w:vMerge w:val="continue"/>
            <w:tcBorders>
              <w:top w:val="nil"/>
            </w:tcBorders>
            <w:noWrap w:val="0"/>
            <w:vAlign w:val="center"/>
          </w:tcPr>
          <w:p w14:paraId="20F87F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rPr>
            </w:pPr>
          </w:p>
        </w:tc>
        <w:tc>
          <w:tcPr>
            <w:tcW w:w="0" w:type="auto"/>
            <w:vMerge w:val="continue"/>
            <w:tcBorders>
              <w:top w:val="nil"/>
            </w:tcBorders>
            <w:noWrap w:val="0"/>
            <w:vAlign w:val="center"/>
          </w:tcPr>
          <w:p w14:paraId="4DF331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rPr>
            </w:pPr>
          </w:p>
        </w:tc>
        <w:tc>
          <w:tcPr>
            <w:tcW w:w="0" w:type="auto"/>
            <w:noWrap w:val="0"/>
            <w:vAlign w:val="center"/>
          </w:tcPr>
          <w:p w14:paraId="2954E3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w:t>
            </w:r>
          </w:p>
        </w:tc>
        <w:tc>
          <w:tcPr>
            <w:tcW w:w="0" w:type="auto"/>
            <w:noWrap w:val="0"/>
            <w:vAlign w:val="center"/>
          </w:tcPr>
          <w:p w14:paraId="7A1A0F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3</w:t>
            </w:r>
          </w:p>
        </w:tc>
        <w:tc>
          <w:tcPr>
            <w:tcW w:w="0" w:type="auto"/>
            <w:noWrap w:val="0"/>
            <w:vAlign w:val="center"/>
          </w:tcPr>
          <w:p w14:paraId="6EBFB5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4</w:t>
            </w:r>
          </w:p>
        </w:tc>
        <w:tc>
          <w:tcPr>
            <w:tcW w:w="0" w:type="auto"/>
            <w:noWrap w:val="0"/>
            <w:vAlign w:val="center"/>
          </w:tcPr>
          <w:p w14:paraId="1D4AAF0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5</w:t>
            </w:r>
          </w:p>
        </w:tc>
        <w:tc>
          <w:tcPr>
            <w:tcW w:w="0" w:type="auto"/>
            <w:noWrap w:val="0"/>
            <w:vAlign w:val="center"/>
          </w:tcPr>
          <w:p w14:paraId="03C907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6</w:t>
            </w:r>
          </w:p>
        </w:tc>
        <w:tc>
          <w:tcPr>
            <w:tcW w:w="0" w:type="auto"/>
            <w:noWrap w:val="0"/>
            <w:vAlign w:val="center"/>
          </w:tcPr>
          <w:p w14:paraId="7D8ADC7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7</w:t>
            </w:r>
          </w:p>
        </w:tc>
        <w:tc>
          <w:tcPr>
            <w:tcW w:w="0" w:type="auto"/>
            <w:noWrap w:val="0"/>
            <w:vAlign w:val="center"/>
          </w:tcPr>
          <w:p w14:paraId="5D81F3D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8</w:t>
            </w:r>
          </w:p>
        </w:tc>
        <w:tc>
          <w:tcPr>
            <w:tcW w:w="0" w:type="auto"/>
            <w:noWrap w:val="0"/>
            <w:vAlign w:val="center"/>
          </w:tcPr>
          <w:p w14:paraId="5BD58F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9</w:t>
            </w:r>
          </w:p>
        </w:tc>
        <w:tc>
          <w:tcPr>
            <w:tcW w:w="0" w:type="auto"/>
            <w:noWrap w:val="0"/>
            <w:vAlign w:val="center"/>
          </w:tcPr>
          <w:p w14:paraId="5092041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10</w:t>
            </w:r>
          </w:p>
        </w:tc>
        <w:tc>
          <w:tcPr>
            <w:tcW w:w="0" w:type="auto"/>
            <w:noWrap w:val="0"/>
            <w:vAlign w:val="center"/>
          </w:tcPr>
          <w:p w14:paraId="6824E6D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11</w:t>
            </w:r>
          </w:p>
        </w:tc>
        <w:tc>
          <w:tcPr>
            <w:tcW w:w="0" w:type="auto"/>
            <w:noWrap w:val="0"/>
            <w:vAlign w:val="center"/>
          </w:tcPr>
          <w:p w14:paraId="64173D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12</w:t>
            </w:r>
          </w:p>
        </w:tc>
        <w:tc>
          <w:tcPr>
            <w:tcW w:w="0" w:type="auto"/>
            <w:noWrap w:val="0"/>
            <w:vAlign w:val="center"/>
          </w:tcPr>
          <w:p w14:paraId="7ACDF2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13</w:t>
            </w:r>
          </w:p>
        </w:tc>
        <w:tc>
          <w:tcPr>
            <w:tcW w:w="0" w:type="auto"/>
            <w:noWrap w:val="0"/>
            <w:vAlign w:val="center"/>
          </w:tcPr>
          <w:p w14:paraId="6ECBB60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14</w:t>
            </w:r>
          </w:p>
        </w:tc>
        <w:tc>
          <w:tcPr>
            <w:tcW w:w="0" w:type="auto"/>
            <w:noWrap w:val="0"/>
            <w:vAlign w:val="center"/>
          </w:tcPr>
          <w:p w14:paraId="514AEE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15</w:t>
            </w:r>
          </w:p>
        </w:tc>
      </w:tr>
      <w:tr w14:paraId="4304F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noWrap w:val="0"/>
            <w:vAlign w:val="center"/>
          </w:tcPr>
          <w:p w14:paraId="3FF28B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1</w:t>
            </w:r>
          </w:p>
        </w:tc>
        <w:tc>
          <w:tcPr>
            <w:tcW w:w="0" w:type="auto"/>
            <w:noWrap w:val="0"/>
            <w:vAlign w:val="center"/>
          </w:tcPr>
          <w:p w14:paraId="7B4D42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营业收入</w:t>
            </w:r>
          </w:p>
        </w:tc>
        <w:tc>
          <w:tcPr>
            <w:tcW w:w="0" w:type="auto"/>
            <w:noWrap w:val="0"/>
            <w:vAlign w:val="center"/>
          </w:tcPr>
          <w:p w14:paraId="77C840FF">
            <w:pPr>
              <w:jc w:val="center"/>
              <w:rPr>
                <w:rFonts w:ascii="Times New Roman" w:hAnsi="Times New Roman" w:eastAsia="宋体" w:cs="宋体"/>
                <w:color w:val="auto"/>
                <w:sz w:val="21"/>
              </w:rPr>
            </w:pPr>
          </w:p>
        </w:tc>
        <w:tc>
          <w:tcPr>
            <w:tcW w:w="0" w:type="auto"/>
            <w:noWrap w:val="0"/>
            <w:vAlign w:val="center"/>
          </w:tcPr>
          <w:p w14:paraId="687B18A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4200</w:t>
            </w:r>
          </w:p>
        </w:tc>
        <w:tc>
          <w:tcPr>
            <w:tcW w:w="0" w:type="auto"/>
            <w:noWrap w:val="0"/>
            <w:vAlign w:val="center"/>
          </w:tcPr>
          <w:p w14:paraId="13B08D9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6720</w:t>
            </w:r>
          </w:p>
        </w:tc>
        <w:tc>
          <w:tcPr>
            <w:tcW w:w="0" w:type="auto"/>
            <w:noWrap w:val="0"/>
            <w:vAlign w:val="center"/>
          </w:tcPr>
          <w:p w14:paraId="4926172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8960</w:t>
            </w:r>
          </w:p>
        </w:tc>
        <w:tc>
          <w:tcPr>
            <w:tcW w:w="0" w:type="auto"/>
            <w:noWrap w:val="0"/>
            <w:vAlign w:val="center"/>
          </w:tcPr>
          <w:p w14:paraId="2366536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16A57F3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281F4D6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2B2111A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55BB71A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66F627A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0FA8174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5578C21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0AC36D7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287DDFB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11200</w:t>
            </w:r>
          </w:p>
        </w:tc>
        <w:tc>
          <w:tcPr>
            <w:tcW w:w="0" w:type="auto"/>
            <w:noWrap w:val="0"/>
            <w:vAlign w:val="center"/>
          </w:tcPr>
          <w:p w14:paraId="3BFC60B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11200</w:t>
            </w:r>
          </w:p>
        </w:tc>
      </w:tr>
      <w:tr w14:paraId="74277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noWrap w:val="0"/>
            <w:vAlign w:val="center"/>
          </w:tcPr>
          <w:p w14:paraId="1E8685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w:t>
            </w:r>
          </w:p>
        </w:tc>
        <w:tc>
          <w:tcPr>
            <w:tcW w:w="0" w:type="auto"/>
            <w:noWrap w:val="0"/>
            <w:vAlign w:val="center"/>
          </w:tcPr>
          <w:p w14:paraId="57623E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营业税金及附加</w:t>
            </w:r>
          </w:p>
        </w:tc>
        <w:tc>
          <w:tcPr>
            <w:tcW w:w="0" w:type="auto"/>
            <w:noWrap w:val="0"/>
            <w:vAlign w:val="center"/>
          </w:tcPr>
          <w:p w14:paraId="495D58F9">
            <w:pPr>
              <w:jc w:val="center"/>
              <w:rPr>
                <w:rFonts w:ascii="Times New Roman" w:hAnsi="Times New Roman" w:eastAsia="宋体" w:cs="宋体"/>
                <w:color w:val="auto"/>
                <w:sz w:val="21"/>
              </w:rPr>
            </w:pPr>
          </w:p>
        </w:tc>
        <w:tc>
          <w:tcPr>
            <w:tcW w:w="0" w:type="auto"/>
            <w:noWrap w:val="0"/>
            <w:vAlign w:val="center"/>
          </w:tcPr>
          <w:p w14:paraId="6D0088A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8.7</w:t>
            </w:r>
          </w:p>
        </w:tc>
        <w:tc>
          <w:tcPr>
            <w:tcW w:w="0" w:type="auto"/>
            <w:noWrap w:val="0"/>
            <w:vAlign w:val="center"/>
          </w:tcPr>
          <w:p w14:paraId="23C00A0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17.4</w:t>
            </w:r>
          </w:p>
        </w:tc>
        <w:tc>
          <w:tcPr>
            <w:tcW w:w="0" w:type="auto"/>
            <w:noWrap w:val="0"/>
            <w:vAlign w:val="center"/>
          </w:tcPr>
          <w:p w14:paraId="7B25D20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23.21</w:t>
            </w:r>
          </w:p>
        </w:tc>
        <w:tc>
          <w:tcPr>
            <w:tcW w:w="0" w:type="auto"/>
            <w:noWrap w:val="0"/>
            <w:vAlign w:val="center"/>
          </w:tcPr>
          <w:p w14:paraId="418284A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0240FB3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5104F1F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35F8E7F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6E07B33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0B75712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6BDDF03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475E4BE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4DA1944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165C309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29.01</w:t>
            </w:r>
          </w:p>
        </w:tc>
        <w:tc>
          <w:tcPr>
            <w:tcW w:w="0" w:type="auto"/>
            <w:noWrap w:val="0"/>
            <w:vAlign w:val="center"/>
          </w:tcPr>
          <w:p w14:paraId="12C3DA5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29.01</w:t>
            </w:r>
          </w:p>
        </w:tc>
      </w:tr>
      <w:tr w14:paraId="13262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0" w:type="auto"/>
            <w:noWrap w:val="0"/>
            <w:vAlign w:val="center"/>
          </w:tcPr>
          <w:p w14:paraId="66DBC4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3</w:t>
            </w:r>
          </w:p>
        </w:tc>
        <w:tc>
          <w:tcPr>
            <w:tcW w:w="0" w:type="auto"/>
            <w:noWrap w:val="0"/>
            <w:vAlign w:val="center"/>
          </w:tcPr>
          <w:p w14:paraId="43D4E96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总成本费用</w:t>
            </w:r>
          </w:p>
        </w:tc>
        <w:tc>
          <w:tcPr>
            <w:tcW w:w="0" w:type="auto"/>
            <w:noWrap w:val="0"/>
            <w:vAlign w:val="center"/>
          </w:tcPr>
          <w:p w14:paraId="000C288D">
            <w:pPr>
              <w:jc w:val="center"/>
              <w:rPr>
                <w:rFonts w:ascii="Times New Roman" w:hAnsi="Times New Roman" w:eastAsia="宋体" w:cs="宋体"/>
                <w:color w:val="auto"/>
                <w:sz w:val="21"/>
              </w:rPr>
            </w:pPr>
          </w:p>
        </w:tc>
        <w:tc>
          <w:tcPr>
            <w:tcW w:w="0" w:type="auto"/>
            <w:noWrap w:val="0"/>
            <w:vAlign w:val="center"/>
          </w:tcPr>
          <w:p w14:paraId="61001FD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4000.13</w:t>
            </w:r>
          </w:p>
        </w:tc>
        <w:tc>
          <w:tcPr>
            <w:tcW w:w="0" w:type="auto"/>
            <w:noWrap w:val="0"/>
            <w:vAlign w:val="center"/>
          </w:tcPr>
          <w:p w14:paraId="1DE8F73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6310.41</w:t>
            </w:r>
          </w:p>
        </w:tc>
        <w:tc>
          <w:tcPr>
            <w:tcW w:w="0" w:type="auto"/>
            <w:noWrap w:val="0"/>
            <w:vAlign w:val="center"/>
          </w:tcPr>
          <w:p w14:paraId="7FFEF9A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8363.99</w:t>
            </w:r>
          </w:p>
        </w:tc>
        <w:tc>
          <w:tcPr>
            <w:tcW w:w="0" w:type="auto"/>
            <w:noWrap w:val="0"/>
            <w:vAlign w:val="center"/>
          </w:tcPr>
          <w:p w14:paraId="7400409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10417.57</w:t>
            </w:r>
          </w:p>
        </w:tc>
        <w:tc>
          <w:tcPr>
            <w:tcW w:w="0" w:type="auto"/>
            <w:noWrap w:val="0"/>
            <w:vAlign w:val="center"/>
          </w:tcPr>
          <w:p w14:paraId="6AB6E77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10417.57</w:t>
            </w:r>
          </w:p>
        </w:tc>
        <w:tc>
          <w:tcPr>
            <w:tcW w:w="0" w:type="auto"/>
            <w:noWrap w:val="0"/>
            <w:vAlign w:val="center"/>
          </w:tcPr>
          <w:p w14:paraId="5561083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10417.57</w:t>
            </w:r>
          </w:p>
        </w:tc>
        <w:tc>
          <w:tcPr>
            <w:tcW w:w="0" w:type="auto"/>
            <w:noWrap w:val="0"/>
            <w:vAlign w:val="center"/>
          </w:tcPr>
          <w:p w14:paraId="70BB0C1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10417.57</w:t>
            </w:r>
          </w:p>
        </w:tc>
        <w:tc>
          <w:tcPr>
            <w:tcW w:w="0" w:type="auto"/>
            <w:noWrap w:val="0"/>
            <w:vAlign w:val="center"/>
          </w:tcPr>
          <w:p w14:paraId="543CDF8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10417.57</w:t>
            </w:r>
          </w:p>
        </w:tc>
        <w:tc>
          <w:tcPr>
            <w:tcW w:w="0" w:type="auto"/>
            <w:noWrap w:val="0"/>
            <w:vAlign w:val="center"/>
          </w:tcPr>
          <w:p w14:paraId="08F96D2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10417.57</w:t>
            </w:r>
          </w:p>
        </w:tc>
        <w:tc>
          <w:tcPr>
            <w:tcW w:w="0" w:type="auto"/>
            <w:noWrap w:val="0"/>
            <w:vAlign w:val="center"/>
          </w:tcPr>
          <w:p w14:paraId="073F2CC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10417.57</w:t>
            </w:r>
          </w:p>
        </w:tc>
        <w:tc>
          <w:tcPr>
            <w:tcW w:w="0" w:type="auto"/>
            <w:noWrap w:val="0"/>
            <w:vAlign w:val="center"/>
          </w:tcPr>
          <w:p w14:paraId="6651AB1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10417.57</w:t>
            </w:r>
          </w:p>
        </w:tc>
        <w:tc>
          <w:tcPr>
            <w:tcW w:w="0" w:type="auto"/>
            <w:noWrap w:val="0"/>
            <w:vAlign w:val="center"/>
          </w:tcPr>
          <w:p w14:paraId="7263ACB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10417.57</w:t>
            </w:r>
          </w:p>
        </w:tc>
        <w:tc>
          <w:tcPr>
            <w:tcW w:w="0" w:type="auto"/>
            <w:noWrap w:val="0"/>
            <w:vAlign w:val="center"/>
          </w:tcPr>
          <w:p w14:paraId="78A846E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10417.57</w:t>
            </w:r>
          </w:p>
        </w:tc>
        <w:tc>
          <w:tcPr>
            <w:tcW w:w="0" w:type="auto"/>
            <w:noWrap w:val="0"/>
            <w:vAlign w:val="center"/>
          </w:tcPr>
          <w:p w14:paraId="5B5C4BA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10417.57</w:t>
            </w:r>
          </w:p>
        </w:tc>
      </w:tr>
      <w:tr w14:paraId="472DA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0" w:type="auto"/>
            <w:noWrap w:val="0"/>
            <w:vAlign w:val="center"/>
          </w:tcPr>
          <w:p w14:paraId="2B5A25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4</w:t>
            </w:r>
          </w:p>
        </w:tc>
        <w:tc>
          <w:tcPr>
            <w:tcW w:w="0" w:type="auto"/>
            <w:noWrap w:val="0"/>
            <w:vAlign w:val="center"/>
          </w:tcPr>
          <w:p w14:paraId="061E0CE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补贴收入</w:t>
            </w:r>
          </w:p>
        </w:tc>
        <w:tc>
          <w:tcPr>
            <w:tcW w:w="0" w:type="auto"/>
            <w:noWrap w:val="0"/>
            <w:vAlign w:val="center"/>
          </w:tcPr>
          <w:p w14:paraId="1196886F">
            <w:pPr>
              <w:jc w:val="center"/>
              <w:rPr>
                <w:rFonts w:ascii="Times New Roman" w:hAnsi="Times New Roman" w:eastAsia="宋体" w:cs="宋体"/>
                <w:color w:val="auto"/>
                <w:sz w:val="21"/>
              </w:rPr>
            </w:pPr>
          </w:p>
        </w:tc>
        <w:tc>
          <w:tcPr>
            <w:tcW w:w="0" w:type="auto"/>
            <w:noWrap w:val="0"/>
            <w:vAlign w:val="center"/>
          </w:tcPr>
          <w:p w14:paraId="52C26E45">
            <w:pPr>
              <w:jc w:val="center"/>
              <w:rPr>
                <w:rFonts w:ascii="Times New Roman" w:hAnsi="Times New Roman" w:eastAsia="宋体" w:cs="宋体"/>
                <w:color w:val="auto"/>
                <w:sz w:val="21"/>
              </w:rPr>
            </w:pPr>
          </w:p>
        </w:tc>
        <w:tc>
          <w:tcPr>
            <w:tcW w:w="0" w:type="auto"/>
            <w:noWrap w:val="0"/>
            <w:vAlign w:val="center"/>
          </w:tcPr>
          <w:p w14:paraId="5F7B8680">
            <w:pPr>
              <w:jc w:val="center"/>
              <w:rPr>
                <w:rFonts w:ascii="Times New Roman" w:hAnsi="Times New Roman" w:eastAsia="宋体" w:cs="宋体"/>
                <w:color w:val="auto"/>
                <w:sz w:val="21"/>
              </w:rPr>
            </w:pPr>
          </w:p>
        </w:tc>
        <w:tc>
          <w:tcPr>
            <w:tcW w:w="0" w:type="auto"/>
            <w:noWrap w:val="0"/>
            <w:vAlign w:val="center"/>
          </w:tcPr>
          <w:p w14:paraId="0A9B70DC">
            <w:pPr>
              <w:jc w:val="center"/>
              <w:rPr>
                <w:rFonts w:ascii="Times New Roman" w:hAnsi="Times New Roman" w:eastAsia="宋体" w:cs="宋体"/>
                <w:color w:val="auto"/>
                <w:sz w:val="21"/>
              </w:rPr>
            </w:pPr>
          </w:p>
        </w:tc>
        <w:tc>
          <w:tcPr>
            <w:tcW w:w="0" w:type="auto"/>
            <w:noWrap w:val="0"/>
            <w:vAlign w:val="center"/>
          </w:tcPr>
          <w:p w14:paraId="00203F8E">
            <w:pPr>
              <w:jc w:val="center"/>
              <w:rPr>
                <w:rFonts w:ascii="Times New Roman" w:hAnsi="Times New Roman" w:eastAsia="宋体" w:cs="宋体"/>
                <w:color w:val="auto"/>
                <w:sz w:val="21"/>
              </w:rPr>
            </w:pPr>
          </w:p>
        </w:tc>
        <w:tc>
          <w:tcPr>
            <w:tcW w:w="0" w:type="auto"/>
            <w:noWrap w:val="0"/>
            <w:vAlign w:val="center"/>
          </w:tcPr>
          <w:p w14:paraId="24941DCC">
            <w:pPr>
              <w:jc w:val="center"/>
              <w:rPr>
                <w:rFonts w:ascii="Times New Roman" w:hAnsi="Times New Roman" w:eastAsia="宋体" w:cs="宋体"/>
                <w:color w:val="auto"/>
                <w:sz w:val="21"/>
              </w:rPr>
            </w:pPr>
          </w:p>
        </w:tc>
        <w:tc>
          <w:tcPr>
            <w:tcW w:w="0" w:type="auto"/>
            <w:noWrap w:val="0"/>
            <w:vAlign w:val="center"/>
          </w:tcPr>
          <w:p w14:paraId="153B25D5">
            <w:pPr>
              <w:jc w:val="center"/>
              <w:rPr>
                <w:rFonts w:ascii="Times New Roman" w:hAnsi="Times New Roman" w:eastAsia="宋体" w:cs="宋体"/>
                <w:color w:val="auto"/>
                <w:sz w:val="21"/>
              </w:rPr>
            </w:pPr>
          </w:p>
        </w:tc>
        <w:tc>
          <w:tcPr>
            <w:tcW w:w="0" w:type="auto"/>
            <w:noWrap w:val="0"/>
            <w:vAlign w:val="center"/>
          </w:tcPr>
          <w:p w14:paraId="63E9F852">
            <w:pPr>
              <w:jc w:val="center"/>
              <w:rPr>
                <w:rFonts w:ascii="Times New Roman" w:hAnsi="Times New Roman" w:eastAsia="宋体" w:cs="宋体"/>
                <w:color w:val="auto"/>
                <w:sz w:val="21"/>
              </w:rPr>
            </w:pPr>
          </w:p>
        </w:tc>
        <w:tc>
          <w:tcPr>
            <w:tcW w:w="0" w:type="auto"/>
            <w:noWrap w:val="0"/>
            <w:vAlign w:val="center"/>
          </w:tcPr>
          <w:p w14:paraId="61EF9040">
            <w:pPr>
              <w:jc w:val="center"/>
              <w:rPr>
                <w:rFonts w:ascii="Times New Roman" w:hAnsi="Times New Roman" w:eastAsia="宋体" w:cs="宋体"/>
                <w:color w:val="auto"/>
                <w:sz w:val="21"/>
              </w:rPr>
            </w:pPr>
          </w:p>
        </w:tc>
        <w:tc>
          <w:tcPr>
            <w:tcW w:w="0" w:type="auto"/>
            <w:noWrap w:val="0"/>
            <w:vAlign w:val="center"/>
          </w:tcPr>
          <w:p w14:paraId="7D46DF60">
            <w:pPr>
              <w:jc w:val="center"/>
              <w:rPr>
                <w:rFonts w:ascii="Times New Roman" w:hAnsi="Times New Roman" w:eastAsia="宋体" w:cs="宋体"/>
                <w:color w:val="auto"/>
                <w:sz w:val="21"/>
              </w:rPr>
            </w:pPr>
          </w:p>
        </w:tc>
        <w:tc>
          <w:tcPr>
            <w:tcW w:w="0" w:type="auto"/>
            <w:noWrap w:val="0"/>
            <w:vAlign w:val="center"/>
          </w:tcPr>
          <w:p w14:paraId="6DDF39C9">
            <w:pPr>
              <w:jc w:val="center"/>
              <w:rPr>
                <w:rFonts w:ascii="Times New Roman" w:hAnsi="Times New Roman" w:eastAsia="宋体" w:cs="宋体"/>
                <w:color w:val="auto"/>
                <w:sz w:val="21"/>
              </w:rPr>
            </w:pPr>
          </w:p>
        </w:tc>
        <w:tc>
          <w:tcPr>
            <w:tcW w:w="0" w:type="auto"/>
            <w:noWrap w:val="0"/>
            <w:vAlign w:val="center"/>
          </w:tcPr>
          <w:p w14:paraId="3E5DB643">
            <w:pPr>
              <w:jc w:val="center"/>
              <w:rPr>
                <w:rFonts w:ascii="Times New Roman" w:hAnsi="Times New Roman" w:eastAsia="宋体" w:cs="宋体"/>
                <w:color w:val="auto"/>
                <w:sz w:val="21"/>
              </w:rPr>
            </w:pPr>
          </w:p>
        </w:tc>
        <w:tc>
          <w:tcPr>
            <w:tcW w:w="0" w:type="auto"/>
            <w:noWrap w:val="0"/>
            <w:vAlign w:val="center"/>
          </w:tcPr>
          <w:p w14:paraId="47697363">
            <w:pPr>
              <w:jc w:val="center"/>
              <w:rPr>
                <w:rFonts w:ascii="Times New Roman" w:hAnsi="Times New Roman" w:eastAsia="宋体" w:cs="宋体"/>
                <w:color w:val="auto"/>
                <w:sz w:val="21"/>
              </w:rPr>
            </w:pPr>
          </w:p>
        </w:tc>
        <w:tc>
          <w:tcPr>
            <w:tcW w:w="0" w:type="auto"/>
            <w:noWrap w:val="0"/>
            <w:vAlign w:val="center"/>
          </w:tcPr>
          <w:p w14:paraId="52DB22B3">
            <w:pPr>
              <w:jc w:val="center"/>
              <w:rPr>
                <w:rFonts w:ascii="Times New Roman" w:hAnsi="Times New Roman" w:eastAsia="宋体" w:cs="宋体"/>
                <w:color w:val="auto"/>
                <w:sz w:val="21"/>
              </w:rPr>
            </w:pPr>
          </w:p>
        </w:tc>
        <w:tc>
          <w:tcPr>
            <w:tcW w:w="0" w:type="auto"/>
            <w:noWrap w:val="0"/>
            <w:vAlign w:val="center"/>
          </w:tcPr>
          <w:p w14:paraId="1C0F98D8">
            <w:pPr>
              <w:jc w:val="center"/>
              <w:rPr>
                <w:rFonts w:ascii="Times New Roman" w:hAnsi="Times New Roman" w:eastAsia="宋体" w:cs="宋体"/>
                <w:color w:val="auto"/>
                <w:sz w:val="21"/>
              </w:rPr>
            </w:pPr>
          </w:p>
        </w:tc>
      </w:tr>
      <w:tr w14:paraId="39ED0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noWrap w:val="0"/>
            <w:vAlign w:val="center"/>
          </w:tcPr>
          <w:p w14:paraId="763293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5</w:t>
            </w:r>
          </w:p>
        </w:tc>
        <w:tc>
          <w:tcPr>
            <w:tcW w:w="0" w:type="auto"/>
            <w:noWrap w:val="0"/>
            <w:vAlign w:val="center"/>
          </w:tcPr>
          <w:p w14:paraId="674E7EF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利润总额（1-2-3+4）</w:t>
            </w:r>
          </w:p>
        </w:tc>
        <w:tc>
          <w:tcPr>
            <w:tcW w:w="0" w:type="auto"/>
            <w:noWrap w:val="0"/>
            <w:vAlign w:val="center"/>
          </w:tcPr>
          <w:p w14:paraId="1D3100C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9443.73</w:t>
            </w:r>
          </w:p>
        </w:tc>
        <w:tc>
          <w:tcPr>
            <w:tcW w:w="0" w:type="auto"/>
            <w:noWrap w:val="0"/>
            <w:vAlign w:val="center"/>
          </w:tcPr>
          <w:p w14:paraId="4AA782A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191.17</w:t>
            </w:r>
          </w:p>
        </w:tc>
        <w:tc>
          <w:tcPr>
            <w:tcW w:w="0" w:type="auto"/>
            <w:noWrap w:val="0"/>
            <w:vAlign w:val="center"/>
          </w:tcPr>
          <w:p w14:paraId="2BF54FE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392.19</w:t>
            </w:r>
          </w:p>
        </w:tc>
        <w:tc>
          <w:tcPr>
            <w:tcW w:w="0" w:type="auto"/>
            <w:noWrap w:val="0"/>
            <w:vAlign w:val="center"/>
          </w:tcPr>
          <w:p w14:paraId="6A9699E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572.80</w:t>
            </w:r>
          </w:p>
        </w:tc>
        <w:tc>
          <w:tcPr>
            <w:tcW w:w="0" w:type="auto"/>
            <w:noWrap w:val="0"/>
            <w:vAlign w:val="center"/>
          </w:tcPr>
          <w:p w14:paraId="32398DD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12CCB11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25D73DF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3EE2654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101D96C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345BB02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7C3DFB3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70A4EA2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23A7069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5F0FAA0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72E56A3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r>
      <w:tr w14:paraId="573FE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noWrap w:val="0"/>
            <w:vAlign w:val="center"/>
          </w:tcPr>
          <w:p w14:paraId="71A793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6</w:t>
            </w:r>
          </w:p>
        </w:tc>
        <w:tc>
          <w:tcPr>
            <w:tcW w:w="0" w:type="auto"/>
            <w:noWrap w:val="0"/>
            <w:vAlign w:val="center"/>
          </w:tcPr>
          <w:p w14:paraId="365CF4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弥补以前年度亏损</w:t>
            </w:r>
          </w:p>
        </w:tc>
        <w:tc>
          <w:tcPr>
            <w:tcW w:w="0" w:type="auto"/>
            <w:noWrap w:val="0"/>
            <w:vAlign w:val="center"/>
          </w:tcPr>
          <w:p w14:paraId="54CE53C2">
            <w:pPr>
              <w:jc w:val="center"/>
              <w:rPr>
                <w:rFonts w:ascii="Times New Roman" w:hAnsi="Times New Roman" w:eastAsia="宋体" w:cs="宋体"/>
                <w:color w:val="auto"/>
                <w:sz w:val="21"/>
              </w:rPr>
            </w:pPr>
          </w:p>
        </w:tc>
        <w:tc>
          <w:tcPr>
            <w:tcW w:w="0" w:type="auto"/>
            <w:noWrap w:val="0"/>
            <w:vAlign w:val="center"/>
          </w:tcPr>
          <w:p w14:paraId="5843A813">
            <w:pPr>
              <w:jc w:val="center"/>
              <w:rPr>
                <w:rFonts w:ascii="Times New Roman" w:hAnsi="Times New Roman" w:eastAsia="宋体" w:cs="宋体"/>
                <w:color w:val="auto"/>
                <w:sz w:val="21"/>
              </w:rPr>
            </w:pPr>
          </w:p>
        </w:tc>
        <w:tc>
          <w:tcPr>
            <w:tcW w:w="0" w:type="auto"/>
            <w:noWrap w:val="0"/>
            <w:vAlign w:val="center"/>
          </w:tcPr>
          <w:p w14:paraId="7CD59741">
            <w:pPr>
              <w:jc w:val="center"/>
              <w:rPr>
                <w:rFonts w:ascii="Times New Roman" w:hAnsi="Times New Roman" w:eastAsia="宋体" w:cs="宋体"/>
                <w:color w:val="auto"/>
                <w:sz w:val="21"/>
              </w:rPr>
            </w:pPr>
          </w:p>
        </w:tc>
        <w:tc>
          <w:tcPr>
            <w:tcW w:w="0" w:type="auto"/>
            <w:noWrap w:val="0"/>
            <w:vAlign w:val="center"/>
          </w:tcPr>
          <w:p w14:paraId="6ED4A64C">
            <w:pPr>
              <w:jc w:val="center"/>
              <w:rPr>
                <w:rFonts w:ascii="Times New Roman" w:hAnsi="Times New Roman" w:eastAsia="宋体" w:cs="宋体"/>
                <w:color w:val="auto"/>
                <w:sz w:val="21"/>
              </w:rPr>
            </w:pPr>
          </w:p>
        </w:tc>
        <w:tc>
          <w:tcPr>
            <w:tcW w:w="0" w:type="auto"/>
            <w:noWrap w:val="0"/>
            <w:vAlign w:val="center"/>
          </w:tcPr>
          <w:p w14:paraId="1C04A5B2">
            <w:pPr>
              <w:jc w:val="center"/>
              <w:rPr>
                <w:rFonts w:ascii="Times New Roman" w:hAnsi="Times New Roman" w:eastAsia="宋体" w:cs="宋体"/>
                <w:color w:val="auto"/>
                <w:sz w:val="21"/>
              </w:rPr>
            </w:pPr>
          </w:p>
        </w:tc>
        <w:tc>
          <w:tcPr>
            <w:tcW w:w="0" w:type="auto"/>
            <w:noWrap w:val="0"/>
            <w:vAlign w:val="center"/>
          </w:tcPr>
          <w:p w14:paraId="7A3D3A9A">
            <w:pPr>
              <w:jc w:val="center"/>
              <w:rPr>
                <w:rFonts w:ascii="Times New Roman" w:hAnsi="Times New Roman" w:eastAsia="宋体" w:cs="宋体"/>
                <w:color w:val="auto"/>
                <w:sz w:val="21"/>
              </w:rPr>
            </w:pPr>
          </w:p>
        </w:tc>
        <w:tc>
          <w:tcPr>
            <w:tcW w:w="0" w:type="auto"/>
            <w:noWrap w:val="0"/>
            <w:vAlign w:val="center"/>
          </w:tcPr>
          <w:p w14:paraId="421DD921">
            <w:pPr>
              <w:jc w:val="center"/>
              <w:rPr>
                <w:rFonts w:ascii="Times New Roman" w:hAnsi="Times New Roman" w:eastAsia="宋体" w:cs="宋体"/>
                <w:color w:val="auto"/>
                <w:sz w:val="21"/>
              </w:rPr>
            </w:pPr>
          </w:p>
        </w:tc>
        <w:tc>
          <w:tcPr>
            <w:tcW w:w="0" w:type="auto"/>
            <w:noWrap w:val="0"/>
            <w:vAlign w:val="center"/>
          </w:tcPr>
          <w:p w14:paraId="54CFD7E9">
            <w:pPr>
              <w:jc w:val="center"/>
              <w:rPr>
                <w:rFonts w:ascii="Times New Roman" w:hAnsi="Times New Roman" w:eastAsia="宋体" w:cs="宋体"/>
                <w:color w:val="auto"/>
                <w:sz w:val="21"/>
              </w:rPr>
            </w:pPr>
          </w:p>
        </w:tc>
        <w:tc>
          <w:tcPr>
            <w:tcW w:w="0" w:type="auto"/>
            <w:noWrap w:val="0"/>
            <w:vAlign w:val="center"/>
          </w:tcPr>
          <w:p w14:paraId="5B661825">
            <w:pPr>
              <w:jc w:val="center"/>
              <w:rPr>
                <w:rFonts w:ascii="Times New Roman" w:hAnsi="Times New Roman" w:eastAsia="宋体" w:cs="宋体"/>
                <w:color w:val="auto"/>
                <w:sz w:val="21"/>
              </w:rPr>
            </w:pPr>
          </w:p>
        </w:tc>
        <w:tc>
          <w:tcPr>
            <w:tcW w:w="0" w:type="auto"/>
            <w:noWrap w:val="0"/>
            <w:vAlign w:val="center"/>
          </w:tcPr>
          <w:p w14:paraId="3B3B5D5F">
            <w:pPr>
              <w:jc w:val="center"/>
              <w:rPr>
                <w:rFonts w:ascii="Times New Roman" w:hAnsi="Times New Roman" w:eastAsia="宋体" w:cs="宋体"/>
                <w:color w:val="auto"/>
                <w:sz w:val="21"/>
              </w:rPr>
            </w:pPr>
          </w:p>
        </w:tc>
        <w:tc>
          <w:tcPr>
            <w:tcW w:w="0" w:type="auto"/>
            <w:noWrap w:val="0"/>
            <w:vAlign w:val="center"/>
          </w:tcPr>
          <w:p w14:paraId="6DC16C9F">
            <w:pPr>
              <w:jc w:val="center"/>
              <w:rPr>
                <w:rFonts w:ascii="Times New Roman" w:hAnsi="Times New Roman" w:eastAsia="宋体" w:cs="宋体"/>
                <w:color w:val="auto"/>
                <w:sz w:val="21"/>
              </w:rPr>
            </w:pPr>
          </w:p>
        </w:tc>
        <w:tc>
          <w:tcPr>
            <w:tcW w:w="0" w:type="auto"/>
            <w:noWrap w:val="0"/>
            <w:vAlign w:val="center"/>
          </w:tcPr>
          <w:p w14:paraId="235BD95F">
            <w:pPr>
              <w:jc w:val="center"/>
              <w:rPr>
                <w:rFonts w:ascii="Times New Roman" w:hAnsi="Times New Roman" w:eastAsia="宋体" w:cs="宋体"/>
                <w:color w:val="auto"/>
                <w:sz w:val="21"/>
              </w:rPr>
            </w:pPr>
          </w:p>
        </w:tc>
        <w:tc>
          <w:tcPr>
            <w:tcW w:w="0" w:type="auto"/>
            <w:noWrap w:val="0"/>
            <w:vAlign w:val="center"/>
          </w:tcPr>
          <w:p w14:paraId="25395845">
            <w:pPr>
              <w:jc w:val="center"/>
              <w:rPr>
                <w:rFonts w:ascii="Times New Roman" w:hAnsi="Times New Roman" w:eastAsia="宋体" w:cs="宋体"/>
                <w:color w:val="auto"/>
                <w:sz w:val="21"/>
              </w:rPr>
            </w:pPr>
          </w:p>
        </w:tc>
        <w:tc>
          <w:tcPr>
            <w:tcW w:w="0" w:type="auto"/>
            <w:noWrap w:val="0"/>
            <w:vAlign w:val="center"/>
          </w:tcPr>
          <w:p w14:paraId="76435608">
            <w:pPr>
              <w:jc w:val="center"/>
              <w:rPr>
                <w:rFonts w:ascii="Times New Roman" w:hAnsi="Times New Roman" w:eastAsia="宋体" w:cs="宋体"/>
                <w:color w:val="auto"/>
                <w:sz w:val="21"/>
              </w:rPr>
            </w:pPr>
          </w:p>
        </w:tc>
        <w:tc>
          <w:tcPr>
            <w:tcW w:w="0" w:type="auto"/>
            <w:noWrap w:val="0"/>
            <w:vAlign w:val="center"/>
          </w:tcPr>
          <w:p w14:paraId="590EFD84">
            <w:pPr>
              <w:jc w:val="center"/>
              <w:rPr>
                <w:rFonts w:ascii="Times New Roman" w:hAnsi="Times New Roman" w:eastAsia="宋体" w:cs="宋体"/>
                <w:color w:val="auto"/>
                <w:sz w:val="21"/>
              </w:rPr>
            </w:pPr>
          </w:p>
        </w:tc>
      </w:tr>
      <w:tr w14:paraId="6C285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noWrap w:val="0"/>
            <w:vAlign w:val="center"/>
          </w:tcPr>
          <w:p w14:paraId="038E848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7</w:t>
            </w:r>
          </w:p>
        </w:tc>
        <w:tc>
          <w:tcPr>
            <w:tcW w:w="0" w:type="auto"/>
            <w:noWrap w:val="0"/>
            <w:vAlign w:val="center"/>
          </w:tcPr>
          <w:p w14:paraId="726DF5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应纳税所得额（5-6）</w:t>
            </w:r>
          </w:p>
        </w:tc>
        <w:tc>
          <w:tcPr>
            <w:tcW w:w="0" w:type="auto"/>
            <w:noWrap w:val="0"/>
            <w:vAlign w:val="center"/>
          </w:tcPr>
          <w:p w14:paraId="59F7A20A">
            <w:pPr>
              <w:jc w:val="center"/>
              <w:rPr>
                <w:rFonts w:ascii="Times New Roman" w:hAnsi="Times New Roman" w:eastAsia="宋体" w:cs="宋体"/>
                <w:color w:val="auto"/>
                <w:sz w:val="21"/>
              </w:rPr>
            </w:pPr>
          </w:p>
        </w:tc>
        <w:tc>
          <w:tcPr>
            <w:tcW w:w="0" w:type="auto"/>
            <w:noWrap w:val="0"/>
            <w:vAlign w:val="center"/>
          </w:tcPr>
          <w:p w14:paraId="45CE956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191.17</w:t>
            </w:r>
          </w:p>
        </w:tc>
        <w:tc>
          <w:tcPr>
            <w:tcW w:w="0" w:type="auto"/>
            <w:noWrap w:val="0"/>
            <w:vAlign w:val="center"/>
          </w:tcPr>
          <w:p w14:paraId="78A257C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392.19</w:t>
            </w:r>
          </w:p>
        </w:tc>
        <w:tc>
          <w:tcPr>
            <w:tcW w:w="0" w:type="auto"/>
            <w:noWrap w:val="0"/>
            <w:vAlign w:val="center"/>
          </w:tcPr>
          <w:p w14:paraId="3151C0D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572.80</w:t>
            </w:r>
          </w:p>
        </w:tc>
        <w:tc>
          <w:tcPr>
            <w:tcW w:w="0" w:type="auto"/>
            <w:noWrap w:val="0"/>
            <w:vAlign w:val="center"/>
          </w:tcPr>
          <w:p w14:paraId="687B16F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6976881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49037D3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61F64F1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182EAF3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7BCFA48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32F17EE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1720CF7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411EDBF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020FF34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c>
          <w:tcPr>
            <w:tcW w:w="0" w:type="auto"/>
            <w:noWrap w:val="0"/>
            <w:vAlign w:val="center"/>
          </w:tcPr>
          <w:p w14:paraId="118D92E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753.42</w:t>
            </w:r>
          </w:p>
        </w:tc>
      </w:tr>
      <w:tr w14:paraId="4ED56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0" w:type="auto"/>
            <w:noWrap w:val="0"/>
            <w:vAlign w:val="center"/>
          </w:tcPr>
          <w:p w14:paraId="2C8B7D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8</w:t>
            </w:r>
          </w:p>
        </w:tc>
        <w:tc>
          <w:tcPr>
            <w:tcW w:w="0" w:type="auto"/>
            <w:noWrap w:val="0"/>
            <w:vAlign w:val="center"/>
          </w:tcPr>
          <w:p w14:paraId="12281C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所得税（25%）</w:t>
            </w:r>
          </w:p>
        </w:tc>
        <w:tc>
          <w:tcPr>
            <w:tcW w:w="0" w:type="auto"/>
            <w:noWrap w:val="0"/>
            <w:vAlign w:val="center"/>
          </w:tcPr>
          <w:p w14:paraId="14DC3DB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2360.93</w:t>
            </w:r>
          </w:p>
        </w:tc>
        <w:tc>
          <w:tcPr>
            <w:tcW w:w="0" w:type="auto"/>
            <w:noWrap w:val="0"/>
            <w:vAlign w:val="center"/>
          </w:tcPr>
          <w:p w14:paraId="1F66C1E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47.79</w:t>
            </w:r>
          </w:p>
        </w:tc>
        <w:tc>
          <w:tcPr>
            <w:tcW w:w="0" w:type="auto"/>
            <w:noWrap w:val="0"/>
            <w:vAlign w:val="center"/>
          </w:tcPr>
          <w:p w14:paraId="4DE64A5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98.05</w:t>
            </w:r>
          </w:p>
        </w:tc>
        <w:tc>
          <w:tcPr>
            <w:tcW w:w="0" w:type="auto"/>
            <w:noWrap w:val="0"/>
            <w:vAlign w:val="center"/>
          </w:tcPr>
          <w:p w14:paraId="10986B8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143.20</w:t>
            </w:r>
          </w:p>
        </w:tc>
        <w:tc>
          <w:tcPr>
            <w:tcW w:w="0" w:type="auto"/>
            <w:noWrap w:val="0"/>
            <w:vAlign w:val="center"/>
          </w:tcPr>
          <w:p w14:paraId="2756E84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188.35</w:t>
            </w:r>
          </w:p>
        </w:tc>
        <w:tc>
          <w:tcPr>
            <w:tcW w:w="0" w:type="auto"/>
            <w:noWrap w:val="0"/>
            <w:vAlign w:val="center"/>
          </w:tcPr>
          <w:p w14:paraId="6ABBE2F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188.35</w:t>
            </w:r>
          </w:p>
        </w:tc>
        <w:tc>
          <w:tcPr>
            <w:tcW w:w="0" w:type="auto"/>
            <w:noWrap w:val="0"/>
            <w:vAlign w:val="center"/>
          </w:tcPr>
          <w:p w14:paraId="53DC37C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188.35</w:t>
            </w:r>
          </w:p>
        </w:tc>
        <w:tc>
          <w:tcPr>
            <w:tcW w:w="0" w:type="auto"/>
            <w:noWrap w:val="0"/>
            <w:vAlign w:val="center"/>
          </w:tcPr>
          <w:p w14:paraId="51326AA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188.35</w:t>
            </w:r>
          </w:p>
        </w:tc>
        <w:tc>
          <w:tcPr>
            <w:tcW w:w="0" w:type="auto"/>
            <w:noWrap w:val="0"/>
            <w:vAlign w:val="center"/>
          </w:tcPr>
          <w:p w14:paraId="71871FF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188.35</w:t>
            </w:r>
          </w:p>
        </w:tc>
        <w:tc>
          <w:tcPr>
            <w:tcW w:w="0" w:type="auto"/>
            <w:noWrap w:val="0"/>
            <w:vAlign w:val="center"/>
          </w:tcPr>
          <w:p w14:paraId="232CBED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188.35</w:t>
            </w:r>
          </w:p>
        </w:tc>
        <w:tc>
          <w:tcPr>
            <w:tcW w:w="0" w:type="auto"/>
            <w:noWrap w:val="0"/>
            <w:vAlign w:val="center"/>
          </w:tcPr>
          <w:p w14:paraId="6DE4846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188.35</w:t>
            </w:r>
          </w:p>
        </w:tc>
        <w:tc>
          <w:tcPr>
            <w:tcW w:w="0" w:type="auto"/>
            <w:noWrap w:val="0"/>
            <w:vAlign w:val="center"/>
          </w:tcPr>
          <w:p w14:paraId="0713E83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188.35</w:t>
            </w:r>
          </w:p>
        </w:tc>
        <w:tc>
          <w:tcPr>
            <w:tcW w:w="0" w:type="auto"/>
            <w:noWrap w:val="0"/>
            <w:vAlign w:val="center"/>
          </w:tcPr>
          <w:p w14:paraId="2F04CBB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188.35</w:t>
            </w:r>
          </w:p>
        </w:tc>
        <w:tc>
          <w:tcPr>
            <w:tcW w:w="0" w:type="auto"/>
            <w:noWrap w:val="0"/>
            <w:vAlign w:val="center"/>
          </w:tcPr>
          <w:p w14:paraId="3CBDC02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188.35</w:t>
            </w:r>
          </w:p>
        </w:tc>
        <w:tc>
          <w:tcPr>
            <w:tcW w:w="0" w:type="auto"/>
            <w:noWrap w:val="0"/>
            <w:vAlign w:val="center"/>
          </w:tcPr>
          <w:p w14:paraId="6FC164D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188.35</w:t>
            </w:r>
          </w:p>
        </w:tc>
      </w:tr>
      <w:tr w14:paraId="0EDE2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noWrap w:val="0"/>
            <w:vAlign w:val="center"/>
          </w:tcPr>
          <w:p w14:paraId="73EC04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9</w:t>
            </w:r>
          </w:p>
        </w:tc>
        <w:tc>
          <w:tcPr>
            <w:tcW w:w="0" w:type="auto"/>
            <w:noWrap w:val="0"/>
            <w:vAlign w:val="center"/>
          </w:tcPr>
          <w:p w14:paraId="7E7DE1A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净利润（5-8）</w:t>
            </w:r>
          </w:p>
        </w:tc>
        <w:tc>
          <w:tcPr>
            <w:tcW w:w="0" w:type="auto"/>
            <w:noWrap w:val="0"/>
            <w:vAlign w:val="center"/>
          </w:tcPr>
          <w:p w14:paraId="1F157ADC">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21"/>
                <w:szCs w:val="21"/>
                <w:u w:val="none"/>
                <w:lang w:val="en-US" w:eastAsia="zh-CN" w:bidi="ar"/>
              </w:rPr>
              <w:t>7082.79</w:t>
            </w:r>
          </w:p>
        </w:tc>
        <w:tc>
          <w:tcPr>
            <w:tcW w:w="0" w:type="auto"/>
            <w:noWrap w:val="0"/>
            <w:vAlign w:val="center"/>
          </w:tcPr>
          <w:p w14:paraId="11E11EE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143.37</w:t>
            </w:r>
          </w:p>
        </w:tc>
        <w:tc>
          <w:tcPr>
            <w:tcW w:w="0" w:type="auto"/>
            <w:noWrap w:val="0"/>
            <w:vAlign w:val="center"/>
          </w:tcPr>
          <w:p w14:paraId="58B3E5D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294.14</w:t>
            </w:r>
          </w:p>
        </w:tc>
        <w:tc>
          <w:tcPr>
            <w:tcW w:w="0" w:type="auto"/>
            <w:noWrap w:val="0"/>
            <w:vAlign w:val="center"/>
          </w:tcPr>
          <w:p w14:paraId="30D2C40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429.60</w:t>
            </w:r>
          </w:p>
        </w:tc>
        <w:tc>
          <w:tcPr>
            <w:tcW w:w="0" w:type="auto"/>
            <w:noWrap w:val="0"/>
            <w:vAlign w:val="center"/>
          </w:tcPr>
          <w:p w14:paraId="0AD692F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565.06</w:t>
            </w:r>
          </w:p>
        </w:tc>
        <w:tc>
          <w:tcPr>
            <w:tcW w:w="0" w:type="auto"/>
            <w:noWrap w:val="0"/>
            <w:vAlign w:val="center"/>
          </w:tcPr>
          <w:p w14:paraId="6834226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565.06</w:t>
            </w:r>
          </w:p>
        </w:tc>
        <w:tc>
          <w:tcPr>
            <w:tcW w:w="0" w:type="auto"/>
            <w:noWrap w:val="0"/>
            <w:vAlign w:val="center"/>
          </w:tcPr>
          <w:p w14:paraId="6622A69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565.06</w:t>
            </w:r>
          </w:p>
        </w:tc>
        <w:tc>
          <w:tcPr>
            <w:tcW w:w="0" w:type="auto"/>
            <w:noWrap w:val="0"/>
            <w:vAlign w:val="center"/>
          </w:tcPr>
          <w:p w14:paraId="0F7B35A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565.06</w:t>
            </w:r>
          </w:p>
        </w:tc>
        <w:tc>
          <w:tcPr>
            <w:tcW w:w="0" w:type="auto"/>
            <w:noWrap w:val="0"/>
            <w:vAlign w:val="center"/>
          </w:tcPr>
          <w:p w14:paraId="5CA04EE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565.06</w:t>
            </w:r>
          </w:p>
        </w:tc>
        <w:tc>
          <w:tcPr>
            <w:tcW w:w="0" w:type="auto"/>
            <w:noWrap w:val="0"/>
            <w:vAlign w:val="center"/>
          </w:tcPr>
          <w:p w14:paraId="34764F3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565.06</w:t>
            </w:r>
          </w:p>
        </w:tc>
        <w:tc>
          <w:tcPr>
            <w:tcW w:w="0" w:type="auto"/>
            <w:noWrap w:val="0"/>
            <w:vAlign w:val="center"/>
          </w:tcPr>
          <w:p w14:paraId="6061A44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565.06</w:t>
            </w:r>
          </w:p>
        </w:tc>
        <w:tc>
          <w:tcPr>
            <w:tcW w:w="0" w:type="auto"/>
            <w:noWrap w:val="0"/>
            <w:vAlign w:val="center"/>
          </w:tcPr>
          <w:p w14:paraId="6976C6E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565.06</w:t>
            </w:r>
          </w:p>
        </w:tc>
        <w:tc>
          <w:tcPr>
            <w:tcW w:w="0" w:type="auto"/>
            <w:noWrap w:val="0"/>
            <w:vAlign w:val="center"/>
          </w:tcPr>
          <w:p w14:paraId="6A55767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565.06</w:t>
            </w:r>
          </w:p>
        </w:tc>
        <w:tc>
          <w:tcPr>
            <w:tcW w:w="0" w:type="auto"/>
            <w:noWrap w:val="0"/>
            <w:vAlign w:val="center"/>
          </w:tcPr>
          <w:p w14:paraId="40CB96B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565.06</w:t>
            </w:r>
          </w:p>
        </w:tc>
        <w:tc>
          <w:tcPr>
            <w:tcW w:w="0" w:type="auto"/>
            <w:noWrap w:val="0"/>
            <w:vAlign w:val="center"/>
          </w:tcPr>
          <w:p w14:paraId="4D5D306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565.06</w:t>
            </w:r>
          </w:p>
        </w:tc>
      </w:tr>
      <w:tr w14:paraId="7E429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noWrap w:val="0"/>
            <w:vAlign w:val="center"/>
          </w:tcPr>
          <w:p w14:paraId="514D74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10</w:t>
            </w:r>
          </w:p>
        </w:tc>
        <w:tc>
          <w:tcPr>
            <w:tcW w:w="0" w:type="auto"/>
            <w:noWrap w:val="0"/>
            <w:vAlign w:val="center"/>
          </w:tcPr>
          <w:p w14:paraId="769B40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期初未分配利润</w:t>
            </w:r>
          </w:p>
        </w:tc>
        <w:tc>
          <w:tcPr>
            <w:tcW w:w="0" w:type="auto"/>
            <w:noWrap w:val="0"/>
            <w:vAlign w:val="center"/>
          </w:tcPr>
          <w:p w14:paraId="6F34187B">
            <w:pPr>
              <w:jc w:val="center"/>
              <w:rPr>
                <w:rFonts w:ascii="Times New Roman" w:hAnsi="Times New Roman" w:eastAsia="宋体" w:cs="宋体"/>
                <w:color w:val="auto"/>
                <w:sz w:val="21"/>
              </w:rPr>
            </w:pPr>
          </w:p>
        </w:tc>
        <w:tc>
          <w:tcPr>
            <w:tcW w:w="0" w:type="auto"/>
            <w:noWrap w:val="0"/>
            <w:vAlign w:val="center"/>
          </w:tcPr>
          <w:p w14:paraId="3B1766F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0.00</w:t>
            </w:r>
          </w:p>
        </w:tc>
        <w:tc>
          <w:tcPr>
            <w:tcW w:w="0" w:type="auto"/>
            <w:noWrap w:val="0"/>
            <w:vAlign w:val="center"/>
          </w:tcPr>
          <w:p w14:paraId="3F2D037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129.04</w:t>
            </w:r>
          </w:p>
        </w:tc>
        <w:tc>
          <w:tcPr>
            <w:tcW w:w="0" w:type="auto"/>
            <w:noWrap w:val="0"/>
            <w:vAlign w:val="center"/>
          </w:tcPr>
          <w:p w14:paraId="453C13C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380.86</w:t>
            </w:r>
          </w:p>
        </w:tc>
        <w:tc>
          <w:tcPr>
            <w:tcW w:w="0" w:type="auto"/>
            <w:noWrap w:val="0"/>
            <w:vAlign w:val="center"/>
          </w:tcPr>
          <w:p w14:paraId="3BAF9DE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729.41</w:t>
            </w:r>
          </w:p>
        </w:tc>
        <w:tc>
          <w:tcPr>
            <w:tcW w:w="0" w:type="auto"/>
            <w:noWrap w:val="0"/>
            <w:vAlign w:val="center"/>
          </w:tcPr>
          <w:p w14:paraId="76B2D13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1165.03</w:t>
            </w:r>
          </w:p>
        </w:tc>
        <w:tc>
          <w:tcPr>
            <w:tcW w:w="0" w:type="auto"/>
            <w:noWrap w:val="0"/>
            <w:vAlign w:val="center"/>
          </w:tcPr>
          <w:p w14:paraId="3CF12DA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1557.08</w:t>
            </w:r>
          </w:p>
        </w:tc>
        <w:tc>
          <w:tcPr>
            <w:tcW w:w="0" w:type="auto"/>
            <w:noWrap w:val="0"/>
            <w:vAlign w:val="center"/>
          </w:tcPr>
          <w:p w14:paraId="1124F1F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1909.93</w:t>
            </w:r>
          </w:p>
        </w:tc>
        <w:tc>
          <w:tcPr>
            <w:tcW w:w="0" w:type="auto"/>
            <w:noWrap w:val="0"/>
            <w:vAlign w:val="center"/>
          </w:tcPr>
          <w:p w14:paraId="3E9907E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2227.49</w:t>
            </w:r>
          </w:p>
        </w:tc>
        <w:tc>
          <w:tcPr>
            <w:tcW w:w="0" w:type="auto"/>
            <w:noWrap w:val="0"/>
            <w:vAlign w:val="center"/>
          </w:tcPr>
          <w:p w14:paraId="4DE1A98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2513.30</w:t>
            </w:r>
          </w:p>
        </w:tc>
        <w:tc>
          <w:tcPr>
            <w:tcW w:w="0" w:type="auto"/>
            <w:noWrap w:val="0"/>
            <w:vAlign w:val="center"/>
          </w:tcPr>
          <w:p w14:paraId="35BC0C5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2770.52</w:t>
            </w:r>
          </w:p>
        </w:tc>
        <w:tc>
          <w:tcPr>
            <w:tcW w:w="0" w:type="auto"/>
            <w:noWrap w:val="0"/>
            <w:vAlign w:val="center"/>
          </w:tcPr>
          <w:p w14:paraId="69F591C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3002.03</w:t>
            </w:r>
          </w:p>
        </w:tc>
        <w:tc>
          <w:tcPr>
            <w:tcW w:w="0" w:type="auto"/>
            <w:noWrap w:val="0"/>
            <w:vAlign w:val="center"/>
          </w:tcPr>
          <w:p w14:paraId="1430999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3210.38</w:t>
            </w:r>
          </w:p>
        </w:tc>
        <w:tc>
          <w:tcPr>
            <w:tcW w:w="0" w:type="auto"/>
            <w:noWrap w:val="0"/>
            <w:vAlign w:val="center"/>
          </w:tcPr>
          <w:p w14:paraId="193D49D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3397.90</w:t>
            </w:r>
          </w:p>
        </w:tc>
        <w:tc>
          <w:tcPr>
            <w:tcW w:w="0" w:type="auto"/>
            <w:noWrap w:val="0"/>
            <w:vAlign w:val="center"/>
          </w:tcPr>
          <w:p w14:paraId="4079E5D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3566.66</w:t>
            </w:r>
          </w:p>
        </w:tc>
      </w:tr>
      <w:tr w14:paraId="4FCBD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noWrap w:val="0"/>
            <w:vAlign w:val="center"/>
          </w:tcPr>
          <w:p w14:paraId="3E4DDE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11</w:t>
            </w:r>
          </w:p>
        </w:tc>
        <w:tc>
          <w:tcPr>
            <w:tcW w:w="0" w:type="auto"/>
            <w:noWrap w:val="0"/>
            <w:vAlign w:val="center"/>
          </w:tcPr>
          <w:p w14:paraId="72E57F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可供分配的利润（9+10）</w:t>
            </w:r>
          </w:p>
        </w:tc>
        <w:tc>
          <w:tcPr>
            <w:tcW w:w="0" w:type="auto"/>
            <w:noWrap w:val="0"/>
            <w:vAlign w:val="center"/>
          </w:tcPr>
          <w:p w14:paraId="6BCA12DF">
            <w:pPr>
              <w:jc w:val="center"/>
              <w:rPr>
                <w:rFonts w:ascii="Times New Roman" w:hAnsi="Times New Roman" w:eastAsia="宋体" w:cs="宋体"/>
                <w:color w:val="auto"/>
                <w:sz w:val="21"/>
              </w:rPr>
            </w:pPr>
          </w:p>
        </w:tc>
        <w:tc>
          <w:tcPr>
            <w:tcW w:w="0" w:type="auto"/>
            <w:noWrap w:val="0"/>
            <w:vAlign w:val="center"/>
          </w:tcPr>
          <w:p w14:paraId="12E81C7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143.37</w:t>
            </w:r>
          </w:p>
        </w:tc>
        <w:tc>
          <w:tcPr>
            <w:tcW w:w="0" w:type="auto"/>
            <w:noWrap w:val="0"/>
            <w:vAlign w:val="center"/>
          </w:tcPr>
          <w:p w14:paraId="66190BF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423.18</w:t>
            </w:r>
          </w:p>
        </w:tc>
        <w:tc>
          <w:tcPr>
            <w:tcW w:w="0" w:type="auto"/>
            <w:noWrap w:val="0"/>
            <w:vAlign w:val="center"/>
          </w:tcPr>
          <w:p w14:paraId="26FF0FE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810.46</w:t>
            </w:r>
          </w:p>
        </w:tc>
        <w:tc>
          <w:tcPr>
            <w:tcW w:w="0" w:type="auto"/>
            <w:noWrap w:val="0"/>
            <w:vAlign w:val="center"/>
          </w:tcPr>
          <w:p w14:paraId="382F016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1294.47</w:t>
            </w:r>
          </w:p>
        </w:tc>
        <w:tc>
          <w:tcPr>
            <w:tcW w:w="0" w:type="auto"/>
            <w:noWrap w:val="0"/>
            <w:vAlign w:val="center"/>
          </w:tcPr>
          <w:p w14:paraId="1EB54D1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1730.09</w:t>
            </w:r>
          </w:p>
        </w:tc>
        <w:tc>
          <w:tcPr>
            <w:tcW w:w="0" w:type="auto"/>
            <w:noWrap w:val="0"/>
            <w:vAlign w:val="center"/>
          </w:tcPr>
          <w:p w14:paraId="79F359E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2122.14</w:t>
            </w:r>
          </w:p>
        </w:tc>
        <w:tc>
          <w:tcPr>
            <w:tcW w:w="0" w:type="auto"/>
            <w:noWrap w:val="0"/>
            <w:vAlign w:val="center"/>
          </w:tcPr>
          <w:p w14:paraId="1B24959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2474.99</w:t>
            </w:r>
          </w:p>
        </w:tc>
        <w:tc>
          <w:tcPr>
            <w:tcW w:w="0" w:type="auto"/>
            <w:noWrap w:val="0"/>
            <w:vAlign w:val="center"/>
          </w:tcPr>
          <w:p w14:paraId="17E6D8D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2792.55</w:t>
            </w:r>
          </w:p>
        </w:tc>
        <w:tc>
          <w:tcPr>
            <w:tcW w:w="0" w:type="auto"/>
            <w:noWrap w:val="0"/>
            <w:vAlign w:val="center"/>
          </w:tcPr>
          <w:p w14:paraId="17673D5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3078.36</w:t>
            </w:r>
          </w:p>
        </w:tc>
        <w:tc>
          <w:tcPr>
            <w:tcW w:w="0" w:type="auto"/>
            <w:noWrap w:val="0"/>
            <w:vAlign w:val="center"/>
          </w:tcPr>
          <w:p w14:paraId="3E8927B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3335.59</w:t>
            </w:r>
          </w:p>
        </w:tc>
        <w:tc>
          <w:tcPr>
            <w:tcW w:w="0" w:type="auto"/>
            <w:noWrap w:val="0"/>
            <w:vAlign w:val="center"/>
          </w:tcPr>
          <w:p w14:paraId="6B4F2AE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3567.09</w:t>
            </w:r>
          </w:p>
        </w:tc>
        <w:tc>
          <w:tcPr>
            <w:tcW w:w="0" w:type="auto"/>
            <w:noWrap w:val="0"/>
            <w:vAlign w:val="center"/>
          </w:tcPr>
          <w:p w14:paraId="2DAC08A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3775.44</w:t>
            </w:r>
          </w:p>
        </w:tc>
        <w:tc>
          <w:tcPr>
            <w:tcW w:w="0" w:type="auto"/>
            <w:noWrap w:val="0"/>
            <w:vAlign w:val="center"/>
          </w:tcPr>
          <w:p w14:paraId="5443CE6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3962.96</w:t>
            </w:r>
          </w:p>
        </w:tc>
        <w:tc>
          <w:tcPr>
            <w:tcW w:w="0" w:type="auto"/>
            <w:noWrap w:val="0"/>
            <w:vAlign w:val="center"/>
          </w:tcPr>
          <w:p w14:paraId="4C6D1B8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4131.73</w:t>
            </w:r>
          </w:p>
        </w:tc>
      </w:tr>
      <w:tr w14:paraId="2E0E4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noWrap w:val="0"/>
            <w:vAlign w:val="center"/>
          </w:tcPr>
          <w:p w14:paraId="37AB81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12</w:t>
            </w:r>
          </w:p>
        </w:tc>
        <w:tc>
          <w:tcPr>
            <w:tcW w:w="0" w:type="auto"/>
            <w:noWrap w:val="0"/>
            <w:vAlign w:val="center"/>
          </w:tcPr>
          <w:p w14:paraId="54913F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pacing w:val="7"/>
                <w:sz w:val="21"/>
                <w:szCs w:val="14"/>
              </w:rPr>
            </w:pPr>
            <w:r>
              <w:rPr>
                <w:rFonts w:ascii="Times New Roman" w:hAnsi="Times New Roman" w:eastAsia="宋体" w:cs="宋体"/>
                <w:color w:val="auto"/>
                <w:spacing w:val="7"/>
                <w:sz w:val="21"/>
                <w:szCs w:val="14"/>
              </w:rPr>
              <w:t>提取法定盈余公积金</w:t>
            </w:r>
          </w:p>
          <w:p w14:paraId="203F5E7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（10%）</w:t>
            </w:r>
          </w:p>
        </w:tc>
        <w:tc>
          <w:tcPr>
            <w:tcW w:w="0" w:type="auto"/>
            <w:noWrap w:val="0"/>
            <w:vAlign w:val="center"/>
          </w:tcPr>
          <w:p w14:paraId="775D2FC3">
            <w:pPr>
              <w:jc w:val="center"/>
              <w:rPr>
                <w:rFonts w:ascii="Times New Roman" w:hAnsi="Times New Roman" w:eastAsia="宋体" w:cs="宋体"/>
                <w:color w:val="auto"/>
                <w:sz w:val="21"/>
              </w:rPr>
            </w:pPr>
          </w:p>
        </w:tc>
        <w:tc>
          <w:tcPr>
            <w:tcW w:w="0" w:type="auto"/>
            <w:noWrap w:val="0"/>
            <w:vAlign w:val="center"/>
          </w:tcPr>
          <w:p w14:paraId="3F05E99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14.34</w:t>
            </w:r>
          </w:p>
        </w:tc>
        <w:tc>
          <w:tcPr>
            <w:tcW w:w="0" w:type="auto"/>
            <w:noWrap w:val="0"/>
            <w:vAlign w:val="center"/>
          </w:tcPr>
          <w:p w14:paraId="4D5DEC3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42.32</w:t>
            </w:r>
          </w:p>
        </w:tc>
        <w:tc>
          <w:tcPr>
            <w:tcW w:w="0" w:type="auto"/>
            <w:noWrap w:val="0"/>
            <w:vAlign w:val="center"/>
          </w:tcPr>
          <w:p w14:paraId="3D5DD24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81.05</w:t>
            </w:r>
          </w:p>
        </w:tc>
        <w:tc>
          <w:tcPr>
            <w:tcW w:w="0" w:type="auto"/>
            <w:noWrap w:val="0"/>
            <w:vAlign w:val="center"/>
          </w:tcPr>
          <w:p w14:paraId="760F82F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129.45</w:t>
            </w:r>
          </w:p>
        </w:tc>
        <w:tc>
          <w:tcPr>
            <w:tcW w:w="0" w:type="auto"/>
            <w:noWrap w:val="0"/>
            <w:vAlign w:val="center"/>
          </w:tcPr>
          <w:p w14:paraId="4255945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173.01</w:t>
            </w:r>
          </w:p>
        </w:tc>
        <w:tc>
          <w:tcPr>
            <w:tcW w:w="0" w:type="auto"/>
            <w:noWrap w:val="0"/>
            <w:vAlign w:val="center"/>
          </w:tcPr>
          <w:p w14:paraId="74C9C08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212.21</w:t>
            </w:r>
          </w:p>
        </w:tc>
        <w:tc>
          <w:tcPr>
            <w:tcW w:w="0" w:type="auto"/>
            <w:noWrap w:val="0"/>
            <w:vAlign w:val="center"/>
          </w:tcPr>
          <w:p w14:paraId="36EBEF5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247.50</w:t>
            </w:r>
          </w:p>
        </w:tc>
        <w:tc>
          <w:tcPr>
            <w:tcW w:w="0" w:type="auto"/>
            <w:noWrap w:val="0"/>
            <w:vAlign w:val="center"/>
          </w:tcPr>
          <w:p w14:paraId="58BA3A3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279.26</w:t>
            </w:r>
          </w:p>
        </w:tc>
        <w:tc>
          <w:tcPr>
            <w:tcW w:w="0" w:type="auto"/>
            <w:noWrap w:val="0"/>
            <w:vAlign w:val="center"/>
          </w:tcPr>
          <w:p w14:paraId="382C2F7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307.84</w:t>
            </w:r>
          </w:p>
        </w:tc>
        <w:tc>
          <w:tcPr>
            <w:tcW w:w="0" w:type="auto"/>
            <w:noWrap w:val="0"/>
            <w:vAlign w:val="center"/>
          </w:tcPr>
          <w:p w14:paraId="7ACFE47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333.56</w:t>
            </w:r>
          </w:p>
        </w:tc>
        <w:tc>
          <w:tcPr>
            <w:tcW w:w="0" w:type="auto"/>
            <w:noWrap w:val="0"/>
            <w:vAlign w:val="center"/>
          </w:tcPr>
          <w:p w14:paraId="489D7BF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356.71</w:t>
            </w:r>
          </w:p>
        </w:tc>
        <w:tc>
          <w:tcPr>
            <w:tcW w:w="0" w:type="auto"/>
            <w:noWrap w:val="0"/>
            <w:vAlign w:val="center"/>
          </w:tcPr>
          <w:p w14:paraId="17EC75F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377.54</w:t>
            </w:r>
          </w:p>
        </w:tc>
        <w:tc>
          <w:tcPr>
            <w:tcW w:w="0" w:type="auto"/>
            <w:noWrap w:val="0"/>
            <w:vAlign w:val="center"/>
          </w:tcPr>
          <w:p w14:paraId="2E467CE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396.30</w:t>
            </w:r>
          </w:p>
        </w:tc>
        <w:tc>
          <w:tcPr>
            <w:tcW w:w="0" w:type="auto"/>
            <w:noWrap w:val="0"/>
            <w:vAlign w:val="center"/>
          </w:tcPr>
          <w:p w14:paraId="5A198B8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413.17</w:t>
            </w:r>
          </w:p>
        </w:tc>
      </w:tr>
      <w:tr w14:paraId="79FC4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noWrap w:val="0"/>
            <w:vAlign w:val="center"/>
          </w:tcPr>
          <w:p w14:paraId="0F1CFA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13</w:t>
            </w:r>
          </w:p>
        </w:tc>
        <w:tc>
          <w:tcPr>
            <w:tcW w:w="0" w:type="auto"/>
            <w:noWrap w:val="0"/>
            <w:vAlign w:val="center"/>
          </w:tcPr>
          <w:p w14:paraId="38A2A8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pacing w:val="2"/>
                <w:sz w:val="21"/>
                <w:szCs w:val="14"/>
              </w:rPr>
            </w:pPr>
            <w:r>
              <w:rPr>
                <w:rFonts w:ascii="Times New Roman" w:hAnsi="Times New Roman" w:eastAsia="宋体" w:cs="宋体"/>
                <w:color w:val="auto"/>
                <w:spacing w:val="2"/>
                <w:sz w:val="21"/>
                <w:szCs w:val="14"/>
              </w:rPr>
              <w:t>可供投资者分配的利润</w:t>
            </w:r>
          </w:p>
          <w:p w14:paraId="1EFE3B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（11-12）</w:t>
            </w:r>
          </w:p>
        </w:tc>
        <w:tc>
          <w:tcPr>
            <w:tcW w:w="0" w:type="auto"/>
            <w:noWrap w:val="0"/>
            <w:vAlign w:val="center"/>
          </w:tcPr>
          <w:p w14:paraId="62C87FF1">
            <w:pPr>
              <w:jc w:val="center"/>
              <w:rPr>
                <w:rFonts w:ascii="Times New Roman" w:hAnsi="Times New Roman" w:eastAsia="宋体" w:cs="宋体"/>
                <w:color w:val="auto"/>
                <w:sz w:val="21"/>
              </w:rPr>
            </w:pPr>
          </w:p>
        </w:tc>
        <w:tc>
          <w:tcPr>
            <w:tcW w:w="0" w:type="auto"/>
            <w:noWrap w:val="0"/>
            <w:vAlign w:val="center"/>
          </w:tcPr>
          <w:p w14:paraId="215F7B9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129.04</w:t>
            </w:r>
          </w:p>
        </w:tc>
        <w:tc>
          <w:tcPr>
            <w:tcW w:w="0" w:type="auto"/>
            <w:noWrap w:val="0"/>
            <w:vAlign w:val="center"/>
          </w:tcPr>
          <w:p w14:paraId="3277641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380.86</w:t>
            </w:r>
          </w:p>
        </w:tc>
        <w:tc>
          <w:tcPr>
            <w:tcW w:w="0" w:type="auto"/>
            <w:noWrap w:val="0"/>
            <w:vAlign w:val="center"/>
          </w:tcPr>
          <w:p w14:paraId="371737B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729.41</w:t>
            </w:r>
          </w:p>
        </w:tc>
        <w:tc>
          <w:tcPr>
            <w:tcW w:w="0" w:type="auto"/>
            <w:noWrap w:val="0"/>
            <w:vAlign w:val="center"/>
          </w:tcPr>
          <w:p w14:paraId="7724D41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1165.03</w:t>
            </w:r>
          </w:p>
        </w:tc>
        <w:tc>
          <w:tcPr>
            <w:tcW w:w="0" w:type="auto"/>
            <w:noWrap w:val="0"/>
            <w:vAlign w:val="center"/>
          </w:tcPr>
          <w:p w14:paraId="10AC027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1557.08</w:t>
            </w:r>
          </w:p>
        </w:tc>
        <w:tc>
          <w:tcPr>
            <w:tcW w:w="0" w:type="auto"/>
            <w:noWrap w:val="0"/>
            <w:vAlign w:val="center"/>
          </w:tcPr>
          <w:p w14:paraId="2723DA6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1909.93</w:t>
            </w:r>
          </w:p>
        </w:tc>
        <w:tc>
          <w:tcPr>
            <w:tcW w:w="0" w:type="auto"/>
            <w:noWrap w:val="0"/>
            <w:vAlign w:val="center"/>
          </w:tcPr>
          <w:p w14:paraId="32105A7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2227.49</w:t>
            </w:r>
          </w:p>
        </w:tc>
        <w:tc>
          <w:tcPr>
            <w:tcW w:w="0" w:type="auto"/>
            <w:noWrap w:val="0"/>
            <w:vAlign w:val="center"/>
          </w:tcPr>
          <w:p w14:paraId="772CB94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2513.30</w:t>
            </w:r>
          </w:p>
        </w:tc>
        <w:tc>
          <w:tcPr>
            <w:tcW w:w="0" w:type="auto"/>
            <w:noWrap w:val="0"/>
            <w:vAlign w:val="center"/>
          </w:tcPr>
          <w:p w14:paraId="176E296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2770.52</w:t>
            </w:r>
          </w:p>
        </w:tc>
        <w:tc>
          <w:tcPr>
            <w:tcW w:w="0" w:type="auto"/>
            <w:noWrap w:val="0"/>
            <w:vAlign w:val="center"/>
          </w:tcPr>
          <w:p w14:paraId="1466450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3002.03</w:t>
            </w:r>
          </w:p>
        </w:tc>
        <w:tc>
          <w:tcPr>
            <w:tcW w:w="0" w:type="auto"/>
            <w:noWrap w:val="0"/>
            <w:vAlign w:val="center"/>
          </w:tcPr>
          <w:p w14:paraId="53DDE1F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3210.38</w:t>
            </w:r>
          </w:p>
        </w:tc>
        <w:tc>
          <w:tcPr>
            <w:tcW w:w="0" w:type="auto"/>
            <w:noWrap w:val="0"/>
            <w:vAlign w:val="center"/>
          </w:tcPr>
          <w:p w14:paraId="0B0CB5D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3397.90</w:t>
            </w:r>
          </w:p>
        </w:tc>
        <w:tc>
          <w:tcPr>
            <w:tcW w:w="0" w:type="auto"/>
            <w:noWrap w:val="0"/>
            <w:vAlign w:val="center"/>
          </w:tcPr>
          <w:p w14:paraId="1FC0069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3566.66</w:t>
            </w:r>
          </w:p>
        </w:tc>
        <w:tc>
          <w:tcPr>
            <w:tcW w:w="0" w:type="auto"/>
            <w:noWrap w:val="0"/>
            <w:vAlign w:val="center"/>
          </w:tcPr>
          <w:p w14:paraId="7D0086C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3718.55</w:t>
            </w:r>
          </w:p>
        </w:tc>
      </w:tr>
      <w:tr w14:paraId="70BAA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noWrap w:val="0"/>
            <w:vAlign w:val="center"/>
          </w:tcPr>
          <w:p w14:paraId="3030055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14</w:t>
            </w:r>
          </w:p>
        </w:tc>
        <w:tc>
          <w:tcPr>
            <w:tcW w:w="0" w:type="auto"/>
            <w:noWrap w:val="0"/>
            <w:vAlign w:val="center"/>
          </w:tcPr>
          <w:p w14:paraId="3D4E3D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9"/>
                <w:sz w:val="21"/>
                <w:szCs w:val="14"/>
              </w:rPr>
              <w:t>应付优先股股利</w:t>
            </w:r>
          </w:p>
        </w:tc>
        <w:tc>
          <w:tcPr>
            <w:tcW w:w="0" w:type="auto"/>
            <w:noWrap w:val="0"/>
            <w:vAlign w:val="center"/>
          </w:tcPr>
          <w:p w14:paraId="151D70ED">
            <w:pPr>
              <w:jc w:val="center"/>
              <w:rPr>
                <w:rFonts w:ascii="Times New Roman" w:hAnsi="Times New Roman" w:eastAsia="宋体" w:cs="宋体"/>
                <w:color w:val="auto"/>
                <w:sz w:val="21"/>
              </w:rPr>
            </w:pPr>
          </w:p>
        </w:tc>
        <w:tc>
          <w:tcPr>
            <w:tcW w:w="0" w:type="auto"/>
            <w:noWrap w:val="0"/>
            <w:vAlign w:val="center"/>
          </w:tcPr>
          <w:p w14:paraId="71366AFA">
            <w:pPr>
              <w:jc w:val="center"/>
              <w:rPr>
                <w:rFonts w:ascii="Times New Roman" w:hAnsi="Times New Roman" w:eastAsia="宋体" w:cs="宋体"/>
                <w:color w:val="auto"/>
                <w:sz w:val="21"/>
              </w:rPr>
            </w:pPr>
          </w:p>
        </w:tc>
        <w:tc>
          <w:tcPr>
            <w:tcW w:w="0" w:type="auto"/>
            <w:noWrap w:val="0"/>
            <w:vAlign w:val="center"/>
          </w:tcPr>
          <w:p w14:paraId="4F3BA246">
            <w:pPr>
              <w:jc w:val="center"/>
              <w:rPr>
                <w:rFonts w:ascii="Times New Roman" w:hAnsi="Times New Roman" w:eastAsia="宋体" w:cs="宋体"/>
                <w:color w:val="auto"/>
                <w:sz w:val="21"/>
              </w:rPr>
            </w:pPr>
          </w:p>
        </w:tc>
        <w:tc>
          <w:tcPr>
            <w:tcW w:w="0" w:type="auto"/>
            <w:noWrap w:val="0"/>
            <w:vAlign w:val="center"/>
          </w:tcPr>
          <w:p w14:paraId="29D3209C">
            <w:pPr>
              <w:jc w:val="center"/>
              <w:rPr>
                <w:rFonts w:ascii="Times New Roman" w:hAnsi="Times New Roman" w:eastAsia="宋体" w:cs="宋体"/>
                <w:color w:val="auto"/>
                <w:sz w:val="21"/>
              </w:rPr>
            </w:pPr>
          </w:p>
        </w:tc>
        <w:tc>
          <w:tcPr>
            <w:tcW w:w="0" w:type="auto"/>
            <w:noWrap w:val="0"/>
            <w:vAlign w:val="center"/>
          </w:tcPr>
          <w:p w14:paraId="447DE6CB">
            <w:pPr>
              <w:jc w:val="center"/>
              <w:rPr>
                <w:rFonts w:ascii="Times New Roman" w:hAnsi="Times New Roman" w:eastAsia="宋体" w:cs="宋体"/>
                <w:color w:val="auto"/>
                <w:sz w:val="21"/>
              </w:rPr>
            </w:pPr>
          </w:p>
        </w:tc>
        <w:tc>
          <w:tcPr>
            <w:tcW w:w="0" w:type="auto"/>
            <w:noWrap w:val="0"/>
            <w:vAlign w:val="center"/>
          </w:tcPr>
          <w:p w14:paraId="594A1989">
            <w:pPr>
              <w:jc w:val="center"/>
              <w:rPr>
                <w:rFonts w:ascii="Times New Roman" w:hAnsi="Times New Roman" w:eastAsia="宋体" w:cs="宋体"/>
                <w:color w:val="auto"/>
                <w:sz w:val="21"/>
              </w:rPr>
            </w:pPr>
          </w:p>
        </w:tc>
        <w:tc>
          <w:tcPr>
            <w:tcW w:w="0" w:type="auto"/>
            <w:noWrap w:val="0"/>
            <w:vAlign w:val="center"/>
          </w:tcPr>
          <w:p w14:paraId="2BE517A4">
            <w:pPr>
              <w:jc w:val="center"/>
              <w:rPr>
                <w:rFonts w:ascii="Times New Roman" w:hAnsi="Times New Roman" w:eastAsia="宋体" w:cs="宋体"/>
                <w:color w:val="auto"/>
                <w:sz w:val="21"/>
              </w:rPr>
            </w:pPr>
          </w:p>
        </w:tc>
        <w:tc>
          <w:tcPr>
            <w:tcW w:w="0" w:type="auto"/>
            <w:noWrap w:val="0"/>
            <w:vAlign w:val="center"/>
          </w:tcPr>
          <w:p w14:paraId="2D2C7799">
            <w:pPr>
              <w:jc w:val="center"/>
              <w:rPr>
                <w:rFonts w:ascii="Times New Roman" w:hAnsi="Times New Roman" w:eastAsia="宋体" w:cs="宋体"/>
                <w:color w:val="auto"/>
                <w:sz w:val="21"/>
              </w:rPr>
            </w:pPr>
          </w:p>
        </w:tc>
        <w:tc>
          <w:tcPr>
            <w:tcW w:w="0" w:type="auto"/>
            <w:noWrap w:val="0"/>
            <w:vAlign w:val="center"/>
          </w:tcPr>
          <w:p w14:paraId="07582032">
            <w:pPr>
              <w:jc w:val="center"/>
              <w:rPr>
                <w:rFonts w:ascii="Times New Roman" w:hAnsi="Times New Roman" w:eastAsia="宋体" w:cs="宋体"/>
                <w:color w:val="auto"/>
                <w:sz w:val="21"/>
              </w:rPr>
            </w:pPr>
          </w:p>
        </w:tc>
        <w:tc>
          <w:tcPr>
            <w:tcW w:w="0" w:type="auto"/>
            <w:noWrap w:val="0"/>
            <w:vAlign w:val="center"/>
          </w:tcPr>
          <w:p w14:paraId="0EDE6F53">
            <w:pPr>
              <w:jc w:val="center"/>
              <w:rPr>
                <w:rFonts w:ascii="Times New Roman" w:hAnsi="Times New Roman" w:eastAsia="宋体" w:cs="宋体"/>
                <w:color w:val="auto"/>
                <w:sz w:val="21"/>
              </w:rPr>
            </w:pPr>
          </w:p>
        </w:tc>
        <w:tc>
          <w:tcPr>
            <w:tcW w:w="0" w:type="auto"/>
            <w:noWrap w:val="0"/>
            <w:vAlign w:val="center"/>
          </w:tcPr>
          <w:p w14:paraId="6DC9C014">
            <w:pPr>
              <w:jc w:val="center"/>
              <w:rPr>
                <w:rFonts w:ascii="Times New Roman" w:hAnsi="Times New Roman" w:eastAsia="宋体" w:cs="宋体"/>
                <w:color w:val="auto"/>
                <w:sz w:val="21"/>
              </w:rPr>
            </w:pPr>
          </w:p>
        </w:tc>
        <w:tc>
          <w:tcPr>
            <w:tcW w:w="0" w:type="auto"/>
            <w:noWrap w:val="0"/>
            <w:vAlign w:val="center"/>
          </w:tcPr>
          <w:p w14:paraId="4E55FF07">
            <w:pPr>
              <w:jc w:val="center"/>
              <w:rPr>
                <w:rFonts w:ascii="Times New Roman" w:hAnsi="Times New Roman" w:eastAsia="宋体" w:cs="宋体"/>
                <w:color w:val="auto"/>
                <w:sz w:val="21"/>
              </w:rPr>
            </w:pPr>
          </w:p>
        </w:tc>
        <w:tc>
          <w:tcPr>
            <w:tcW w:w="0" w:type="auto"/>
            <w:noWrap w:val="0"/>
            <w:vAlign w:val="center"/>
          </w:tcPr>
          <w:p w14:paraId="6D5E027C">
            <w:pPr>
              <w:jc w:val="center"/>
              <w:rPr>
                <w:rFonts w:ascii="Times New Roman" w:hAnsi="Times New Roman" w:eastAsia="宋体" w:cs="宋体"/>
                <w:color w:val="auto"/>
                <w:sz w:val="21"/>
              </w:rPr>
            </w:pPr>
          </w:p>
        </w:tc>
        <w:tc>
          <w:tcPr>
            <w:tcW w:w="0" w:type="auto"/>
            <w:noWrap w:val="0"/>
            <w:vAlign w:val="center"/>
          </w:tcPr>
          <w:p w14:paraId="200E5231">
            <w:pPr>
              <w:jc w:val="center"/>
              <w:rPr>
                <w:rFonts w:ascii="Times New Roman" w:hAnsi="Times New Roman" w:eastAsia="宋体" w:cs="宋体"/>
                <w:color w:val="auto"/>
                <w:sz w:val="21"/>
              </w:rPr>
            </w:pPr>
          </w:p>
        </w:tc>
        <w:tc>
          <w:tcPr>
            <w:tcW w:w="0" w:type="auto"/>
            <w:noWrap w:val="0"/>
            <w:vAlign w:val="center"/>
          </w:tcPr>
          <w:p w14:paraId="3F5B702A">
            <w:pPr>
              <w:jc w:val="center"/>
              <w:rPr>
                <w:rFonts w:ascii="Times New Roman" w:hAnsi="Times New Roman" w:eastAsia="宋体" w:cs="宋体"/>
                <w:color w:val="auto"/>
                <w:sz w:val="21"/>
              </w:rPr>
            </w:pPr>
          </w:p>
        </w:tc>
      </w:tr>
      <w:tr w14:paraId="1D72A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noWrap w:val="0"/>
            <w:vAlign w:val="center"/>
          </w:tcPr>
          <w:p w14:paraId="6F765DF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15</w:t>
            </w:r>
          </w:p>
        </w:tc>
        <w:tc>
          <w:tcPr>
            <w:tcW w:w="0" w:type="auto"/>
            <w:noWrap w:val="0"/>
            <w:vAlign w:val="center"/>
          </w:tcPr>
          <w:p w14:paraId="247E24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9"/>
                <w:sz w:val="21"/>
                <w:szCs w:val="14"/>
              </w:rPr>
              <w:t>提取任意盈余公积金</w:t>
            </w:r>
          </w:p>
        </w:tc>
        <w:tc>
          <w:tcPr>
            <w:tcW w:w="0" w:type="auto"/>
            <w:noWrap w:val="0"/>
            <w:vAlign w:val="center"/>
          </w:tcPr>
          <w:p w14:paraId="7D97C005">
            <w:pPr>
              <w:jc w:val="center"/>
              <w:rPr>
                <w:rFonts w:ascii="Times New Roman" w:hAnsi="Times New Roman" w:eastAsia="宋体" w:cs="宋体"/>
                <w:color w:val="auto"/>
                <w:sz w:val="21"/>
              </w:rPr>
            </w:pPr>
          </w:p>
        </w:tc>
        <w:tc>
          <w:tcPr>
            <w:tcW w:w="0" w:type="auto"/>
            <w:noWrap w:val="0"/>
            <w:vAlign w:val="center"/>
          </w:tcPr>
          <w:p w14:paraId="589500C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7.17</w:t>
            </w:r>
          </w:p>
        </w:tc>
        <w:tc>
          <w:tcPr>
            <w:tcW w:w="0" w:type="auto"/>
            <w:noWrap w:val="0"/>
            <w:vAlign w:val="center"/>
          </w:tcPr>
          <w:p w14:paraId="6D6CD93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21.16</w:t>
            </w:r>
          </w:p>
        </w:tc>
        <w:tc>
          <w:tcPr>
            <w:tcW w:w="0" w:type="auto"/>
            <w:noWrap w:val="0"/>
            <w:vAlign w:val="center"/>
          </w:tcPr>
          <w:p w14:paraId="011F245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40.52</w:t>
            </w:r>
          </w:p>
        </w:tc>
        <w:tc>
          <w:tcPr>
            <w:tcW w:w="0" w:type="auto"/>
            <w:noWrap w:val="0"/>
            <w:vAlign w:val="center"/>
          </w:tcPr>
          <w:p w14:paraId="3BB35B1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64.72</w:t>
            </w:r>
          </w:p>
        </w:tc>
        <w:tc>
          <w:tcPr>
            <w:tcW w:w="0" w:type="auto"/>
            <w:noWrap w:val="0"/>
            <w:vAlign w:val="center"/>
          </w:tcPr>
          <w:p w14:paraId="2AC85D0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86.50</w:t>
            </w:r>
          </w:p>
        </w:tc>
        <w:tc>
          <w:tcPr>
            <w:tcW w:w="0" w:type="auto"/>
            <w:noWrap w:val="0"/>
            <w:vAlign w:val="center"/>
          </w:tcPr>
          <w:p w14:paraId="7B20F40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106.11</w:t>
            </w:r>
          </w:p>
        </w:tc>
        <w:tc>
          <w:tcPr>
            <w:tcW w:w="0" w:type="auto"/>
            <w:noWrap w:val="0"/>
            <w:vAlign w:val="center"/>
          </w:tcPr>
          <w:p w14:paraId="1E68EB1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123.75</w:t>
            </w:r>
          </w:p>
        </w:tc>
        <w:tc>
          <w:tcPr>
            <w:tcW w:w="0" w:type="auto"/>
            <w:noWrap w:val="0"/>
            <w:vAlign w:val="center"/>
          </w:tcPr>
          <w:p w14:paraId="4D2A657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139.63</w:t>
            </w:r>
          </w:p>
        </w:tc>
        <w:tc>
          <w:tcPr>
            <w:tcW w:w="0" w:type="auto"/>
            <w:noWrap w:val="0"/>
            <w:vAlign w:val="center"/>
          </w:tcPr>
          <w:p w14:paraId="12BB616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153.92</w:t>
            </w:r>
          </w:p>
        </w:tc>
        <w:tc>
          <w:tcPr>
            <w:tcW w:w="0" w:type="auto"/>
            <w:noWrap w:val="0"/>
            <w:vAlign w:val="center"/>
          </w:tcPr>
          <w:p w14:paraId="2AC995C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166.78</w:t>
            </w:r>
          </w:p>
        </w:tc>
        <w:tc>
          <w:tcPr>
            <w:tcW w:w="0" w:type="auto"/>
            <w:noWrap w:val="0"/>
            <w:vAlign w:val="center"/>
          </w:tcPr>
          <w:p w14:paraId="095F437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178.35</w:t>
            </w:r>
          </w:p>
        </w:tc>
        <w:tc>
          <w:tcPr>
            <w:tcW w:w="0" w:type="auto"/>
            <w:noWrap w:val="0"/>
            <w:vAlign w:val="center"/>
          </w:tcPr>
          <w:p w14:paraId="2B8F2C8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188.77</w:t>
            </w:r>
          </w:p>
        </w:tc>
        <w:tc>
          <w:tcPr>
            <w:tcW w:w="0" w:type="auto"/>
            <w:noWrap w:val="0"/>
            <w:vAlign w:val="center"/>
          </w:tcPr>
          <w:p w14:paraId="6601DD8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198.15</w:t>
            </w:r>
          </w:p>
        </w:tc>
        <w:tc>
          <w:tcPr>
            <w:tcW w:w="0" w:type="auto"/>
            <w:noWrap w:val="0"/>
            <w:vAlign w:val="center"/>
          </w:tcPr>
          <w:p w14:paraId="7D59479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206.59</w:t>
            </w:r>
          </w:p>
        </w:tc>
      </w:tr>
      <w:tr w14:paraId="24ECC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0" w:type="auto"/>
            <w:noWrap w:val="0"/>
            <w:vAlign w:val="center"/>
          </w:tcPr>
          <w:p w14:paraId="5B0158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16</w:t>
            </w:r>
          </w:p>
        </w:tc>
        <w:tc>
          <w:tcPr>
            <w:tcW w:w="0" w:type="auto"/>
            <w:noWrap w:val="0"/>
            <w:vAlign w:val="center"/>
          </w:tcPr>
          <w:p w14:paraId="3746755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未分配利润（13-14）</w:t>
            </w:r>
          </w:p>
        </w:tc>
        <w:tc>
          <w:tcPr>
            <w:tcW w:w="0" w:type="auto"/>
            <w:noWrap w:val="0"/>
            <w:vAlign w:val="center"/>
          </w:tcPr>
          <w:p w14:paraId="7A26521B">
            <w:pPr>
              <w:jc w:val="center"/>
              <w:rPr>
                <w:rFonts w:ascii="Times New Roman" w:hAnsi="Times New Roman" w:eastAsia="宋体" w:cs="宋体"/>
                <w:color w:val="auto"/>
                <w:sz w:val="21"/>
              </w:rPr>
            </w:pPr>
          </w:p>
        </w:tc>
        <w:tc>
          <w:tcPr>
            <w:tcW w:w="0" w:type="auto"/>
            <w:noWrap w:val="0"/>
            <w:vAlign w:val="center"/>
          </w:tcPr>
          <w:p w14:paraId="010DBFF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129.04</w:t>
            </w:r>
          </w:p>
        </w:tc>
        <w:tc>
          <w:tcPr>
            <w:tcW w:w="0" w:type="auto"/>
            <w:noWrap w:val="0"/>
            <w:vAlign w:val="center"/>
          </w:tcPr>
          <w:p w14:paraId="7688E52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380.86</w:t>
            </w:r>
          </w:p>
        </w:tc>
        <w:tc>
          <w:tcPr>
            <w:tcW w:w="0" w:type="auto"/>
            <w:noWrap w:val="0"/>
            <w:vAlign w:val="center"/>
          </w:tcPr>
          <w:p w14:paraId="1D8E18C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729.41</w:t>
            </w:r>
          </w:p>
        </w:tc>
        <w:tc>
          <w:tcPr>
            <w:tcW w:w="0" w:type="auto"/>
            <w:noWrap w:val="0"/>
            <w:vAlign w:val="center"/>
          </w:tcPr>
          <w:p w14:paraId="209F6C9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1165.03</w:t>
            </w:r>
          </w:p>
        </w:tc>
        <w:tc>
          <w:tcPr>
            <w:tcW w:w="0" w:type="auto"/>
            <w:noWrap w:val="0"/>
            <w:vAlign w:val="center"/>
          </w:tcPr>
          <w:p w14:paraId="4DE7B7E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1557.08</w:t>
            </w:r>
          </w:p>
        </w:tc>
        <w:tc>
          <w:tcPr>
            <w:tcW w:w="0" w:type="auto"/>
            <w:noWrap w:val="0"/>
            <w:vAlign w:val="center"/>
          </w:tcPr>
          <w:p w14:paraId="325902C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1909.93</w:t>
            </w:r>
          </w:p>
        </w:tc>
        <w:tc>
          <w:tcPr>
            <w:tcW w:w="0" w:type="auto"/>
            <w:noWrap w:val="0"/>
            <w:vAlign w:val="center"/>
          </w:tcPr>
          <w:p w14:paraId="5A07B1F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2227.49</w:t>
            </w:r>
          </w:p>
        </w:tc>
        <w:tc>
          <w:tcPr>
            <w:tcW w:w="0" w:type="auto"/>
            <w:noWrap w:val="0"/>
            <w:vAlign w:val="center"/>
          </w:tcPr>
          <w:p w14:paraId="438A902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2513.30</w:t>
            </w:r>
          </w:p>
        </w:tc>
        <w:tc>
          <w:tcPr>
            <w:tcW w:w="0" w:type="auto"/>
            <w:noWrap w:val="0"/>
            <w:vAlign w:val="center"/>
          </w:tcPr>
          <w:p w14:paraId="1CB54DE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2770.52</w:t>
            </w:r>
          </w:p>
        </w:tc>
        <w:tc>
          <w:tcPr>
            <w:tcW w:w="0" w:type="auto"/>
            <w:noWrap w:val="0"/>
            <w:vAlign w:val="center"/>
          </w:tcPr>
          <w:p w14:paraId="7B119C1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3002.03</w:t>
            </w:r>
          </w:p>
        </w:tc>
        <w:tc>
          <w:tcPr>
            <w:tcW w:w="0" w:type="auto"/>
            <w:noWrap w:val="0"/>
            <w:vAlign w:val="center"/>
          </w:tcPr>
          <w:p w14:paraId="11580CC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3210.38</w:t>
            </w:r>
          </w:p>
        </w:tc>
        <w:tc>
          <w:tcPr>
            <w:tcW w:w="0" w:type="auto"/>
            <w:noWrap w:val="0"/>
            <w:vAlign w:val="center"/>
          </w:tcPr>
          <w:p w14:paraId="37CE9A4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3397.90</w:t>
            </w:r>
          </w:p>
        </w:tc>
        <w:tc>
          <w:tcPr>
            <w:tcW w:w="0" w:type="auto"/>
            <w:noWrap w:val="0"/>
            <w:vAlign w:val="center"/>
          </w:tcPr>
          <w:p w14:paraId="7AF3A70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3566.66</w:t>
            </w:r>
          </w:p>
        </w:tc>
        <w:tc>
          <w:tcPr>
            <w:tcW w:w="0" w:type="auto"/>
            <w:noWrap w:val="0"/>
            <w:vAlign w:val="center"/>
          </w:tcPr>
          <w:p w14:paraId="0C9C19B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3718.55</w:t>
            </w:r>
          </w:p>
        </w:tc>
      </w:tr>
      <w:tr w14:paraId="3433F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0" w:type="auto"/>
            <w:noWrap w:val="0"/>
            <w:vAlign w:val="center"/>
          </w:tcPr>
          <w:p w14:paraId="39CC0E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17</w:t>
            </w:r>
          </w:p>
        </w:tc>
        <w:tc>
          <w:tcPr>
            <w:tcW w:w="0" w:type="auto"/>
            <w:noWrap w:val="0"/>
            <w:vAlign w:val="center"/>
          </w:tcPr>
          <w:p w14:paraId="6DA6166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pacing w:val="6"/>
                <w:sz w:val="21"/>
                <w:szCs w:val="14"/>
              </w:rPr>
            </w:pPr>
            <w:r>
              <w:rPr>
                <w:rFonts w:ascii="Times New Roman" w:hAnsi="Times New Roman" w:eastAsia="宋体" w:cs="宋体"/>
                <w:color w:val="auto"/>
                <w:spacing w:val="6"/>
                <w:sz w:val="21"/>
                <w:szCs w:val="14"/>
              </w:rPr>
              <w:t>息税前利润</w:t>
            </w:r>
          </w:p>
          <w:p w14:paraId="66C75B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（利润总额+利息支</w:t>
            </w:r>
            <w:r>
              <w:rPr>
                <w:rFonts w:ascii="Times New Roman" w:hAnsi="Times New Roman" w:eastAsia="宋体" w:cs="宋体"/>
                <w:color w:val="auto"/>
                <w:spacing w:val="-5"/>
                <w:sz w:val="21"/>
                <w:szCs w:val="14"/>
              </w:rPr>
              <w:t>出）</w:t>
            </w:r>
          </w:p>
        </w:tc>
        <w:tc>
          <w:tcPr>
            <w:tcW w:w="0" w:type="auto"/>
            <w:noWrap w:val="0"/>
            <w:vAlign w:val="center"/>
          </w:tcPr>
          <w:p w14:paraId="471C34A3">
            <w:pPr>
              <w:jc w:val="center"/>
              <w:rPr>
                <w:rFonts w:ascii="Times New Roman" w:hAnsi="Times New Roman" w:eastAsia="宋体" w:cs="宋体"/>
                <w:color w:val="auto"/>
                <w:sz w:val="21"/>
              </w:rPr>
            </w:pPr>
          </w:p>
        </w:tc>
        <w:tc>
          <w:tcPr>
            <w:tcW w:w="0" w:type="auto"/>
            <w:noWrap w:val="0"/>
            <w:vAlign w:val="center"/>
          </w:tcPr>
          <w:p w14:paraId="2403DF8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250.91</w:t>
            </w:r>
          </w:p>
        </w:tc>
        <w:tc>
          <w:tcPr>
            <w:tcW w:w="0" w:type="auto"/>
            <w:noWrap w:val="0"/>
            <w:vAlign w:val="center"/>
          </w:tcPr>
          <w:p w14:paraId="6DFEEAF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740.56</w:t>
            </w:r>
          </w:p>
        </w:tc>
        <w:tc>
          <w:tcPr>
            <w:tcW w:w="0" w:type="auto"/>
            <w:noWrap w:val="0"/>
            <w:vAlign w:val="center"/>
          </w:tcPr>
          <w:p w14:paraId="56D8E34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1418.30</w:t>
            </w:r>
          </w:p>
        </w:tc>
        <w:tc>
          <w:tcPr>
            <w:tcW w:w="0" w:type="auto"/>
            <w:noWrap w:val="0"/>
            <w:vAlign w:val="center"/>
          </w:tcPr>
          <w:p w14:paraId="6540FD4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2265.33</w:t>
            </w:r>
          </w:p>
        </w:tc>
        <w:tc>
          <w:tcPr>
            <w:tcW w:w="0" w:type="auto"/>
            <w:noWrap w:val="0"/>
            <w:vAlign w:val="center"/>
          </w:tcPr>
          <w:p w14:paraId="4229A6D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3027.65</w:t>
            </w:r>
          </w:p>
        </w:tc>
        <w:tc>
          <w:tcPr>
            <w:tcW w:w="0" w:type="auto"/>
            <w:noWrap w:val="0"/>
            <w:vAlign w:val="center"/>
          </w:tcPr>
          <w:p w14:paraId="307B901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3713.75</w:t>
            </w:r>
          </w:p>
        </w:tc>
        <w:tc>
          <w:tcPr>
            <w:tcW w:w="0" w:type="auto"/>
            <w:noWrap w:val="0"/>
            <w:vAlign w:val="center"/>
          </w:tcPr>
          <w:p w14:paraId="320F11B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4331.23</w:t>
            </w:r>
          </w:p>
        </w:tc>
        <w:tc>
          <w:tcPr>
            <w:tcW w:w="0" w:type="auto"/>
            <w:noWrap w:val="0"/>
            <w:vAlign w:val="center"/>
          </w:tcPr>
          <w:p w14:paraId="20720AF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4886.97</w:t>
            </w:r>
          </w:p>
        </w:tc>
        <w:tc>
          <w:tcPr>
            <w:tcW w:w="0" w:type="auto"/>
            <w:noWrap w:val="0"/>
            <w:vAlign w:val="center"/>
          </w:tcPr>
          <w:p w14:paraId="698A8A4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5387.13</w:t>
            </w:r>
          </w:p>
        </w:tc>
        <w:tc>
          <w:tcPr>
            <w:tcW w:w="0" w:type="auto"/>
            <w:noWrap w:val="0"/>
            <w:vAlign w:val="center"/>
          </w:tcPr>
          <w:p w14:paraId="0DB520D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5837.27</w:t>
            </w:r>
          </w:p>
        </w:tc>
        <w:tc>
          <w:tcPr>
            <w:tcW w:w="0" w:type="auto"/>
            <w:noWrap w:val="0"/>
            <w:vAlign w:val="center"/>
          </w:tcPr>
          <w:p w14:paraId="4D9DCB8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6242.41</w:t>
            </w:r>
          </w:p>
        </w:tc>
        <w:tc>
          <w:tcPr>
            <w:tcW w:w="0" w:type="auto"/>
            <w:noWrap w:val="0"/>
            <w:vAlign w:val="center"/>
          </w:tcPr>
          <w:p w14:paraId="2C76C4C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6607.02</w:t>
            </w:r>
          </w:p>
        </w:tc>
        <w:tc>
          <w:tcPr>
            <w:tcW w:w="0" w:type="auto"/>
            <w:noWrap w:val="0"/>
            <w:vAlign w:val="center"/>
          </w:tcPr>
          <w:p w14:paraId="61EE565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6935.18</w:t>
            </w:r>
          </w:p>
        </w:tc>
        <w:tc>
          <w:tcPr>
            <w:tcW w:w="0" w:type="auto"/>
            <w:noWrap w:val="0"/>
            <w:vAlign w:val="center"/>
          </w:tcPr>
          <w:p w14:paraId="7563998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7230.52</w:t>
            </w:r>
          </w:p>
        </w:tc>
      </w:tr>
      <w:tr w14:paraId="30773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0" w:type="auto"/>
            <w:noWrap w:val="0"/>
            <w:vAlign w:val="center"/>
          </w:tcPr>
          <w:p w14:paraId="1E56ABA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18</w:t>
            </w:r>
          </w:p>
        </w:tc>
        <w:tc>
          <w:tcPr>
            <w:tcW w:w="0" w:type="auto"/>
            <w:noWrap w:val="0"/>
            <w:vAlign w:val="center"/>
          </w:tcPr>
          <w:p w14:paraId="69748F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息税折旧摊销前利润（息税前</w:t>
            </w:r>
            <w:r>
              <w:rPr>
                <w:rFonts w:ascii="Times New Roman" w:hAnsi="Times New Roman" w:eastAsia="宋体" w:cs="宋体"/>
                <w:color w:val="auto"/>
                <w:spacing w:val="6"/>
                <w:sz w:val="21"/>
                <w:szCs w:val="14"/>
              </w:rPr>
              <w:t>利润+折旧+摊销）</w:t>
            </w:r>
          </w:p>
        </w:tc>
        <w:tc>
          <w:tcPr>
            <w:tcW w:w="0" w:type="auto"/>
            <w:noWrap w:val="0"/>
            <w:vAlign w:val="center"/>
          </w:tcPr>
          <w:p w14:paraId="072CCC72">
            <w:pPr>
              <w:jc w:val="center"/>
              <w:rPr>
                <w:rFonts w:ascii="Times New Roman" w:hAnsi="Times New Roman" w:eastAsia="宋体" w:cs="宋体"/>
                <w:color w:val="auto"/>
                <w:sz w:val="21"/>
              </w:rPr>
            </w:pPr>
          </w:p>
        </w:tc>
        <w:tc>
          <w:tcPr>
            <w:tcW w:w="0" w:type="auto"/>
            <w:noWrap w:val="0"/>
            <w:vAlign w:val="center"/>
          </w:tcPr>
          <w:p w14:paraId="663C519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290.94</w:t>
            </w:r>
          </w:p>
        </w:tc>
        <w:tc>
          <w:tcPr>
            <w:tcW w:w="0" w:type="auto"/>
            <w:noWrap w:val="0"/>
            <w:vAlign w:val="center"/>
          </w:tcPr>
          <w:p w14:paraId="1C2B7E3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491.96</w:t>
            </w:r>
          </w:p>
        </w:tc>
        <w:tc>
          <w:tcPr>
            <w:tcW w:w="0" w:type="auto"/>
            <w:noWrap w:val="0"/>
            <w:vAlign w:val="center"/>
          </w:tcPr>
          <w:p w14:paraId="33D1AF5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672.57</w:t>
            </w:r>
          </w:p>
        </w:tc>
        <w:tc>
          <w:tcPr>
            <w:tcW w:w="0" w:type="auto"/>
            <w:noWrap w:val="0"/>
            <w:vAlign w:val="center"/>
          </w:tcPr>
          <w:p w14:paraId="65C8B4D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853.19</w:t>
            </w:r>
          </w:p>
        </w:tc>
        <w:tc>
          <w:tcPr>
            <w:tcW w:w="0" w:type="auto"/>
            <w:noWrap w:val="0"/>
            <w:vAlign w:val="center"/>
          </w:tcPr>
          <w:p w14:paraId="00CB5E1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853.19</w:t>
            </w:r>
          </w:p>
        </w:tc>
        <w:tc>
          <w:tcPr>
            <w:tcW w:w="0" w:type="auto"/>
            <w:noWrap w:val="0"/>
            <w:vAlign w:val="center"/>
          </w:tcPr>
          <w:p w14:paraId="43F3E3B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853.19</w:t>
            </w:r>
          </w:p>
        </w:tc>
        <w:tc>
          <w:tcPr>
            <w:tcW w:w="0" w:type="auto"/>
            <w:noWrap w:val="0"/>
            <w:vAlign w:val="center"/>
          </w:tcPr>
          <w:p w14:paraId="7CF5493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853.19</w:t>
            </w:r>
          </w:p>
        </w:tc>
        <w:tc>
          <w:tcPr>
            <w:tcW w:w="0" w:type="auto"/>
            <w:noWrap w:val="0"/>
            <w:vAlign w:val="center"/>
          </w:tcPr>
          <w:p w14:paraId="0EF8D6A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853.19</w:t>
            </w:r>
          </w:p>
        </w:tc>
        <w:tc>
          <w:tcPr>
            <w:tcW w:w="0" w:type="auto"/>
            <w:noWrap w:val="0"/>
            <w:vAlign w:val="center"/>
          </w:tcPr>
          <w:p w14:paraId="477CFC0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853.19</w:t>
            </w:r>
          </w:p>
        </w:tc>
        <w:tc>
          <w:tcPr>
            <w:tcW w:w="0" w:type="auto"/>
            <w:noWrap w:val="0"/>
            <w:vAlign w:val="center"/>
          </w:tcPr>
          <w:p w14:paraId="0D5463F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853.19</w:t>
            </w:r>
          </w:p>
        </w:tc>
        <w:tc>
          <w:tcPr>
            <w:tcW w:w="0" w:type="auto"/>
            <w:noWrap w:val="0"/>
            <w:vAlign w:val="center"/>
          </w:tcPr>
          <w:p w14:paraId="3A1B7DF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853.19</w:t>
            </w:r>
          </w:p>
        </w:tc>
        <w:tc>
          <w:tcPr>
            <w:tcW w:w="0" w:type="auto"/>
            <w:noWrap w:val="0"/>
            <w:vAlign w:val="center"/>
          </w:tcPr>
          <w:p w14:paraId="45D0E02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853.19</w:t>
            </w:r>
          </w:p>
        </w:tc>
        <w:tc>
          <w:tcPr>
            <w:tcW w:w="0" w:type="auto"/>
            <w:noWrap w:val="0"/>
            <w:vAlign w:val="center"/>
          </w:tcPr>
          <w:p w14:paraId="187778F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853.19</w:t>
            </w:r>
          </w:p>
        </w:tc>
        <w:tc>
          <w:tcPr>
            <w:tcW w:w="0" w:type="auto"/>
            <w:noWrap w:val="0"/>
            <w:vAlign w:val="center"/>
          </w:tcPr>
          <w:p w14:paraId="616494C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853.19</w:t>
            </w:r>
          </w:p>
        </w:tc>
      </w:tr>
    </w:tbl>
    <w:p w14:paraId="790AB8F8">
      <w:pPr>
        <w:rPr>
          <w:rFonts w:ascii="Times New Roman" w:hAnsi="Times New Roman" w:eastAsia="宋体" w:cs="宋体"/>
          <w:color w:val="auto"/>
        </w:rPr>
        <w:sectPr>
          <w:footerReference r:id="rId30" w:type="default"/>
          <w:pgSz w:w="16840" w:h="11907"/>
          <w:pgMar w:top="1340" w:right="1330" w:bottom="1148" w:left="1327" w:header="1068" w:footer="961" w:gutter="0"/>
          <w:pgBorders w:offsetFrom="page">
            <w:top w:val="none" w:sz="0" w:space="0"/>
            <w:left w:val="none" w:sz="0" w:space="0"/>
            <w:bottom w:val="none" w:sz="0" w:space="0"/>
            <w:right w:val="none" w:sz="0" w:space="0"/>
          </w:pgBorders>
          <w:pgNumType w:fmt="decimal"/>
          <w:cols w:space="720" w:num="1"/>
        </w:sectPr>
      </w:pPr>
    </w:p>
    <w:p w14:paraId="77F4963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附件8：外购燃料动力费估算表</w:t>
      </w:r>
    </w:p>
    <w:tbl>
      <w:tblPr>
        <w:tblStyle w:val="26"/>
        <w:tblW w:w="142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0"/>
        <w:gridCol w:w="2003"/>
        <w:gridCol w:w="866"/>
        <w:gridCol w:w="778"/>
        <w:gridCol w:w="779"/>
        <w:gridCol w:w="779"/>
        <w:gridCol w:w="779"/>
        <w:gridCol w:w="778"/>
        <w:gridCol w:w="779"/>
        <w:gridCol w:w="779"/>
        <w:gridCol w:w="779"/>
        <w:gridCol w:w="779"/>
        <w:gridCol w:w="779"/>
        <w:gridCol w:w="778"/>
        <w:gridCol w:w="779"/>
        <w:gridCol w:w="779"/>
        <w:gridCol w:w="783"/>
      </w:tblGrid>
      <w:tr w14:paraId="63560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20" w:type="dxa"/>
            <w:vMerge w:val="restart"/>
            <w:tcBorders>
              <w:bottom w:val="nil"/>
            </w:tcBorders>
            <w:noWrap w:val="0"/>
            <w:vAlign w:val="center"/>
          </w:tcPr>
          <w:p w14:paraId="71DA07B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序号</w:t>
            </w:r>
          </w:p>
        </w:tc>
        <w:tc>
          <w:tcPr>
            <w:tcW w:w="2003" w:type="dxa"/>
            <w:vMerge w:val="restart"/>
            <w:tcBorders>
              <w:bottom w:val="nil"/>
            </w:tcBorders>
            <w:noWrap w:val="0"/>
            <w:vAlign w:val="center"/>
          </w:tcPr>
          <w:p w14:paraId="19CBAA1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项目</w:t>
            </w:r>
          </w:p>
        </w:tc>
        <w:tc>
          <w:tcPr>
            <w:tcW w:w="866" w:type="dxa"/>
            <w:vMerge w:val="restart"/>
            <w:tcBorders>
              <w:bottom w:val="nil"/>
            </w:tcBorders>
            <w:noWrap w:val="0"/>
            <w:vAlign w:val="center"/>
          </w:tcPr>
          <w:p w14:paraId="3DABBAE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合计</w:t>
            </w:r>
          </w:p>
        </w:tc>
        <w:tc>
          <w:tcPr>
            <w:tcW w:w="10907" w:type="dxa"/>
            <w:gridSpan w:val="14"/>
            <w:tcBorders>
              <w:right w:val="nil"/>
            </w:tcBorders>
            <w:noWrap w:val="0"/>
            <w:vAlign w:val="center"/>
          </w:tcPr>
          <w:p w14:paraId="0ED46A1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运营期</w:t>
            </w:r>
          </w:p>
        </w:tc>
      </w:tr>
      <w:tr w14:paraId="30AD6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20" w:type="dxa"/>
            <w:vMerge w:val="continue"/>
            <w:tcBorders>
              <w:top w:val="nil"/>
            </w:tcBorders>
            <w:noWrap w:val="0"/>
            <w:vAlign w:val="center"/>
          </w:tcPr>
          <w:p w14:paraId="729FE04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2003" w:type="dxa"/>
            <w:vMerge w:val="continue"/>
            <w:tcBorders>
              <w:top w:val="nil"/>
            </w:tcBorders>
            <w:noWrap w:val="0"/>
            <w:vAlign w:val="center"/>
          </w:tcPr>
          <w:p w14:paraId="28AD098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866" w:type="dxa"/>
            <w:vMerge w:val="continue"/>
            <w:tcBorders>
              <w:top w:val="nil"/>
            </w:tcBorders>
            <w:noWrap w:val="0"/>
            <w:vAlign w:val="center"/>
          </w:tcPr>
          <w:p w14:paraId="3595B53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778" w:type="dxa"/>
            <w:noWrap w:val="0"/>
            <w:vAlign w:val="center"/>
          </w:tcPr>
          <w:p w14:paraId="372FE03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w:t>
            </w:r>
          </w:p>
        </w:tc>
        <w:tc>
          <w:tcPr>
            <w:tcW w:w="779" w:type="dxa"/>
            <w:noWrap w:val="0"/>
            <w:vAlign w:val="center"/>
          </w:tcPr>
          <w:p w14:paraId="2D47512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3</w:t>
            </w:r>
          </w:p>
        </w:tc>
        <w:tc>
          <w:tcPr>
            <w:tcW w:w="779" w:type="dxa"/>
            <w:noWrap w:val="0"/>
            <w:vAlign w:val="center"/>
          </w:tcPr>
          <w:p w14:paraId="1AC1DDF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4</w:t>
            </w:r>
          </w:p>
        </w:tc>
        <w:tc>
          <w:tcPr>
            <w:tcW w:w="779" w:type="dxa"/>
            <w:noWrap w:val="0"/>
            <w:vAlign w:val="center"/>
          </w:tcPr>
          <w:p w14:paraId="0D6CE94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5</w:t>
            </w:r>
          </w:p>
        </w:tc>
        <w:tc>
          <w:tcPr>
            <w:tcW w:w="778" w:type="dxa"/>
            <w:noWrap w:val="0"/>
            <w:vAlign w:val="center"/>
          </w:tcPr>
          <w:p w14:paraId="5A8B2EA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6</w:t>
            </w:r>
          </w:p>
        </w:tc>
        <w:tc>
          <w:tcPr>
            <w:tcW w:w="779" w:type="dxa"/>
            <w:noWrap w:val="0"/>
            <w:vAlign w:val="center"/>
          </w:tcPr>
          <w:p w14:paraId="61F4BCF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7</w:t>
            </w:r>
          </w:p>
        </w:tc>
        <w:tc>
          <w:tcPr>
            <w:tcW w:w="779" w:type="dxa"/>
            <w:noWrap w:val="0"/>
            <w:vAlign w:val="center"/>
          </w:tcPr>
          <w:p w14:paraId="6BCE6DB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8</w:t>
            </w:r>
          </w:p>
        </w:tc>
        <w:tc>
          <w:tcPr>
            <w:tcW w:w="779" w:type="dxa"/>
            <w:noWrap w:val="0"/>
            <w:vAlign w:val="center"/>
          </w:tcPr>
          <w:p w14:paraId="3C003A3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9</w:t>
            </w:r>
          </w:p>
        </w:tc>
        <w:tc>
          <w:tcPr>
            <w:tcW w:w="779" w:type="dxa"/>
            <w:noWrap w:val="0"/>
            <w:vAlign w:val="center"/>
          </w:tcPr>
          <w:p w14:paraId="477F452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10</w:t>
            </w:r>
          </w:p>
        </w:tc>
        <w:tc>
          <w:tcPr>
            <w:tcW w:w="779" w:type="dxa"/>
            <w:noWrap w:val="0"/>
            <w:vAlign w:val="center"/>
          </w:tcPr>
          <w:p w14:paraId="387E2B1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11</w:t>
            </w:r>
          </w:p>
        </w:tc>
        <w:tc>
          <w:tcPr>
            <w:tcW w:w="778" w:type="dxa"/>
            <w:noWrap w:val="0"/>
            <w:vAlign w:val="center"/>
          </w:tcPr>
          <w:p w14:paraId="4E8EAB7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12</w:t>
            </w:r>
          </w:p>
        </w:tc>
        <w:tc>
          <w:tcPr>
            <w:tcW w:w="779" w:type="dxa"/>
            <w:noWrap w:val="0"/>
            <w:vAlign w:val="center"/>
          </w:tcPr>
          <w:p w14:paraId="13833FC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13</w:t>
            </w:r>
          </w:p>
        </w:tc>
        <w:tc>
          <w:tcPr>
            <w:tcW w:w="779" w:type="dxa"/>
            <w:noWrap w:val="0"/>
            <w:vAlign w:val="center"/>
          </w:tcPr>
          <w:p w14:paraId="0B99D23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14</w:t>
            </w:r>
          </w:p>
        </w:tc>
        <w:tc>
          <w:tcPr>
            <w:tcW w:w="783" w:type="dxa"/>
            <w:noWrap w:val="0"/>
            <w:vAlign w:val="center"/>
          </w:tcPr>
          <w:p w14:paraId="53068C5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15</w:t>
            </w:r>
          </w:p>
        </w:tc>
      </w:tr>
      <w:tr w14:paraId="17118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520" w:type="dxa"/>
            <w:noWrap w:val="0"/>
            <w:vAlign w:val="center"/>
          </w:tcPr>
          <w:p w14:paraId="1608630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2003" w:type="dxa"/>
            <w:noWrap w:val="0"/>
            <w:vAlign w:val="center"/>
          </w:tcPr>
          <w:p w14:paraId="74C42D2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生产负荷</w:t>
            </w:r>
          </w:p>
        </w:tc>
        <w:tc>
          <w:tcPr>
            <w:tcW w:w="866" w:type="dxa"/>
            <w:noWrap w:val="0"/>
            <w:vAlign w:val="center"/>
          </w:tcPr>
          <w:p w14:paraId="6E4092E7">
            <w:pPr>
              <w:jc w:val="center"/>
              <w:rPr>
                <w:rFonts w:ascii="Times New Roman" w:hAnsi="Times New Roman" w:eastAsia="宋体" w:cs="宋体"/>
                <w:color w:val="auto"/>
                <w:sz w:val="21"/>
              </w:rPr>
            </w:pPr>
          </w:p>
        </w:tc>
        <w:tc>
          <w:tcPr>
            <w:tcW w:w="778" w:type="dxa"/>
            <w:noWrap w:val="0"/>
            <w:vAlign w:val="center"/>
          </w:tcPr>
          <w:p w14:paraId="5321ED1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37.50%</w:t>
            </w:r>
          </w:p>
        </w:tc>
        <w:tc>
          <w:tcPr>
            <w:tcW w:w="779" w:type="dxa"/>
            <w:noWrap w:val="0"/>
            <w:vAlign w:val="center"/>
          </w:tcPr>
          <w:p w14:paraId="1F15C51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60%</w:t>
            </w:r>
          </w:p>
        </w:tc>
        <w:tc>
          <w:tcPr>
            <w:tcW w:w="779" w:type="dxa"/>
            <w:noWrap w:val="0"/>
            <w:vAlign w:val="center"/>
          </w:tcPr>
          <w:p w14:paraId="301AC40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80%</w:t>
            </w:r>
          </w:p>
        </w:tc>
        <w:tc>
          <w:tcPr>
            <w:tcW w:w="779" w:type="dxa"/>
            <w:noWrap w:val="0"/>
            <w:vAlign w:val="center"/>
          </w:tcPr>
          <w:p w14:paraId="1FF38DD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78" w:type="dxa"/>
            <w:noWrap w:val="0"/>
            <w:vAlign w:val="center"/>
          </w:tcPr>
          <w:p w14:paraId="2AE2574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79" w:type="dxa"/>
            <w:noWrap w:val="0"/>
            <w:vAlign w:val="center"/>
          </w:tcPr>
          <w:p w14:paraId="5128A15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79" w:type="dxa"/>
            <w:noWrap w:val="0"/>
            <w:vAlign w:val="center"/>
          </w:tcPr>
          <w:p w14:paraId="44C5727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79" w:type="dxa"/>
            <w:noWrap w:val="0"/>
            <w:vAlign w:val="center"/>
          </w:tcPr>
          <w:p w14:paraId="77FCCB8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79" w:type="dxa"/>
            <w:noWrap w:val="0"/>
            <w:vAlign w:val="center"/>
          </w:tcPr>
          <w:p w14:paraId="6064B37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79" w:type="dxa"/>
            <w:noWrap w:val="0"/>
            <w:vAlign w:val="center"/>
          </w:tcPr>
          <w:p w14:paraId="634102B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78" w:type="dxa"/>
            <w:noWrap w:val="0"/>
            <w:vAlign w:val="center"/>
          </w:tcPr>
          <w:p w14:paraId="254ED4F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79" w:type="dxa"/>
            <w:noWrap w:val="0"/>
            <w:vAlign w:val="center"/>
          </w:tcPr>
          <w:p w14:paraId="7D64B93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79" w:type="dxa"/>
            <w:noWrap w:val="0"/>
            <w:vAlign w:val="center"/>
          </w:tcPr>
          <w:p w14:paraId="2ABA0A2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c>
          <w:tcPr>
            <w:tcW w:w="783" w:type="dxa"/>
            <w:noWrap w:val="0"/>
            <w:vAlign w:val="center"/>
          </w:tcPr>
          <w:p w14:paraId="2AC7D88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w:t>
            </w:r>
          </w:p>
        </w:tc>
      </w:tr>
      <w:tr w14:paraId="7D09F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20" w:type="dxa"/>
            <w:noWrap w:val="0"/>
            <w:vAlign w:val="center"/>
          </w:tcPr>
          <w:p w14:paraId="5048266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1</w:t>
            </w:r>
          </w:p>
        </w:tc>
        <w:tc>
          <w:tcPr>
            <w:tcW w:w="2003" w:type="dxa"/>
            <w:noWrap w:val="0"/>
            <w:vAlign w:val="center"/>
          </w:tcPr>
          <w:p w14:paraId="5E2E360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燃料费</w:t>
            </w:r>
          </w:p>
        </w:tc>
        <w:tc>
          <w:tcPr>
            <w:tcW w:w="866" w:type="dxa"/>
            <w:noWrap w:val="0"/>
            <w:vAlign w:val="center"/>
          </w:tcPr>
          <w:p w14:paraId="50D36928">
            <w:pPr>
              <w:jc w:val="center"/>
              <w:rPr>
                <w:rFonts w:ascii="Times New Roman" w:hAnsi="Times New Roman" w:eastAsia="宋体" w:cs="宋体"/>
                <w:color w:val="auto"/>
                <w:sz w:val="21"/>
              </w:rPr>
            </w:pPr>
          </w:p>
        </w:tc>
        <w:tc>
          <w:tcPr>
            <w:tcW w:w="778" w:type="dxa"/>
            <w:noWrap w:val="0"/>
            <w:vAlign w:val="center"/>
          </w:tcPr>
          <w:p w14:paraId="6D60384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367.64</w:t>
            </w:r>
          </w:p>
        </w:tc>
        <w:tc>
          <w:tcPr>
            <w:tcW w:w="779" w:type="dxa"/>
            <w:noWrap w:val="0"/>
            <w:vAlign w:val="center"/>
          </w:tcPr>
          <w:p w14:paraId="630AE29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588.23</w:t>
            </w:r>
          </w:p>
        </w:tc>
        <w:tc>
          <w:tcPr>
            <w:tcW w:w="779" w:type="dxa"/>
            <w:noWrap w:val="0"/>
            <w:vAlign w:val="center"/>
          </w:tcPr>
          <w:p w14:paraId="77787B6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784.30</w:t>
            </w:r>
          </w:p>
        </w:tc>
        <w:tc>
          <w:tcPr>
            <w:tcW w:w="779" w:type="dxa"/>
            <w:noWrap w:val="0"/>
            <w:vAlign w:val="center"/>
          </w:tcPr>
          <w:p w14:paraId="76BA7F5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8" w:type="dxa"/>
            <w:noWrap w:val="0"/>
            <w:vAlign w:val="center"/>
          </w:tcPr>
          <w:p w14:paraId="07541EF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9" w:type="dxa"/>
            <w:noWrap w:val="0"/>
            <w:vAlign w:val="center"/>
          </w:tcPr>
          <w:p w14:paraId="17D462E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9" w:type="dxa"/>
            <w:noWrap w:val="0"/>
            <w:vAlign w:val="center"/>
          </w:tcPr>
          <w:p w14:paraId="78F1D1C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9" w:type="dxa"/>
            <w:noWrap w:val="0"/>
            <w:vAlign w:val="center"/>
          </w:tcPr>
          <w:p w14:paraId="0A93676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9" w:type="dxa"/>
            <w:noWrap w:val="0"/>
            <w:vAlign w:val="center"/>
          </w:tcPr>
          <w:p w14:paraId="625CCCF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9" w:type="dxa"/>
            <w:noWrap w:val="0"/>
            <w:vAlign w:val="center"/>
          </w:tcPr>
          <w:p w14:paraId="28F17C6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8" w:type="dxa"/>
            <w:noWrap w:val="0"/>
            <w:vAlign w:val="center"/>
          </w:tcPr>
          <w:p w14:paraId="649C8C6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9" w:type="dxa"/>
            <w:noWrap w:val="0"/>
            <w:vAlign w:val="center"/>
          </w:tcPr>
          <w:p w14:paraId="235E7B8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9" w:type="dxa"/>
            <w:noWrap w:val="0"/>
            <w:vAlign w:val="center"/>
          </w:tcPr>
          <w:p w14:paraId="148BF63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83" w:type="dxa"/>
            <w:noWrap w:val="0"/>
            <w:vAlign w:val="center"/>
          </w:tcPr>
          <w:p w14:paraId="0BB8B8D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r>
      <w:tr w14:paraId="048D8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520" w:type="dxa"/>
            <w:noWrap w:val="0"/>
            <w:vAlign w:val="center"/>
          </w:tcPr>
          <w:p w14:paraId="601ED04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4"/>
                <w:sz w:val="21"/>
                <w:szCs w:val="14"/>
              </w:rPr>
              <w:t>1.1</w:t>
            </w:r>
          </w:p>
        </w:tc>
        <w:tc>
          <w:tcPr>
            <w:tcW w:w="2003" w:type="dxa"/>
            <w:noWrap w:val="0"/>
            <w:vAlign w:val="center"/>
          </w:tcPr>
          <w:p w14:paraId="48D6ABC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动力-水</w:t>
            </w:r>
          </w:p>
        </w:tc>
        <w:tc>
          <w:tcPr>
            <w:tcW w:w="866" w:type="dxa"/>
            <w:noWrap w:val="0"/>
            <w:vAlign w:val="center"/>
          </w:tcPr>
          <w:p w14:paraId="7BD7BC61">
            <w:pPr>
              <w:jc w:val="center"/>
              <w:rPr>
                <w:rFonts w:ascii="Times New Roman" w:hAnsi="Times New Roman" w:eastAsia="宋体" w:cs="宋体"/>
                <w:color w:val="auto"/>
                <w:sz w:val="21"/>
              </w:rPr>
            </w:pPr>
          </w:p>
        </w:tc>
        <w:tc>
          <w:tcPr>
            <w:tcW w:w="778" w:type="dxa"/>
            <w:noWrap w:val="0"/>
            <w:vAlign w:val="center"/>
          </w:tcPr>
          <w:p w14:paraId="7CCBDF8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2.51</w:t>
            </w:r>
          </w:p>
        </w:tc>
        <w:tc>
          <w:tcPr>
            <w:tcW w:w="779" w:type="dxa"/>
            <w:noWrap w:val="0"/>
            <w:vAlign w:val="center"/>
          </w:tcPr>
          <w:p w14:paraId="4FE3023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4.01</w:t>
            </w:r>
          </w:p>
        </w:tc>
        <w:tc>
          <w:tcPr>
            <w:tcW w:w="779" w:type="dxa"/>
            <w:noWrap w:val="0"/>
            <w:vAlign w:val="center"/>
          </w:tcPr>
          <w:p w14:paraId="3495BE6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5.35</w:t>
            </w:r>
          </w:p>
        </w:tc>
        <w:tc>
          <w:tcPr>
            <w:tcW w:w="779" w:type="dxa"/>
            <w:noWrap w:val="0"/>
            <w:vAlign w:val="center"/>
          </w:tcPr>
          <w:p w14:paraId="2FE1762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6.69</w:t>
            </w:r>
          </w:p>
        </w:tc>
        <w:tc>
          <w:tcPr>
            <w:tcW w:w="778" w:type="dxa"/>
            <w:noWrap w:val="0"/>
            <w:vAlign w:val="center"/>
          </w:tcPr>
          <w:p w14:paraId="72C7730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6.69</w:t>
            </w:r>
          </w:p>
        </w:tc>
        <w:tc>
          <w:tcPr>
            <w:tcW w:w="779" w:type="dxa"/>
            <w:noWrap w:val="0"/>
            <w:vAlign w:val="center"/>
          </w:tcPr>
          <w:p w14:paraId="118625B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6.69</w:t>
            </w:r>
          </w:p>
        </w:tc>
        <w:tc>
          <w:tcPr>
            <w:tcW w:w="779" w:type="dxa"/>
            <w:noWrap w:val="0"/>
            <w:vAlign w:val="center"/>
          </w:tcPr>
          <w:p w14:paraId="7B9709D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6.69</w:t>
            </w:r>
          </w:p>
        </w:tc>
        <w:tc>
          <w:tcPr>
            <w:tcW w:w="779" w:type="dxa"/>
            <w:noWrap w:val="0"/>
            <w:vAlign w:val="center"/>
          </w:tcPr>
          <w:p w14:paraId="7319E14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6.69</w:t>
            </w:r>
          </w:p>
        </w:tc>
        <w:tc>
          <w:tcPr>
            <w:tcW w:w="779" w:type="dxa"/>
            <w:noWrap w:val="0"/>
            <w:vAlign w:val="center"/>
          </w:tcPr>
          <w:p w14:paraId="00938A0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6.69</w:t>
            </w:r>
          </w:p>
        </w:tc>
        <w:tc>
          <w:tcPr>
            <w:tcW w:w="779" w:type="dxa"/>
            <w:noWrap w:val="0"/>
            <w:vAlign w:val="center"/>
          </w:tcPr>
          <w:p w14:paraId="29583FA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6.69</w:t>
            </w:r>
          </w:p>
        </w:tc>
        <w:tc>
          <w:tcPr>
            <w:tcW w:w="778" w:type="dxa"/>
            <w:noWrap w:val="0"/>
            <w:vAlign w:val="center"/>
          </w:tcPr>
          <w:p w14:paraId="03145F5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6.69</w:t>
            </w:r>
          </w:p>
        </w:tc>
        <w:tc>
          <w:tcPr>
            <w:tcW w:w="779" w:type="dxa"/>
            <w:noWrap w:val="0"/>
            <w:vAlign w:val="center"/>
          </w:tcPr>
          <w:p w14:paraId="5053BC9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6.69</w:t>
            </w:r>
          </w:p>
        </w:tc>
        <w:tc>
          <w:tcPr>
            <w:tcW w:w="779" w:type="dxa"/>
            <w:noWrap w:val="0"/>
            <w:vAlign w:val="center"/>
          </w:tcPr>
          <w:p w14:paraId="409C9B8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6.69</w:t>
            </w:r>
          </w:p>
        </w:tc>
        <w:tc>
          <w:tcPr>
            <w:tcW w:w="783" w:type="dxa"/>
            <w:noWrap w:val="0"/>
            <w:vAlign w:val="center"/>
          </w:tcPr>
          <w:p w14:paraId="34D9957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6.69</w:t>
            </w:r>
          </w:p>
        </w:tc>
      </w:tr>
      <w:tr w14:paraId="2066B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20" w:type="dxa"/>
            <w:noWrap w:val="0"/>
            <w:vAlign w:val="center"/>
          </w:tcPr>
          <w:p w14:paraId="549B9A3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2003" w:type="dxa"/>
            <w:noWrap w:val="0"/>
            <w:vAlign w:val="center"/>
          </w:tcPr>
          <w:p w14:paraId="4004C00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单价（元/吨）</w:t>
            </w:r>
          </w:p>
        </w:tc>
        <w:tc>
          <w:tcPr>
            <w:tcW w:w="866" w:type="dxa"/>
            <w:noWrap w:val="0"/>
            <w:vAlign w:val="center"/>
          </w:tcPr>
          <w:p w14:paraId="768C721C">
            <w:pPr>
              <w:jc w:val="center"/>
              <w:rPr>
                <w:rFonts w:ascii="Times New Roman" w:hAnsi="Times New Roman" w:eastAsia="宋体" w:cs="宋体"/>
                <w:color w:val="auto"/>
                <w:sz w:val="21"/>
              </w:rPr>
            </w:pPr>
          </w:p>
        </w:tc>
        <w:tc>
          <w:tcPr>
            <w:tcW w:w="778" w:type="dxa"/>
            <w:noWrap w:val="0"/>
            <w:vAlign w:val="center"/>
          </w:tcPr>
          <w:p w14:paraId="4CB11DA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0.78</w:t>
            </w:r>
          </w:p>
        </w:tc>
        <w:tc>
          <w:tcPr>
            <w:tcW w:w="779" w:type="dxa"/>
            <w:noWrap w:val="0"/>
            <w:vAlign w:val="center"/>
          </w:tcPr>
          <w:p w14:paraId="4F0386A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0.78</w:t>
            </w:r>
          </w:p>
        </w:tc>
        <w:tc>
          <w:tcPr>
            <w:tcW w:w="779" w:type="dxa"/>
            <w:noWrap w:val="0"/>
            <w:vAlign w:val="center"/>
          </w:tcPr>
          <w:p w14:paraId="2B8C3DF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0.78</w:t>
            </w:r>
          </w:p>
        </w:tc>
        <w:tc>
          <w:tcPr>
            <w:tcW w:w="779" w:type="dxa"/>
            <w:noWrap w:val="0"/>
            <w:vAlign w:val="center"/>
          </w:tcPr>
          <w:p w14:paraId="72F1136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0.78</w:t>
            </w:r>
          </w:p>
        </w:tc>
        <w:tc>
          <w:tcPr>
            <w:tcW w:w="778" w:type="dxa"/>
            <w:noWrap w:val="0"/>
            <w:vAlign w:val="center"/>
          </w:tcPr>
          <w:p w14:paraId="54A78E5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0.78</w:t>
            </w:r>
          </w:p>
        </w:tc>
        <w:tc>
          <w:tcPr>
            <w:tcW w:w="779" w:type="dxa"/>
            <w:noWrap w:val="0"/>
            <w:vAlign w:val="center"/>
          </w:tcPr>
          <w:p w14:paraId="1C0C7F4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0.78</w:t>
            </w:r>
          </w:p>
        </w:tc>
        <w:tc>
          <w:tcPr>
            <w:tcW w:w="779" w:type="dxa"/>
            <w:noWrap w:val="0"/>
            <w:vAlign w:val="center"/>
          </w:tcPr>
          <w:p w14:paraId="4B1D7C8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0.78</w:t>
            </w:r>
          </w:p>
        </w:tc>
        <w:tc>
          <w:tcPr>
            <w:tcW w:w="779" w:type="dxa"/>
            <w:noWrap w:val="0"/>
            <w:vAlign w:val="center"/>
          </w:tcPr>
          <w:p w14:paraId="052516C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0.78</w:t>
            </w:r>
          </w:p>
        </w:tc>
        <w:tc>
          <w:tcPr>
            <w:tcW w:w="779" w:type="dxa"/>
            <w:noWrap w:val="0"/>
            <w:vAlign w:val="center"/>
          </w:tcPr>
          <w:p w14:paraId="2B02352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0.78</w:t>
            </w:r>
          </w:p>
        </w:tc>
        <w:tc>
          <w:tcPr>
            <w:tcW w:w="779" w:type="dxa"/>
            <w:noWrap w:val="0"/>
            <w:vAlign w:val="center"/>
          </w:tcPr>
          <w:p w14:paraId="2C71D4D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0.78</w:t>
            </w:r>
          </w:p>
        </w:tc>
        <w:tc>
          <w:tcPr>
            <w:tcW w:w="778" w:type="dxa"/>
            <w:noWrap w:val="0"/>
            <w:vAlign w:val="center"/>
          </w:tcPr>
          <w:p w14:paraId="405E369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0.78</w:t>
            </w:r>
          </w:p>
        </w:tc>
        <w:tc>
          <w:tcPr>
            <w:tcW w:w="779" w:type="dxa"/>
            <w:noWrap w:val="0"/>
            <w:vAlign w:val="center"/>
          </w:tcPr>
          <w:p w14:paraId="49F274A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0.78</w:t>
            </w:r>
          </w:p>
        </w:tc>
        <w:tc>
          <w:tcPr>
            <w:tcW w:w="779" w:type="dxa"/>
            <w:noWrap w:val="0"/>
            <w:vAlign w:val="center"/>
          </w:tcPr>
          <w:p w14:paraId="5D28561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0.78</w:t>
            </w:r>
          </w:p>
        </w:tc>
        <w:tc>
          <w:tcPr>
            <w:tcW w:w="783" w:type="dxa"/>
            <w:noWrap w:val="0"/>
            <w:vAlign w:val="center"/>
          </w:tcPr>
          <w:p w14:paraId="2ADA451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0.78</w:t>
            </w:r>
          </w:p>
        </w:tc>
      </w:tr>
      <w:tr w14:paraId="416C7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20" w:type="dxa"/>
            <w:noWrap w:val="0"/>
            <w:vAlign w:val="center"/>
          </w:tcPr>
          <w:p w14:paraId="05C2F1C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2003" w:type="dxa"/>
            <w:noWrap w:val="0"/>
            <w:vAlign w:val="center"/>
          </w:tcPr>
          <w:p w14:paraId="117E9E8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数量（吨）</w:t>
            </w:r>
          </w:p>
        </w:tc>
        <w:tc>
          <w:tcPr>
            <w:tcW w:w="866" w:type="dxa"/>
            <w:noWrap w:val="0"/>
            <w:vAlign w:val="center"/>
          </w:tcPr>
          <w:p w14:paraId="00571927">
            <w:pPr>
              <w:jc w:val="center"/>
              <w:rPr>
                <w:rFonts w:ascii="Times New Roman" w:hAnsi="Times New Roman" w:eastAsia="宋体" w:cs="宋体"/>
                <w:color w:val="auto"/>
                <w:sz w:val="21"/>
              </w:rPr>
            </w:pPr>
          </w:p>
        </w:tc>
        <w:tc>
          <w:tcPr>
            <w:tcW w:w="778" w:type="dxa"/>
            <w:noWrap w:val="0"/>
            <w:vAlign w:val="center"/>
          </w:tcPr>
          <w:p w14:paraId="46BD6B8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32150.25</w:t>
            </w:r>
          </w:p>
        </w:tc>
        <w:tc>
          <w:tcPr>
            <w:tcW w:w="779" w:type="dxa"/>
            <w:noWrap w:val="0"/>
            <w:vAlign w:val="center"/>
          </w:tcPr>
          <w:p w14:paraId="20AEE8F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51440.4</w:t>
            </w:r>
          </w:p>
        </w:tc>
        <w:tc>
          <w:tcPr>
            <w:tcW w:w="779" w:type="dxa"/>
            <w:noWrap w:val="0"/>
            <w:vAlign w:val="center"/>
          </w:tcPr>
          <w:p w14:paraId="65B197E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68587.2</w:t>
            </w:r>
          </w:p>
        </w:tc>
        <w:tc>
          <w:tcPr>
            <w:tcW w:w="779" w:type="dxa"/>
            <w:noWrap w:val="0"/>
            <w:vAlign w:val="center"/>
          </w:tcPr>
          <w:p w14:paraId="2935407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85734</w:t>
            </w:r>
          </w:p>
        </w:tc>
        <w:tc>
          <w:tcPr>
            <w:tcW w:w="778" w:type="dxa"/>
            <w:noWrap w:val="0"/>
            <w:vAlign w:val="center"/>
          </w:tcPr>
          <w:p w14:paraId="79D2A1A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85734</w:t>
            </w:r>
          </w:p>
        </w:tc>
        <w:tc>
          <w:tcPr>
            <w:tcW w:w="779" w:type="dxa"/>
            <w:noWrap w:val="0"/>
            <w:vAlign w:val="center"/>
          </w:tcPr>
          <w:p w14:paraId="4D2FA89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85734</w:t>
            </w:r>
          </w:p>
        </w:tc>
        <w:tc>
          <w:tcPr>
            <w:tcW w:w="779" w:type="dxa"/>
            <w:noWrap w:val="0"/>
            <w:vAlign w:val="center"/>
          </w:tcPr>
          <w:p w14:paraId="4DF8134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85734</w:t>
            </w:r>
          </w:p>
        </w:tc>
        <w:tc>
          <w:tcPr>
            <w:tcW w:w="779" w:type="dxa"/>
            <w:noWrap w:val="0"/>
            <w:vAlign w:val="center"/>
          </w:tcPr>
          <w:p w14:paraId="047908D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85734</w:t>
            </w:r>
          </w:p>
        </w:tc>
        <w:tc>
          <w:tcPr>
            <w:tcW w:w="779" w:type="dxa"/>
            <w:noWrap w:val="0"/>
            <w:vAlign w:val="center"/>
          </w:tcPr>
          <w:p w14:paraId="6FD93C8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85734</w:t>
            </w:r>
          </w:p>
        </w:tc>
        <w:tc>
          <w:tcPr>
            <w:tcW w:w="779" w:type="dxa"/>
            <w:noWrap w:val="0"/>
            <w:vAlign w:val="center"/>
          </w:tcPr>
          <w:p w14:paraId="3252820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85734</w:t>
            </w:r>
          </w:p>
        </w:tc>
        <w:tc>
          <w:tcPr>
            <w:tcW w:w="778" w:type="dxa"/>
            <w:noWrap w:val="0"/>
            <w:vAlign w:val="center"/>
          </w:tcPr>
          <w:p w14:paraId="0DF478A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85734</w:t>
            </w:r>
          </w:p>
        </w:tc>
        <w:tc>
          <w:tcPr>
            <w:tcW w:w="779" w:type="dxa"/>
            <w:noWrap w:val="0"/>
            <w:vAlign w:val="center"/>
          </w:tcPr>
          <w:p w14:paraId="71836CC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85734</w:t>
            </w:r>
          </w:p>
        </w:tc>
        <w:tc>
          <w:tcPr>
            <w:tcW w:w="779" w:type="dxa"/>
            <w:noWrap w:val="0"/>
            <w:vAlign w:val="center"/>
          </w:tcPr>
          <w:p w14:paraId="1A53C74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85734</w:t>
            </w:r>
          </w:p>
        </w:tc>
        <w:tc>
          <w:tcPr>
            <w:tcW w:w="783" w:type="dxa"/>
            <w:noWrap w:val="0"/>
            <w:vAlign w:val="center"/>
          </w:tcPr>
          <w:p w14:paraId="6DC702F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85734</w:t>
            </w:r>
          </w:p>
        </w:tc>
      </w:tr>
      <w:tr w14:paraId="2E56A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20" w:type="dxa"/>
            <w:noWrap w:val="0"/>
            <w:vAlign w:val="center"/>
          </w:tcPr>
          <w:p w14:paraId="4443BF1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2003" w:type="dxa"/>
            <w:noWrap w:val="0"/>
            <w:vAlign w:val="center"/>
          </w:tcPr>
          <w:p w14:paraId="7ED5082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进项税额（13%）</w:t>
            </w:r>
          </w:p>
        </w:tc>
        <w:tc>
          <w:tcPr>
            <w:tcW w:w="866" w:type="dxa"/>
            <w:noWrap w:val="0"/>
            <w:vAlign w:val="center"/>
          </w:tcPr>
          <w:p w14:paraId="54BF8D8C">
            <w:pPr>
              <w:jc w:val="center"/>
              <w:rPr>
                <w:rFonts w:ascii="Times New Roman" w:hAnsi="Times New Roman" w:eastAsia="宋体" w:cs="宋体"/>
                <w:color w:val="auto"/>
                <w:sz w:val="21"/>
              </w:rPr>
            </w:pPr>
          </w:p>
        </w:tc>
        <w:tc>
          <w:tcPr>
            <w:tcW w:w="778" w:type="dxa"/>
            <w:noWrap w:val="0"/>
            <w:vAlign w:val="center"/>
          </w:tcPr>
          <w:p w14:paraId="361AD38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0.33</w:t>
            </w:r>
          </w:p>
        </w:tc>
        <w:tc>
          <w:tcPr>
            <w:tcW w:w="779" w:type="dxa"/>
            <w:noWrap w:val="0"/>
            <w:vAlign w:val="center"/>
          </w:tcPr>
          <w:p w14:paraId="62D15B7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0.52</w:t>
            </w:r>
          </w:p>
        </w:tc>
        <w:tc>
          <w:tcPr>
            <w:tcW w:w="779" w:type="dxa"/>
            <w:noWrap w:val="0"/>
            <w:vAlign w:val="center"/>
          </w:tcPr>
          <w:p w14:paraId="00911BE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0.70</w:t>
            </w:r>
          </w:p>
        </w:tc>
        <w:tc>
          <w:tcPr>
            <w:tcW w:w="779" w:type="dxa"/>
            <w:noWrap w:val="0"/>
            <w:vAlign w:val="center"/>
          </w:tcPr>
          <w:p w14:paraId="7AAE720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0.87</w:t>
            </w:r>
          </w:p>
        </w:tc>
        <w:tc>
          <w:tcPr>
            <w:tcW w:w="778" w:type="dxa"/>
            <w:noWrap w:val="0"/>
            <w:vAlign w:val="center"/>
          </w:tcPr>
          <w:p w14:paraId="75698B6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0.87</w:t>
            </w:r>
          </w:p>
        </w:tc>
        <w:tc>
          <w:tcPr>
            <w:tcW w:w="779" w:type="dxa"/>
            <w:noWrap w:val="0"/>
            <w:vAlign w:val="center"/>
          </w:tcPr>
          <w:p w14:paraId="426AC2C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0.87</w:t>
            </w:r>
          </w:p>
        </w:tc>
        <w:tc>
          <w:tcPr>
            <w:tcW w:w="779" w:type="dxa"/>
            <w:noWrap w:val="0"/>
            <w:vAlign w:val="center"/>
          </w:tcPr>
          <w:p w14:paraId="45B041E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0.87</w:t>
            </w:r>
          </w:p>
        </w:tc>
        <w:tc>
          <w:tcPr>
            <w:tcW w:w="779" w:type="dxa"/>
            <w:noWrap w:val="0"/>
            <w:vAlign w:val="center"/>
          </w:tcPr>
          <w:p w14:paraId="4CD0632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0.87</w:t>
            </w:r>
          </w:p>
        </w:tc>
        <w:tc>
          <w:tcPr>
            <w:tcW w:w="779" w:type="dxa"/>
            <w:noWrap w:val="0"/>
            <w:vAlign w:val="center"/>
          </w:tcPr>
          <w:p w14:paraId="36EB4FA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0.87</w:t>
            </w:r>
          </w:p>
        </w:tc>
        <w:tc>
          <w:tcPr>
            <w:tcW w:w="779" w:type="dxa"/>
            <w:noWrap w:val="0"/>
            <w:vAlign w:val="center"/>
          </w:tcPr>
          <w:p w14:paraId="56C638F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0.87</w:t>
            </w:r>
          </w:p>
        </w:tc>
        <w:tc>
          <w:tcPr>
            <w:tcW w:w="778" w:type="dxa"/>
            <w:noWrap w:val="0"/>
            <w:vAlign w:val="center"/>
          </w:tcPr>
          <w:p w14:paraId="692F265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0.87</w:t>
            </w:r>
          </w:p>
        </w:tc>
        <w:tc>
          <w:tcPr>
            <w:tcW w:w="779" w:type="dxa"/>
            <w:noWrap w:val="0"/>
            <w:vAlign w:val="center"/>
          </w:tcPr>
          <w:p w14:paraId="7E828B3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0.87</w:t>
            </w:r>
          </w:p>
        </w:tc>
        <w:tc>
          <w:tcPr>
            <w:tcW w:w="779" w:type="dxa"/>
            <w:noWrap w:val="0"/>
            <w:vAlign w:val="center"/>
          </w:tcPr>
          <w:p w14:paraId="29C27FE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0.87</w:t>
            </w:r>
          </w:p>
        </w:tc>
        <w:tc>
          <w:tcPr>
            <w:tcW w:w="783" w:type="dxa"/>
            <w:noWrap w:val="0"/>
            <w:vAlign w:val="center"/>
          </w:tcPr>
          <w:p w14:paraId="33EAB87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0.87</w:t>
            </w:r>
          </w:p>
        </w:tc>
      </w:tr>
      <w:tr w14:paraId="7E88E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20" w:type="dxa"/>
            <w:noWrap w:val="0"/>
            <w:vAlign w:val="center"/>
          </w:tcPr>
          <w:p w14:paraId="4FD1E23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1.2</w:t>
            </w:r>
          </w:p>
        </w:tc>
        <w:tc>
          <w:tcPr>
            <w:tcW w:w="2003" w:type="dxa"/>
            <w:noWrap w:val="0"/>
            <w:vAlign w:val="center"/>
          </w:tcPr>
          <w:p w14:paraId="69BB522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动力-电</w:t>
            </w:r>
          </w:p>
        </w:tc>
        <w:tc>
          <w:tcPr>
            <w:tcW w:w="866" w:type="dxa"/>
            <w:noWrap w:val="0"/>
            <w:vAlign w:val="center"/>
          </w:tcPr>
          <w:p w14:paraId="050C8A78">
            <w:pPr>
              <w:jc w:val="center"/>
              <w:rPr>
                <w:rFonts w:ascii="Times New Roman" w:hAnsi="Times New Roman" w:eastAsia="宋体" w:cs="宋体"/>
                <w:color w:val="auto"/>
                <w:sz w:val="21"/>
              </w:rPr>
            </w:pPr>
          </w:p>
        </w:tc>
        <w:tc>
          <w:tcPr>
            <w:tcW w:w="778" w:type="dxa"/>
            <w:noWrap w:val="0"/>
            <w:vAlign w:val="center"/>
          </w:tcPr>
          <w:p w14:paraId="7270064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61.38</w:t>
            </w:r>
          </w:p>
        </w:tc>
        <w:tc>
          <w:tcPr>
            <w:tcW w:w="779" w:type="dxa"/>
            <w:noWrap w:val="0"/>
            <w:vAlign w:val="center"/>
          </w:tcPr>
          <w:p w14:paraId="6F9CC73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98.21</w:t>
            </w:r>
          </w:p>
        </w:tc>
        <w:tc>
          <w:tcPr>
            <w:tcW w:w="779" w:type="dxa"/>
            <w:noWrap w:val="0"/>
            <w:vAlign w:val="center"/>
          </w:tcPr>
          <w:p w14:paraId="61680DD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130.95</w:t>
            </w:r>
          </w:p>
        </w:tc>
        <w:tc>
          <w:tcPr>
            <w:tcW w:w="779" w:type="dxa"/>
            <w:noWrap w:val="0"/>
            <w:vAlign w:val="center"/>
          </w:tcPr>
          <w:p w14:paraId="2388751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163.69</w:t>
            </w:r>
          </w:p>
        </w:tc>
        <w:tc>
          <w:tcPr>
            <w:tcW w:w="778" w:type="dxa"/>
            <w:noWrap w:val="0"/>
            <w:vAlign w:val="center"/>
          </w:tcPr>
          <w:p w14:paraId="41745E3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163.69</w:t>
            </w:r>
          </w:p>
        </w:tc>
        <w:tc>
          <w:tcPr>
            <w:tcW w:w="779" w:type="dxa"/>
            <w:noWrap w:val="0"/>
            <w:vAlign w:val="center"/>
          </w:tcPr>
          <w:p w14:paraId="0ADF760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163.69</w:t>
            </w:r>
          </w:p>
        </w:tc>
        <w:tc>
          <w:tcPr>
            <w:tcW w:w="779" w:type="dxa"/>
            <w:noWrap w:val="0"/>
            <w:vAlign w:val="center"/>
          </w:tcPr>
          <w:p w14:paraId="69F9E62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163.69</w:t>
            </w:r>
          </w:p>
        </w:tc>
        <w:tc>
          <w:tcPr>
            <w:tcW w:w="779" w:type="dxa"/>
            <w:noWrap w:val="0"/>
            <w:vAlign w:val="center"/>
          </w:tcPr>
          <w:p w14:paraId="04D94A3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163.69</w:t>
            </w:r>
          </w:p>
        </w:tc>
        <w:tc>
          <w:tcPr>
            <w:tcW w:w="779" w:type="dxa"/>
            <w:noWrap w:val="0"/>
            <w:vAlign w:val="center"/>
          </w:tcPr>
          <w:p w14:paraId="6CF14F7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163.69</w:t>
            </w:r>
          </w:p>
        </w:tc>
        <w:tc>
          <w:tcPr>
            <w:tcW w:w="779" w:type="dxa"/>
            <w:noWrap w:val="0"/>
            <w:vAlign w:val="center"/>
          </w:tcPr>
          <w:p w14:paraId="2C40567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163.69</w:t>
            </w:r>
          </w:p>
        </w:tc>
        <w:tc>
          <w:tcPr>
            <w:tcW w:w="778" w:type="dxa"/>
            <w:noWrap w:val="0"/>
            <w:vAlign w:val="center"/>
          </w:tcPr>
          <w:p w14:paraId="4FE6D0E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163.69</w:t>
            </w:r>
          </w:p>
        </w:tc>
        <w:tc>
          <w:tcPr>
            <w:tcW w:w="779" w:type="dxa"/>
            <w:noWrap w:val="0"/>
            <w:vAlign w:val="center"/>
          </w:tcPr>
          <w:p w14:paraId="45F0780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163.69</w:t>
            </w:r>
          </w:p>
        </w:tc>
        <w:tc>
          <w:tcPr>
            <w:tcW w:w="779" w:type="dxa"/>
            <w:noWrap w:val="0"/>
            <w:vAlign w:val="center"/>
          </w:tcPr>
          <w:p w14:paraId="173AE50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163.69</w:t>
            </w:r>
          </w:p>
        </w:tc>
        <w:tc>
          <w:tcPr>
            <w:tcW w:w="783" w:type="dxa"/>
            <w:noWrap w:val="0"/>
            <w:vAlign w:val="center"/>
          </w:tcPr>
          <w:p w14:paraId="4B7F1B9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163.69</w:t>
            </w:r>
          </w:p>
        </w:tc>
      </w:tr>
      <w:tr w14:paraId="52A84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20" w:type="dxa"/>
            <w:noWrap w:val="0"/>
            <w:vAlign w:val="center"/>
          </w:tcPr>
          <w:p w14:paraId="0B509B6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2003" w:type="dxa"/>
            <w:noWrap w:val="0"/>
            <w:vAlign w:val="center"/>
          </w:tcPr>
          <w:p w14:paraId="5B7D955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单价（元/度）</w:t>
            </w:r>
          </w:p>
        </w:tc>
        <w:tc>
          <w:tcPr>
            <w:tcW w:w="866" w:type="dxa"/>
            <w:noWrap w:val="0"/>
            <w:vAlign w:val="center"/>
          </w:tcPr>
          <w:p w14:paraId="0C6B480D">
            <w:pPr>
              <w:jc w:val="center"/>
              <w:rPr>
                <w:rFonts w:ascii="Times New Roman" w:hAnsi="Times New Roman" w:eastAsia="宋体" w:cs="宋体"/>
                <w:color w:val="auto"/>
                <w:sz w:val="21"/>
              </w:rPr>
            </w:pPr>
          </w:p>
        </w:tc>
        <w:tc>
          <w:tcPr>
            <w:tcW w:w="778" w:type="dxa"/>
            <w:noWrap w:val="0"/>
            <w:vAlign w:val="center"/>
          </w:tcPr>
          <w:p w14:paraId="17B5843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0.65</w:t>
            </w:r>
          </w:p>
        </w:tc>
        <w:tc>
          <w:tcPr>
            <w:tcW w:w="779" w:type="dxa"/>
            <w:noWrap w:val="0"/>
            <w:vAlign w:val="center"/>
          </w:tcPr>
          <w:p w14:paraId="0BB8F00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0.65</w:t>
            </w:r>
          </w:p>
        </w:tc>
        <w:tc>
          <w:tcPr>
            <w:tcW w:w="779" w:type="dxa"/>
            <w:noWrap w:val="0"/>
            <w:vAlign w:val="center"/>
          </w:tcPr>
          <w:p w14:paraId="01CBA70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0.65</w:t>
            </w:r>
          </w:p>
        </w:tc>
        <w:tc>
          <w:tcPr>
            <w:tcW w:w="779" w:type="dxa"/>
            <w:noWrap w:val="0"/>
            <w:vAlign w:val="center"/>
          </w:tcPr>
          <w:p w14:paraId="5C9EE59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0.65</w:t>
            </w:r>
          </w:p>
        </w:tc>
        <w:tc>
          <w:tcPr>
            <w:tcW w:w="778" w:type="dxa"/>
            <w:noWrap w:val="0"/>
            <w:vAlign w:val="center"/>
          </w:tcPr>
          <w:p w14:paraId="6A1C4B0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0.65</w:t>
            </w:r>
          </w:p>
        </w:tc>
        <w:tc>
          <w:tcPr>
            <w:tcW w:w="779" w:type="dxa"/>
            <w:noWrap w:val="0"/>
            <w:vAlign w:val="center"/>
          </w:tcPr>
          <w:p w14:paraId="0B18A63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0.65</w:t>
            </w:r>
          </w:p>
        </w:tc>
        <w:tc>
          <w:tcPr>
            <w:tcW w:w="779" w:type="dxa"/>
            <w:noWrap w:val="0"/>
            <w:vAlign w:val="center"/>
          </w:tcPr>
          <w:p w14:paraId="74DD418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0.65</w:t>
            </w:r>
          </w:p>
        </w:tc>
        <w:tc>
          <w:tcPr>
            <w:tcW w:w="779" w:type="dxa"/>
            <w:noWrap w:val="0"/>
            <w:vAlign w:val="center"/>
          </w:tcPr>
          <w:p w14:paraId="0A68B4B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0.65</w:t>
            </w:r>
          </w:p>
        </w:tc>
        <w:tc>
          <w:tcPr>
            <w:tcW w:w="779" w:type="dxa"/>
            <w:noWrap w:val="0"/>
            <w:vAlign w:val="center"/>
          </w:tcPr>
          <w:p w14:paraId="51E8D5B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0.65</w:t>
            </w:r>
          </w:p>
        </w:tc>
        <w:tc>
          <w:tcPr>
            <w:tcW w:w="779" w:type="dxa"/>
            <w:noWrap w:val="0"/>
            <w:vAlign w:val="center"/>
          </w:tcPr>
          <w:p w14:paraId="3EC77BB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0.65</w:t>
            </w:r>
          </w:p>
        </w:tc>
        <w:tc>
          <w:tcPr>
            <w:tcW w:w="778" w:type="dxa"/>
            <w:noWrap w:val="0"/>
            <w:vAlign w:val="center"/>
          </w:tcPr>
          <w:p w14:paraId="03CDB3E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0.65</w:t>
            </w:r>
          </w:p>
        </w:tc>
        <w:tc>
          <w:tcPr>
            <w:tcW w:w="779" w:type="dxa"/>
            <w:noWrap w:val="0"/>
            <w:vAlign w:val="center"/>
          </w:tcPr>
          <w:p w14:paraId="44D1EB5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0.65</w:t>
            </w:r>
          </w:p>
        </w:tc>
        <w:tc>
          <w:tcPr>
            <w:tcW w:w="779" w:type="dxa"/>
            <w:noWrap w:val="0"/>
            <w:vAlign w:val="center"/>
          </w:tcPr>
          <w:p w14:paraId="5F444E8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0.65</w:t>
            </w:r>
          </w:p>
        </w:tc>
        <w:tc>
          <w:tcPr>
            <w:tcW w:w="783" w:type="dxa"/>
            <w:noWrap w:val="0"/>
            <w:vAlign w:val="center"/>
          </w:tcPr>
          <w:p w14:paraId="1C800BB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0.65</w:t>
            </w:r>
          </w:p>
        </w:tc>
      </w:tr>
      <w:tr w14:paraId="66EC4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20" w:type="dxa"/>
            <w:noWrap w:val="0"/>
            <w:vAlign w:val="center"/>
          </w:tcPr>
          <w:p w14:paraId="00CB09B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2003" w:type="dxa"/>
            <w:noWrap w:val="0"/>
            <w:vAlign w:val="center"/>
          </w:tcPr>
          <w:p w14:paraId="1205AFB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数量（万度）</w:t>
            </w:r>
          </w:p>
        </w:tc>
        <w:tc>
          <w:tcPr>
            <w:tcW w:w="866" w:type="dxa"/>
            <w:noWrap w:val="0"/>
            <w:vAlign w:val="center"/>
          </w:tcPr>
          <w:p w14:paraId="44ECC63B">
            <w:pPr>
              <w:jc w:val="center"/>
              <w:rPr>
                <w:rFonts w:ascii="Times New Roman" w:hAnsi="Times New Roman" w:eastAsia="宋体" w:cs="宋体"/>
                <w:color w:val="auto"/>
                <w:sz w:val="21"/>
              </w:rPr>
            </w:pPr>
          </w:p>
        </w:tc>
        <w:tc>
          <w:tcPr>
            <w:tcW w:w="778" w:type="dxa"/>
            <w:noWrap w:val="0"/>
            <w:vAlign w:val="center"/>
          </w:tcPr>
          <w:p w14:paraId="711DBD0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94.44</w:t>
            </w:r>
          </w:p>
        </w:tc>
        <w:tc>
          <w:tcPr>
            <w:tcW w:w="779" w:type="dxa"/>
            <w:noWrap w:val="0"/>
            <w:vAlign w:val="center"/>
          </w:tcPr>
          <w:p w14:paraId="51877E2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151.10</w:t>
            </w:r>
          </w:p>
        </w:tc>
        <w:tc>
          <w:tcPr>
            <w:tcW w:w="779" w:type="dxa"/>
            <w:noWrap w:val="0"/>
            <w:vAlign w:val="center"/>
          </w:tcPr>
          <w:p w14:paraId="62175AC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201.46</w:t>
            </w:r>
          </w:p>
        </w:tc>
        <w:tc>
          <w:tcPr>
            <w:tcW w:w="779" w:type="dxa"/>
            <w:noWrap w:val="0"/>
            <w:vAlign w:val="center"/>
          </w:tcPr>
          <w:p w14:paraId="4E0C806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251.83</w:t>
            </w:r>
          </w:p>
        </w:tc>
        <w:tc>
          <w:tcPr>
            <w:tcW w:w="778" w:type="dxa"/>
            <w:noWrap w:val="0"/>
            <w:vAlign w:val="center"/>
          </w:tcPr>
          <w:p w14:paraId="716CF41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251.83</w:t>
            </w:r>
          </w:p>
        </w:tc>
        <w:tc>
          <w:tcPr>
            <w:tcW w:w="779" w:type="dxa"/>
            <w:noWrap w:val="0"/>
            <w:vAlign w:val="center"/>
          </w:tcPr>
          <w:p w14:paraId="4ABFBD4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251.83</w:t>
            </w:r>
          </w:p>
        </w:tc>
        <w:tc>
          <w:tcPr>
            <w:tcW w:w="779" w:type="dxa"/>
            <w:noWrap w:val="0"/>
            <w:vAlign w:val="center"/>
          </w:tcPr>
          <w:p w14:paraId="290F65D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251.83</w:t>
            </w:r>
          </w:p>
        </w:tc>
        <w:tc>
          <w:tcPr>
            <w:tcW w:w="779" w:type="dxa"/>
            <w:noWrap w:val="0"/>
            <w:vAlign w:val="center"/>
          </w:tcPr>
          <w:p w14:paraId="0BB6956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251.83</w:t>
            </w:r>
          </w:p>
        </w:tc>
        <w:tc>
          <w:tcPr>
            <w:tcW w:w="779" w:type="dxa"/>
            <w:noWrap w:val="0"/>
            <w:vAlign w:val="center"/>
          </w:tcPr>
          <w:p w14:paraId="2E7D797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251.83</w:t>
            </w:r>
          </w:p>
        </w:tc>
        <w:tc>
          <w:tcPr>
            <w:tcW w:w="779" w:type="dxa"/>
            <w:noWrap w:val="0"/>
            <w:vAlign w:val="center"/>
          </w:tcPr>
          <w:p w14:paraId="6147163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251.83</w:t>
            </w:r>
          </w:p>
        </w:tc>
        <w:tc>
          <w:tcPr>
            <w:tcW w:w="778" w:type="dxa"/>
            <w:noWrap w:val="0"/>
            <w:vAlign w:val="center"/>
          </w:tcPr>
          <w:p w14:paraId="4A4AEBD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251.83</w:t>
            </w:r>
          </w:p>
        </w:tc>
        <w:tc>
          <w:tcPr>
            <w:tcW w:w="779" w:type="dxa"/>
            <w:noWrap w:val="0"/>
            <w:vAlign w:val="center"/>
          </w:tcPr>
          <w:p w14:paraId="5DF7066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251.83</w:t>
            </w:r>
          </w:p>
        </w:tc>
        <w:tc>
          <w:tcPr>
            <w:tcW w:w="779" w:type="dxa"/>
            <w:noWrap w:val="0"/>
            <w:vAlign w:val="center"/>
          </w:tcPr>
          <w:p w14:paraId="0E0F2A5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251.83</w:t>
            </w:r>
          </w:p>
        </w:tc>
        <w:tc>
          <w:tcPr>
            <w:tcW w:w="783" w:type="dxa"/>
            <w:noWrap w:val="0"/>
            <w:vAlign w:val="center"/>
          </w:tcPr>
          <w:p w14:paraId="6EAF065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251.83</w:t>
            </w:r>
          </w:p>
        </w:tc>
      </w:tr>
      <w:tr w14:paraId="0BE3F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20" w:type="dxa"/>
            <w:noWrap w:val="0"/>
            <w:vAlign w:val="center"/>
          </w:tcPr>
          <w:p w14:paraId="417A66B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2003" w:type="dxa"/>
            <w:noWrap w:val="0"/>
            <w:vAlign w:val="center"/>
          </w:tcPr>
          <w:p w14:paraId="0E86429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进项税额（13%）</w:t>
            </w:r>
          </w:p>
        </w:tc>
        <w:tc>
          <w:tcPr>
            <w:tcW w:w="866" w:type="dxa"/>
            <w:noWrap w:val="0"/>
            <w:vAlign w:val="center"/>
          </w:tcPr>
          <w:p w14:paraId="1B9D693A">
            <w:pPr>
              <w:jc w:val="center"/>
              <w:rPr>
                <w:rFonts w:ascii="Times New Roman" w:hAnsi="Times New Roman" w:eastAsia="宋体" w:cs="宋体"/>
                <w:color w:val="auto"/>
                <w:sz w:val="21"/>
              </w:rPr>
            </w:pPr>
          </w:p>
        </w:tc>
        <w:tc>
          <w:tcPr>
            <w:tcW w:w="778" w:type="dxa"/>
            <w:noWrap w:val="0"/>
            <w:vAlign w:val="center"/>
          </w:tcPr>
          <w:p w14:paraId="14EA949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7.98</w:t>
            </w:r>
          </w:p>
        </w:tc>
        <w:tc>
          <w:tcPr>
            <w:tcW w:w="779" w:type="dxa"/>
            <w:noWrap w:val="0"/>
            <w:vAlign w:val="center"/>
          </w:tcPr>
          <w:p w14:paraId="4FD06F6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12.77</w:t>
            </w:r>
          </w:p>
        </w:tc>
        <w:tc>
          <w:tcPr>
            <w:tcW w:w="779" w:type="dxa"/>
            <w:noWrap w:val="0"/>
            <w:vAlign w:val="center"/>
          </w:tcPr>
          <w:p w14:paraId="46B063B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17.02</w:t>
            </w:r>
          </w:p>
        </w:tc>
        <w:tc>
          <w:tcPr>
            <w:tcW w:w="779" w:type="dxa"/>
            <w:noWrap w:val="0"/>
            <w:vAlign w:val="center"/>
          </w:tcPr>
          <w:p w14:paraId="1C8687A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21.28</w:t>
            </w:r>
          </w:p>
        </w:tc>
        <w:tc>
          <w:tcPr>
            <w:tcW w:w="778" w:type="dxa"/>
            <w:noWrap w:val="0"/>
            <w:vAlign w:val="center"/>
          </w:tcPr>
          <w:p w14:paraId="3E44A56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21.28</w:t>
            </w:r>
          </w:p>
        </w:tc>
        <w:tc>
          <w:tcPr>
            <w:tcW w:w="779" w:type="dxa"/>
            <w:noWrap w:val="0"/>
            <w:vAlign w:val="center"/>
          </w:tcPr>
          <w:p w14:paraId="757D4D7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21.28</w:t>
            </w:r>
          </w:p>
        </w:tc>
        <w:tc>
          <w:tcPr>
            <w:tcW w:w="779" w:type="dxa"/>
            <w:noWrap w:val="0"/>
            <w:vAlign w:val="center"/>
          </w:tcPr>
          <w:p w14:paraId="40A8032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21.28</w:t>
            </w:r>
          </w:p>
        </w:tc>
        <w:tc>
          <w:tcPr>
            <w:tcW w:w="779" w:type="dxa"/>
            <w:noWrap w:val="0"/>
            <w:vAlign w:val="center"/>
          </w:tcPr>
          <w:p w14:paraId="379B2D4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21.28</w:t>
            </w:r>
          </w:p>
        </w:tc>
        <w:tc>
          <w:tcPr>
            <w:tcW w:w="779" w:type="dxa"/>
            <w:noWrap w:val="0"/>
            <w:vAlign w:val="center"/>
          </w:tcPr>
          <w:p w14:paraId="2AAD22A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21.28</w:t>
            </w:r>
          </w:p>
        </w:tc>
        <w:tc>
          <w:tcPr>
            <w:tcW w:w="779" w:type="dxa"/>
            <w:noWrap w:val="0"/>
            <w:vAlign w:val="center"/>
          </w:tcPr>
          <w:p w14:paraId="2A13396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21.28</w:t>
            </w:r>
          </w:p>
        </w:tc>
        <w:tc>
          <w:tcPr>
            <w:tcW w:w="778" w:type="dxa"/>
            <w:noWrap w:val="0"/>
            <w:vAlign w:val="center"/>
          </w:tcPr>
          <w:p w14:paraId="0469F8F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21.28</w:t>
            </w:r>
          </w:p>
        </w:tc>
        <w:tc>
          <w:tcPr>
            <w:tcW w:w="779" w:type="dxa"/>
            <w:noWrap w:val="0"/>
            <w:vAlign w:val="center"/>
          </w:tcPr>
          <w:p w14:paraId="1CA3FA3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21.28</w:t>
            </w:r>
          </w:p>
        </w:tc>
        <w:tc>
          <w:tcPr>
            <w:tcW w:w="779" w:type="dxa"/>
            <w:noWrap w:val="0"/>
            <w:vAlign w:val="center"/>
          </w:tcPr>
          <w:p w14:paraId="13C483B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21.28</w:t>
            </w:r>
          </w:p>
        </w:tc>
        <w:tc>
          <w:tcPr>
            <w:tcW w:w="783" w:type="dxa"/>
            <w:noWrap w:val="0"/>
            <w:vAlign w:val="center"/>
          </w:tcPr>
          <w:p w14:paraId="52E46B8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21.28</w:t>
            </w:r>
          </w:p>
        </w:tc>
      </w:tr>
      <w:tr w14:paraId="175EA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520" w:type="dxa"/>
            <w:noWrap w:val="0"/>
            <w:vAlign w:val="center"/>
          </w:tcPr>
          <w:p w14:paraId="4C6792D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1.3</w:t>
            </w:r>
          </w:p>
        </w:tc>
        <w:tc>
          <w:tcPr>
            <w:tcW w:w="2003" w:type="dxa"/>
            <w:noWrap w:val="0"/>
            <w:vAlign w:val="center"/>
          </w:tcPr>
          <w:p w14:paraId="4DA016D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宋体"/>
                <w:color w:val="auto"/>
                <w:sz w:val="21"/>
                <w:szCs w:val="14"/>
                <w:lang w:val="en-US" w:eastAsia="zh-CN"/>
              </w:rPr>
            </w:pPr>
            <w:r>
              <w:rPr>
                <w:rFonts w:ascii="Times New Roman" w:hAnsi="Times New Roman" w:eastAsia="宋体" w:cs="宋体"/>
                <w:color w:val="auto"/>
                <w:spacing w:val="8"/>
                <w:sz w:val="21"/>
                <w:szCs w:val="14"/>
              </w:rPr>
              <w:t>动力－</w:t>
            </w:r>
            <w:r>
              <w:rPr>
                <w:rFonts w:hint="eastAsia" w:ascii="Times New Roman" w:hAnsi="Times New Roman" w:eastAsia="宋体" w:cs="宋体"/>
                <w:color w:val="auto"/>
                <w:spacing w:val="8"/>
                <w:sz w:val="21"/>
                <w:szCs w:val="14"/>
                <w:lang w:val="en-US" w:eastAsia="zh-CN"/>
              </w:rPr>
              <w:t>天然气</w:t>
            </w:r>
          </w:p>
        </w:tc>
        <w:tc>
          <w:tcPr>
            <w:tcW w:w="866" w:type="dxa"/>
            <w:noWrap w:val="0"/>
            <w:vAlign w:val="center"/>
          </w:tcPr>
          <w:p w14:paraId="660B0418">
            <w:pPr>
              <w:jc w:val="center"/>
              <w:rPr>
                <w:rFonts w:ascii="Times New Roman" w:hAnsi="Times New Roman" w:eastAsia="宋体" w:cs="宋体"/>
                <w:color w:val="auto"/>
                <w:sz w:val="21"/>
              </w:rPr>
            </w:pPr>
          </w:p>
        </w:tc>
        <w:tc>
          <w:tcPr>
            <w:tcW w:w="778" w:type="dxa"/>
            <w:noWrap w:val="0"/>
            <w:vAlign w:val="center"/>
          </w:tcPr>
          <w:p w14:paraId="6208F3E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303.75</w:t>
            </w:r>
          </w:p>
        </w:tc>
        <w:tc>
          <w:tcPr>
            <w:tcW w:w="779" w:type="dxa"/>
            <w:noWrap w:val="0"/>
            <w:vAlign w:val="center"/>
          </w:tcPr>
          <w:p w14:paraId="41C82F5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486</w:t>
            </w:r>
          </w:p>
        </w:tc>
        <w:tc>
          <w:tcPr>
            <w:tcW w:w="779" w:type="dxa"/>
            <w:noWrap w:val="0"/>
            <w:vAlign w:val="center"/>
          </w:tcPr>
          <w:p w14:paraId="64161AC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648</w:t>
            </w:r>
          </w:p>
        </w:tc>
        <w:tc>
          <w:tcPr>
            <w:tcW w:w="779" w:type="dxa"/>
            <w:noWrap w:val="0"/>
            <w:vAlign w:val="center"/>
          </w:tcPr>
          <w:p w14:paraId="6223E98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810</w:t>
            </w:r>
          </w:p>
        </w:tc>
        <w:tc>
          <w:tcPr>
            <w:tcW w:w="778" w:type="dxa"/>
            <w:noWrap w:val="0"/>
            <w:vAlign w:val="center"/>
          </w:tcPr>
          <w:p w14:paraId="6A49595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810</w:t>
            </w:r>
          </w:p>
        </w:tc>
        <w:tc>
          <w:tcPr>
            <w:tcW w:w="779" w:type="dxa"/>
            <w:noWrap w:val="0"/>
            <w:vAlign w:val="center"/>
          </w:tcPr>
          <w:p w14:paraId="5D36C9F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810</w:t>
            </w:r>
          </w:p>
        </w:tc>
        <w:tc>
          <w:tcPr>
            <w:tcW w:w="779" w:type="dxa"/>
            <w:noWrap w:val="0"/>
            <w:vAlign w:val="center"/>
          </w:tcPr>
          <w:p w14:paraId="2CFA081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810</w:t>
            </w:r>
          </w:p>
        </w:tc>
        <w:tc>
          <w:tcPr>
            <w:tcW w:w="779" w:type="dxa"/>
            <w:noWrap w:val="0"/>
            <w:vAlign w:val="center"/>
          </w:tcPr>
          <w:p w14:paraId="50A20D6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810</w:t>
            </w:r>
          </w:p>
        </w:tc>
        <w:tc>
          <w:tcPr>
            <w:tcW w:w="779" w:type="dxa"/>
            <w:noWrap w:val="0"/>
            <w:vAlign w:val="center"/>
          </w:tcPr>
          <w:p w14:paraId="4FF7AA5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810</w:t>
            </w:r>
          </w:p>
        </w:tc>
        <w:tc>
          <w:tcPr>
            <w:tcW w:w="779" w:type="dxa"/>
            <w:noWrap w:val="0"/>
            <w:vAlign w:val="center"/>
          </w:tcPr>
          <w:p w14:paraId="293F439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810</w:t>
            </w:r>
          </w:p>
        </w:tc>
        <w:tc>
          <w:tcPr>
            <w:tcW w:w="778" w:type="dxa"/>
            <w:noWrap w:val="0"/>
            <w:vAlign w:val="center"/>
          </w:tcPr>
          <w:p w14:paraId="068D19B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810</w:t>
            </w:r>
          </w:p>
        </w:tc>
        <w:tc>
          <w:tcPr>
            <w:tcW w:w="779" w:type="dxa"/>
            <w:noWrap w:val="0"/>
            <w:vAlign w:val="center"/>
          </w:tcPr>
          <w:p w14:paraId="624F95F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810</w:t>
            </w:r>
          </w:p>
        </w:tc>
        <w:tc>
          <w:tcPr>
            <w:tcW w:w="779" w:type="dxa"/>
            <w:noWrap w:val="0"/>
            <w:vAlign w:val="center"/>
          </w:tcPr>
          <w:p w14:paraId="20EA27C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810</w:t>
            </w:r>
          </w:p>
        </w:tc>
        <w:tc>
          <w:tcPr>
            <w:tcW w:w="783" w:type="dxa"/>
            <w:noWrap w:val="0"/>
            <w:vAlign w:val="center"/>
          </w:tcPr>
          <w:p w14:paraId="3B4D415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810</w:t>
            </w:r>
          </w:p>
        </w:tc>
      </w:tr>
      <w:tr w14:paraId="3D9F5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520" w:type="dxa"/>
            <w:noWrap w:val="0"/>
            <w:vAlign w:val="center"/>
          </w:tcPr>
          <w:p w14:paraId="20AB9CC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2003" w:type="dxa"/>
            <w:noWrap w:val="0"/>
            <w:vAlign w:val="center"/>
          </w:tcPr>
          <w:p w14:paraId="2A03858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单价（元/</w:t>
            </w:r>
            <w:r>
              <w:rPr>
                <w:rFonts w:hint="eastAsia" w:ascii="Times New Roman" w:hAnsi="Times New Roman" w:eastAsia="宋体" w:cs="宋体"/>
                <w:color w:val="auto"/>
                <w:spacing w:val="6"/>
                <w:sz w:val="21"/>
                <w:szCs w:val="14"/>
                <w:lang w:val="en-US" w:eastAsia="zh-CN"/>
              </w:rPr>
              <w:t>m</w:t>
            </w:r>
            <w:r>
              <w:rPr>
                <w:rFonts w:hint="eastAsia" w:ascii="Times New Roman" w:hAnsi="Times New Roman" w:eastAsia="宋体" w:cs="宋体"/>
                <w:color w:val="auto"/>
                <w:spacing w:val="6"/>
                <w:sz w:val="21"/>
                <w:szCs w:val="14"/>
                <w:vertAlign w:val="superscript"/>
                <w:lang w:val="en-US" w:eastAsia="zh-CN"/>
              </w:rPr>
              <w:t>3</w:t>
            </w:r>
            <w:r>
              <w:rPr>
                <w:rFonts w:ascii="Times New Roman" w:hAnsi="Times New Roman" w:eastAsia="宋体" w:cs="宋体"/>
                <w:color w:val="auto"/>
                <w:spacing w:val="6"/>
                <w:sz w:val="21"/>
                <w:szCs w:val="14"/>
              </w:rPr>
              <w:t>）</w:t>
            </w:r>
          </w:p>
        </w:tc>
        <w:tc>
          <w:tcPr>
            <w:tcW w:w="866" w:type="dxa"/>
            <w:noWrap w:val="0"/>
            <w:vAlign w:val="center"/>
          </w:tcPr>
          <w:p w14:paraId="7FE26246">
            <w:pPr>
              <w:jc w:val="center"/>
              <w:rPr>
                <w:rFonts w:ascii="Times New Roman" w:hAnsi="Times New Roman" w:eastAsia="宋体" w:cs="宋体"/>
                <w:color w:val="auto"/>
                <w:sz w:val="21"/>
              </w:rPr>
            </w:pPr>
          </w:p>
        </w:tc>
        <w:tc>
          <w:tcPr>
            <w:tcW w:w="778" w:type="dxa"/>
            <w:noWrap w:val="0"/>
            <w:vAlign w:val="center"/>
          </w:tcPr>
          <w:p w14:paraId="22AFF66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w:t>
            </w:r>
          </w:p>
        </w:tc>
        <w:tc>
          <w:tcPr>
            <w:tcW w:w="779" w:type="dxa"/>
            <w:noWrap w:val="0"/>
            <w:vAlign w:val="center"/>
          </w:tcPr>
          <w:p w14:paraId="16A90BC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w:t>
            </w:r>
          </w:p>
        </w:tc>
        <w:tc>
          <w:tcPr>
            <w:tcW w:w="779" w:type="dxa"/>
            <w:noWrap w:val="0"/>
            <w:vAlign w:val="center"/>
          </w:tcPr>
          <w:p w14:paraId="5C42244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w:t>
            </w:r>
          </w:p>
        </w:tc>
        <w:tc>
          <w:tcPr>
            <w:tcW w:w="779" w:type="dxa"/>
            <w:noWrap w:val="0"/>
            <w:vAlign w:val="center"/>
          </w:tcPr>
          <w:p w14:paraId="36118FA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w:t>
            </w:r>
          </w:p>
        </w:tc>
        <w:tc>
          <w:tcPr>
            <w:tcW w:w="778" w:type="dxa"/>
            <w:noWrap w:val="0"/>
            <w:vAlign w:val="center"/>
          </w:tcPr>
          <w:p w14:paraId="1867707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w:t>
            </w:r>
          </w:p>
        </w:tc>
        <w:tc>
          <w:tcPr>
            <w:tcW w:w="779" w:type="dxa"/>
            <w:noWrap w:val="0"/>
            <w:vAlign w:val="center"/>
          </w:tcPr>
          <w:p w14:paraId="11806DA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w:t>
            </w:r>
          </w:p>
        </w:tc>
        <w:tc>
          <w:tcPr>
            <w:tcW w:w="779" w:type="dxa"/>
            <w:noWrap w:val="0"/>
            <w:vAlign w:val="center"/>
          </w:tcPr>
          <w:p w14:paraId="0F77B5B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w:t>
            </w:r>
          </w:p>
        </w:tc>
        <w:tc>
          <w:tcPr>
            <w:tcW w:w="779" w:type="dxa"/>
            <w:noWrap w:val="0"/>
            <w:vAlign w:val="center"/>
          </w:tcPr>
          <w:p w14:paraId="43DB3E0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w:t>
            </w:r>
          </w:p>
        </w:tc>
        <w:tc>
          <w:tcPr>
            <w:tcW w:w="779" w:type="dxa"/>
            <w:noWrap w:val="0"/>
            <w:vAlign w:val="center"/>
          </w:tcPr>
          <w:p w14:paraId="2EE968C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w:t>
            </w:r>
          </w:p>
        </w:tc>
        <w:tc>
          <w:tcPr>
            <w:tcW w:w="779" w:type="dxa"/>
            <w:noWrap w:val="0"/>
            <w:vAlign w:val="center"/>
          </w:tcPr>
          <w:p w14:paraId="4229C65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w:t>
            </w:r>
          </w:p>
        </w:tc>
        <w:tc>
          <w:tcPr>
            <w:tcW w:w="778" w:type="dxa"/>
            <w:noWrap w:val="0"/>
            <w:vAlign w:val="center"/>
          </w:tcPr>
          <w:p w14:paraId="7F0DA93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w:t>
            </w:r>
          </w:p>
        </w:tc>
        <w:tc>
          <w:tcPr>
            <w:tcW w:w="779" w:type="dxa"/>
            <w:noWrap w:val="0"/>
            <w:vAlign w:val="center"/>
          </w:tcPr>
          <w:p w14:paraId="2C53139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w:t>
            </w:r>
          </w:p>
        </w:tc>
        <w:tc>
          <w:tcPr>
            <w:tcW w:w="779" w:type="dxa"/>
            <w:noWrap w:val="0"/>
            <w:vAlign w:val="center"/>
          </w:tcPr>
          <w:p w14:paraId="6FCFB56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w:t>
            </w:r>
          </w:p>
        </w:tc>
        <w:tc>
          <w:tcPr>
            <w:tcW w:w="783" w:type="dxa"/>
            <w:noWrap w:val="0"/>
            <w:vAlign w:val="center"/>
          </w:tcPr>
          <w:p w14:paraId="38728BB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w:t>
            </w:r>
          </w:p>
        </w:tc>
      </w:tr>
      <w:tr w14:paraId="76F15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20" w:type="dxa"/>
            <w:noWrap w:val="0"/>
            <w:vAlign w:val="center"/>
          </w:tcPr>
          <w:p w14:paraId="130D36A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2003" w:type="dxa"/>
            <w:noWrap w:val="0"/>
            <w:vAlign w:val="center"/>
          </w:tcPr>
          <w:p w14:paraId="6F27A35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数量（</w:t>
            </w:r>
            <w:r>
              <w:rPr>
                <w:rFonts w:hint="eastAsia" w:ascii="Times New Roman" w:hAnsi="Times New Roman" w:eastAsia="宋体" w:cs="宋体"/>
                <w:color w:val="auto"/>
                <w:spacing w:val="6"/>
                <w:sz w:val="21"/>
                <w:szCs w:val="14"/>
                <w:lang w:val="en-US" w:eastAsia="zh-CN"/>
              </w:rPr>
              <w:t>m</w:t>
            </w:r>
            <w:r>
              <w:rPr>
                <w:rFonts w:hint="eastAsia" w:ascii="Times New Roman" w:hAnsi="Times New Roman" w:eastAsia="宋体" w:cs="宋体"/>
                <w:color w:val="auto"/>
                <w:spacing w:val="6"/>
                <w:sz w:val="21"/>
                <w:szCs w:val="14"/>
                <w:vertAlign w:val="superscript"/>
                <w:lang w:val="en-US" w:eastAsia="zh-CN"/>
              </w:rPr>
              <w:t>3</w:t>
            </w:r>
            <w:r>
              <w:rPr>
                <w:rFonts w:ascii="Times New Roman" w:hAnsi="Times New Roman" w:eastAsia="宋体" w:cs="宋体"/>
                <w:color w:val="auto"/>
                <w:spacing w:val="6"/>
                <w:sz w:val="21"/>
                <w:szCs w:val="14"/>
              </w:rPr>
              <w:t>）</w:t>
            </w:r>
          </w:p>
        </w:tc>
        <w:tc>
          <w:tcPr>
            <w:tcW w:w="866" w:type="dxa"/>
            <w:noWrap w:val="0"/>
            <w:vAlign w:val="center"/>
          </w:tcPr>
          <w:p w14:paraId="427196CF">
            <w:pPr>
              <w:jc w:val="center"/>
              <w:rPr>
                <w:rFonts w:ascii="Times New Roman" w:hAnsi="Times New Roman" w:eastAsia="宋体" w:cs="宋体"/>
                <w:color w:val="auto"/>
                <w:sz w:val="21"/>
              </w:rPr>
            </w:pPr>
          </w:p>
        </w:tc>
        <w:tc>
          <w:tcPr>
            <w:tcW w:w="778" w:type="dxa"/>
            <w:noWrap w:val="0"/>
            <w:vAlign w:val="center"/>
          </w:tcPr>
          <w:p w14:paraId="4BC58AF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1012500</w:t>
            </w:r>
          </w:p>
        </w:tc>
        <w:tc>
          <w:tcPr>
            <w:tcW w:w="779" w:type="dxa"/>
            <w:noWrap w:val="0"/>
            <w:vAlign w:val="center"/>
          </w:tcPr>
          <w:p w14:paraId="4AF93E4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1620000</w:t>
            </w:r>
          </w:p>
        </w:tc>
        <w:tc>
          <w:tcPr>
            <w:tcW w:w="779" w:type="dxa"/>
            <w:noWrap w:val="0"/>
            <w:vAlign w:val="center"/>
          </w:tcPr>
          <w:p w14:paraId="41FE127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2160000</w:t>
            </w:r>
          </w:p>
        </w:tc>
        <w:tc>
          <w:tcPr>
            <w:tcW w:w="779" w:type="dxa"/>
            <w:noWrap w:val="0"/>
            <w:vAlign w:val="center"/>
          </w:tcPr>
          <w:p w14:paraId="1ED86C4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2700000</w:t>
            </w:r>
          </w:p>
        </w:tc>
        <w:tc>
          <w:tcPr>
            <w:tcW w:w="778" w:type="dxa"/>
            <w:noWrap w:val="0"/>
            <w:vAlign w:val="center"/>
          </w:tcPr>
          <w:p w14:paraId="134079F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2700000</w:t>
            </w:r>
          </w:p>
        </w:tc>
        <w:tc>
          <w:tcPr>
            <w:tcW w:w="779" w:type="dxa"/>
            <w:noWrap w:val="0"/>
            <w:vAlign w:val="center"/>
          </w:tcPr>
          <w:p w14:paraId="1F4E1BE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2700000</w:t>
            </w:r>
          </w:p>
        </w:tc>
        <w:tc>
          <w:tcPr>
            <w:tcW w:w="779" w:type="dxa"/>
            <w:noWrap w:val="0"/>
            <w:vAlign w:val="center"/>
          </w:tcPr>
          <w:p w14:paraId="669F5F9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2700000</w:t>
            </w:r>
          </w:p>
        </w:tc>
        <w:tc>
          <w:tcPr>
            <w:tcW w:w="779" w:type="dxa"/>
            <w:noWrap w:val="0"/>
            <w:vAlign w:val="center"/>
          </w:tcPr>
          <w:p w14:paraId="7692690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2700000</w:t>
            </w:r>
          </w:p>
        </w:tc>
        <w:tc>
          <w:tcPr>
            <w:tcW w:w="779" w:type="dxa"/>
            <w:noWrap w:val="0"/>
            <w:vAlign w:val="center"/>
          </w:tcPr>
          <w:p w14:paraId="5235ED1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2700000</w:t>
            </w:r>
          </w:p>
        </w:tc>
        <w:tc>
          <w:tcPr>
            <w:tcW w:w="779" w:type="dxa"/>
            <w:noWrap w:val="0"/>
            <w:vAlign w:val="center"/>
          </w:tcPr>
          <w:p w14:paraId="40448C2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2700000</w:t>
            </w:r>
          </w:p>
        </w:tc>
        <w:tc>
          <w:tcPr>
            <w:tcW w:w="778" w:type="dxa"/>
            <w:noWrap w:val="0"/>
            <w:vAlign w:val="center"/>
          </w:tcPr>
          <w:p w14:paraId="46BDD47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2700000</w:t>
            </w:r>
          </w:p>
        </w:tc>
        <w:tc>
          <w:tcPr>
            <w:tcW w:w="779" w:type="dxa"/>
            <w:noWrap w:val="0"/>
            <w:vAlign w:val="center"/>
          </w:tcPr>
          <w:p w14:paraId="254BE41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2700000</w:t>
            </w:r>
          </w:p>
        </w:tc>
        <w:tc>
          <w:tcPr>
            <w:tcW w:w="779" w:type="dxa"/>
            <w:noWrap w:val="0"/>
            <w:vAlign w:val="center"/>
          </w:tcPr>
          <w:p w14:paraId="5CB4263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2700000</w:t>
            </w:r>
          </w:p>
        </w:tc>
        <w:tc>
          <w:tcPr>
            <w:tcW w:w="783" w:type="dxa"/>
            <w:noWrap w:val="0"/>
            <w:vAlign w:val="center"/>
          </w:tcPr>
          <w:p w14:paraId="4610D39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2700000</w:t>
            </w:r>
          </w:p>
        </w:tc>
      </w:tr>
      <w:tr w14:paraId="4F900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520" w:type="dxa"/>
            <w:noWrap w:val="0"/>
            <w:vAlign w:val="center"/>
          </w:tcPr>
          <w:p w14:paraId="477EADF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2003" w:type="dxa"/>
            <w:noWrap w:val="0"/>
            <w:vAlign w:val="center"/>
          </w:tcPr>
          <w:p w14:paraId="02063E1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进项税额（13%）</w:t>
            </w:r>
          </w:p>
        </w:tc>
        <w:tc>
          <w:tcPr>
            <w:tcW w:w="866" w:type="dxa"/>
            <w:noWrap w:val="0"/>
            <w:vAlign w:val="center"/>
          </w:tcPr>
          <w:p w14:paraId="455B5051">
            <w:pPr>
              <w:jc w:val="center"/>
              <w:rPr>
                <w:rFonts w:ascii="Times New Roman" w:hAnsi="Times New Roman" w:eastAsia="宋体" w:cs="宋体"/>
                <w:color w:val="auto"/>
                <w:sz w:val="21"/>
              </w:rPr>
            </w:pPr>
          </w:p>
        </w:tc>
        <w:tc>
          <w:tcPr>
            <w:tcW w:w="778" w:type="dxa"/>
            <w:noWrap w:val="0"/>
            <w:vAlign w:val="center"/>
          </w:tcPr>
          <w:p w14:paraId="3A9F33C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39.49</w:t>
            </w:r>
          </w:p>
        </w:tc>
        <w:tc>
          <w:tcPr>
            <w:tcW w:w="779" w:type="dxa"/>
            <w:noWrap w:val="0"/>
            <w:vAlign w:val="center"/>
          </w:tcPr>
          <w:p w14:paraId="2334A25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63.18</w:t>
            </w:r>
          </w:p>
        </w:tc>
        <w:tc>
          <w:tcPr>
            <w:tcW w:w="779" w:type="dxa"/>
            <w:noWrap w:val="0"/>
            <w:vAlign w:val="center"/>
          </w:tcPr>
          <w:p w14:paraId="1B1CA28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84.24</w:t>
            </w:r>
          </w:p>
        </w:tc>
        <w:tc>
          <w:tcPr>
            <w:tcW w:w="779" w:type="dxa"/>
            <w:noWrap w:val="0"/>
            <w:vAlign w:val="center"/>
          </w:tcPr>
          <w:p w14:paraId="6AE88C2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105.30</w:t>
            </w:r>
          </w:p>
        </w:tc>
        <w:tc>
          <w:tcPr>
            <w:tcW w:w="778" w:type="dxa"/>
            <w:noWrap w:val="0"/>
            <w:vAlign w:val="center"/>
          </w:tcPr>
          <w:p w14:paraId="09FA8D4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105.30</w:t>
            </w:r>
          </w:p>
        </w:tc>
        <w:tc>
          <w:tcPr>
            <w:tcW w:w="779" w:type="dxa"/>
            <w:noWrap w:val="0"/>
            <w:vAlign w:val="center"/>
          </w:tcPr>
          <w:p w14:paraId="71358E6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105.30</w:t>
            </w:r>
          </w:p>
        </w:tc>
        <w:tc>
          <w:tcPr>
            <w:tcW w:w="779" w:type="dxa"/>
            <w:noWrap w:val="0"/>
            <w:vAlign w:val="center"/>
          </w:tcPr>
          <w:p w14:paraId="6FA1940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105.30</w:t>
            </w:r>
          </w:p>
        </w:tc>
        <w:tc>
          <w:tcPr>
            <w:tcW w:w="779" w:type="dxa"/>
            <w:noWrap w:val="0"/>
            <w:vAlign w:val="center"/>
          </w:tcPr>
          <w:p w14:paraId="24590A0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105.30</w:t>
            </w:r>
          </w:p>
        </w:tc>
        <w:tc>
          <w:tcPr>
            <w:tcW w:w="779" w:type="dxa"/>
            <w:noWrap w:val="0"/>
            <w:vAlign w:val="center"/>
          </w:tcPr>
          <w:p w14:paraId="2C5B789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105.30</w:t>
            </w:r>
          </w:p>
        </w:tc>
        <w:tc>
          <w:tcPr>
            <w:tcW w:w="779" w:type="dxa"/>
            <w:noWrap w:val="0"/>
            <w:vAlign w:val="center"/>
          </w:tcPr>
          <w:p w14:paraId="0530082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105.30</w:t>
            </w:r>
          </w:p>
        </w:tc>
        <w:tc>
          <w:tcPr>
            <w:tcW w:w="778" w:type="dxa"/>
            <w:noWrap w:val="0"/>
            <w:vAlign w:val="center"/>
          </w:tcPr>
          <w:p w14:paraId="0812F09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105.30</w:t>
            </w:r>
          </w:p>
        </w:tc>
        <w:tc>
          <w:tcPr>
            <w:tcW w:w="779" w:type="dxa"/>
            <w:noWrap w:val="0"/>
            <w:vAlign w:val="center"/>
          </w:tcPr>
          <w:p w14:paraId="2E625EB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105.30</w:t>
            </w:r>
          </w:p>
        </w:tc>
        <w:tc>
          <w:tcPr>
            <w:tcW w:w="779" w:type="dxa"/>
            <w:noWrap w:val="0"/>
            <w:vAlign w:val="center"/>
          </w:tcPr>
          <w:p w14:paraId="60C9A69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105.30</w:t>
            </w:r>
          </w:p>
        </w:tc>
        <w:tc>
          <w:tcPr>
            <w:tcW w:w="783" w:type="dxa"/>
            <w:noWrap w:val="0"/>
            <w:vAlign w:val="center"/>
          </w:tcPr>
          <w:p w14:paraId="748666C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105.30</w:t>
            </w:r>
          </w:p>
        </w:tc>
      </w:tr>
      <w:tr w14:paraId="5831C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20" w:type="dxa"/>
            <w:noWrap w:val="0"/>
            <w:vAlign w:val="center"/>
          </w:tcPr>
          <w:p w14:paraId="71209B5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w:t>
            </w:r>
          </w:p>
        </w:tc>
        <w:tc>
          <w:tcPr>
            <w:tcW w:w="2003" w:type="dxa"/>
            <w:noWrap w:val="0"/>
            <w:vAlign w:val="center"/>
          </w:tcPr>
          <w:p w14:paraId="3F4BB58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外购燃料及动力费合计</w:t>
            </w:r>
          </w:p>
        </w:tc>
        <w:tc>
          <w:tcPr>
            <w:tcW w:w="866" w:type="dxa"/>
            <w:noWrap w:val="0"/>
            <w:vAlign w:val="center"/>
          </w:tcPr>
          <w:p w14:paraId="4C1A48C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12524.35</w:t>
            </w:r>
          </w:p>
        </w:tc>
        <w:tc>
          <w:tcPr>
            <w:tcW w:w="778" w:type="dxa"/>
            <w:noWrap w:val="0"/>
            <w:vAlign w:val="center"/>
          </w:tcPr>
          <w:p w14:paraId="6423944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367.64</w:t>
            </w:r>
          </w:p>
        </w:tc>
        <w:tc>
          <w:tcPr>
            <w:tcW w:w="779" w:type="dxa"/>
            <w:noWrap w:val="0"/>
            <w:vAlign w:val="center"/>
          </w:tcPr>
          <w:p w14:paraId="110F156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588.23</w:t>
            </w:r>
          </w:p>
        </w:tc>
        <w:tc>
          <w:tcPr>
            <w:tcW w:w="779" w:type="dxa"/>
            <w:noWrap w:val="0"/>
            <w:vAlign w:val="center"/>
          </w:tcPr>
          <w:p w14:paraId="0D98608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784.30</w:t>
            </w:r>
          </w:p>
        </w:tc>
        <w:tc>
          <w:tcPr>
            <w:tcW w:w="779" w:type="dxa"/>
            <w:noWrap w:val="0"/>
            <w:vAlign w:val="center"/>
          </w:tcPr>
          <w:p w14:paraId="7E22860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8" w:type="dxa"/>
            <w:noWrap w:val="0"/>
            <w:vAlign w:val="center"/>
          </w:tcPr>
          <w:p w14:paraId="5CA6A49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9" w:type="dxa"/>
            <w:noWrap w:val="0"/>
            <w:vAlign w:val="center"/>
          </w:tcPr>
          <w:p w14:paraId="7656C4C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9" w:type="dxa"/>
            <w:noWrap w:val="0"/>
            <w:vAlign w:val="center"/>
          </w:tcPr>
          <w:p w14:paraId="0AFF010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9" w:type="dxa"/>
            <w:noWrap w:val="0"/>
            <w:vAlign w:val="center"/>
          </w:tcPr>
          <w:p w14:paraId="7EDB9ED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9" w:type="dxa"/>
            <w:noWrap w:val="0"/>
            <w:vAlign w:val="center"/>
          </w:tcPr>
          <w:p w14:paraId="3531AA6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9" w:type="dxa"/>
            <w:noWrap w:val="0"/>
            <w:vAlign w:val="center"/>
          </w:tcPr>
          <w:p w14:paraId="2BEA14D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8" w:type="dxa"/>
            <w:noWrap w:val="0"/>
            <w:vAlign w:val="center"/>
          </w:tcPr>
          <w:p w14:paraId="18BE306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9" w:type="dxa"/>
            <w:noWrap w:val="0"/>
            <w:vAlign w:val="center"/>
          </w:tcPr>
          <w:p w14:paraId="5A069E4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79" w:type="dxa"/>
            <w:noWrap w:val="0"/>
            <w:vAlign w:val="center"/>
          </w:tcPr>
          <w:p w14:paraId="59CFD90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c>
          <w:tcPr>
            <w:tcW w:w="783" w:type="dxa"/>
            <w:noWrap w:val="0"/>
            <w:vAlign w:val="center"/>
          </w:tcPr>
          <w:p w14:paraId="298DEAB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980.38</w:t>
            </w:r>
          </w:p>
        </w:tc>
      </w:tr>
      <w:tr w14:paraId="531B0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520" w:type="dxa"/>
            <w:noWrap w:val="0"/>
            <w:vAlign w:val="center"/>
          </w:tcPr>
          <w:p w14:paraId="301AABF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3</w:t>
            </w:r>
          </w:p>
        </w:tc>
        <w:tc>
          <w:tcPr>
            <w:tcW w:w="2003" w:type="dxa"/>
            <w:noWrap w:val="0"/>
            <w:vAlign w:val="center"/>
          </w:tcPr>
          <w:p w14:paraId="1574286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9"/>
                <w:sz w:val="21"/>
                <w:szCs w:val="14"/>
              </w:rPr>
              <w:t>外购燃料及动力进项税额合计</w:t>
            </w:r>
          </w:p>
        </w:tc>
        <w:tc>
          <w:tcPr>
            <w:tcW w:w="866" w:type="dxa"/>
            <w:noWrap w:val="0"/>
            <w:vAlign w:val="center"/>
          </w:tcPr>
          <w:p w14:paraId="56ABAEA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1628.17</w:t>
            </w:r>
          </w:p>
        </w:tc>
        <w:tc>
          <w:tcPr>
            <w:tcW w:w="778" w:type="dxa"/>
            <w:noWrap w:val="0"/>
            <w:vAlign w:val="center"/>
          </w:tcPr>
          <w:p w14:paraId="730BE13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47.79</w:t>
            </w:r>
          </w:p>
        </w:tc>
        <w:tc>
          <w:tcPr>
            <w:tcW w:w="779" w:type="dxa"/>
            <w:noWrap w:val="0"/>
            <w:vAlign w:val="center"/>
          </w:tcPr>
          <w:p w14:paraId="7D9EC61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76.47</w:t>
            </w:r>
          </w:p>
        </w:tc>
        <w:tc>
          <w:tcPr>
            <w:tcW w:w="779" w:type="dxa"/>
            <w:noWrap w:val="0"/>
            <w:vAlign w:val="center"/>
          </w:tcPr>
          <w:p w14:paraId="157FEB9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101.96</w:t>
            </w:r>
          </w:p>
        </w:tc>
        <w:tc>
          <w:tcPr>
            <w:tcW w:w="779" w:type="dxa"/>
            <w:noWrap w:val="0"/>
            <w:vAlign w:val="center"/>
          </w:tcPr>
          <w:p w14:paraId="7AA85DE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127.45</w:t>
            </w:r>
          </w:p>
        </w:tc>
        <w:tc>
          <w:tcPr>
            <w:tcW w:w="778" w:type="dxa"/>
            <w:noWrap w:val="0"/>
            <w:vAlign w:val="center"/>
          </w:tcPr>
          <w:p w14:paraId="217E865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127.45</w:t>
            </w:r>
          </w:p>
        </w:tc>
        <w:tc>
          <w:tcPr>
            <w:tcW w:w="779" w:type="dxa"/>
            <w:noWrap w:val="0"/>
            <w:vAlign w:val="center"/>
          </w:tcPr>
          <w:p w14:paraId="3FCD97A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127.45</w:t>
            </w:r>
          </w:p>
        </w:tc>
        <w:tc>
          <w:tcPr>
            <w:tcW w:w="779" w:type="dxa"/>
            <w:noWrap w:val="0"/>
            <w:vAlign w:val="center"/>
          </w:tcPr>
          <w:p w14:paraId="6462BD9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127.45</w:t>
            </w:r>
          </w:p>
        </w:tc>
        <w:tc>
          <w:tcPr>
            <w:tcW w:w="779" w:type="dxa"/>
            <w:noWrap w:val="0"/>
            <w:vAlign w:val="center"/>
          </w:tcPr>
          <w:p w14:paraId="279D718E">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127.45</w:t>
            </w:r>
          </w:p>
        </w:tc>
        <w:tc>
          <w:tcPr>
            <w:tcW w:w="779" w:type="dxa"/>
            <w:noWrap w:val="0"/>
            <w:vAlign w:val="center"/>
          </w:tcPr>
          <w:p w14:paraId="6F38140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127.45</w:t>
            </w:r>
          </w:p>
        </w:tc>
        <w:tc>
          <w:tcPr>
            <w:tcW w:w="779" w:type="dxa"/>
            <w:noWrap w:val="0"/>
            <w:vAlign w:val="center"/>
          </w:tcPr>
          <w:p w14:paraId="0C5886E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127.45</w:t>
            </w:r>
          </w:p>
        </w:tc>
        <w:tc>
          <w:tcPr>
            <w:tcW w:w="778" w:type="dxa"/>
            <w:noWrap w:val="0"/>
            <w:vAlign w:val="center"/>
          </w:tcPr>
          <w:p w14:paraId="40C44BB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127.45</w:t>
            </w:r>
          </w:p>
        </w:tc>
        <w:tc>
          <w:tcPr>
            <w:tcW w:w="779" w:type="dxa"/>
            <w:noWrap w:val="0"/>
            <w:vAlign w:val="center"/>
          </w:tcPr>
          <w:p w14:paraId="4F420AF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127.45</w:t>
            </w:r>
          </w:p>
        </w:tc>
        <w:tc>
          <w:tcPr>
            <w:tcW w:w="779" w:type="dxa"/>
            <w:noWrap w:val="0"/>
            <w:vAlign w:val="center"/>
          </w:tcPr>
          <w:p w14:paraId="5A9EC48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127.45</w:t>
            </w:r>
          </w:p>
        </w:tc>
        <w:tc>
          <w:tcPr>
            <w:tcW w:w="783" w:type="dxa"/>
            <w:noWrap w:val="0"/>
            <w:vAlign w:val="center"/>
          </w:tcPr>
          <w:p w14:paraId="43D9EA5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127.45</w:t>
            </w:r>
          </w:p>
        </w:tc>
      </w:tr>
    </w:tbl>
    <w:p w14:paraId="2BB4AC95">
      <w:pPr>
        <w:pStyle w:val="12"/>
        <w:rPr>
          <w:rFonts w:ascii="Times New Roman" w:hAnsi="Times New Roman" w:eastAsia="宋体" w:cs="宋体"/>
          <w:color w:val="auto"/>
        </w:rPr>
      </w:pPr>
    </w:p>
    <w:p w14:paraId="556B5C75">
      <w:pPr>
        <w:rPr>
          <w:rFonts w:ascii="Times New Roman" w:hAnsi="Times New Roman" w:eastAsia="宋体" w:cs="宋体"/>
          <w:color w:val="auto"/>
        </w:rPr>
        <w:sectPr>
          <w:headerReference r:id="rId31" w:type="default"/>
          <w:footerReference r:id="rId32" w:type="default"/>
          <w:pgSz w:w="16840" w:h="11907"/>
          <w:pgMar w:top="1340" w:right="1211" w:bottom="1148" w:left="1327" w:header="1068" w:footer="961" w:gutter="0"/>
          <w:pgBorders w:offsetFrom="page">
            <w:top w:val="none" w:sz="0" w:space="0"/>
            <w:left w:val="none" w:sz="0" w:space="0"/>
            <w:bottom w:val="none" w:sz="0" w:space="0"/>
            <w:right w:val="none" w:sz="0" w:space="0"/>
          </w:pgBorders>
          <w:pgNumType w:fmt="decimal"/>
          <w:cols w:space="720" w:num="1"/>
        </w:sectPr>
      </w:pPr>
    </w:p>
    <w:p w14:paraId="0CC48D6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Times New Roman" w:hAnsi="Times New Roman" w:eastAsia="宋体" w:cs="宋体"/>
          <w:snapToGrid w:val="0"/>
          <w:color w:val="auto"/>
          <w:kern w:val="0"/>
          <w:sz w:val="24"/>
          <w:szCs w:val="24"/>
          <w:lang w:val="en-US" w:eastAsia="zh-CN" w:bidi="ar"/>
        </w:rPr>
      </w:pPr>
      <w:r>
        <w:rPr>
          <w:rFonts w:hint="eastAsia" w:ascii="Times New Roman" w:hAnsi="Times New Roman" w:eastAsia="宋体" w:cs="宋体"/>
          <w:snapToGrid w:val="0"/>
          <w:color w:val="auto"/>
          <w:kern w:val="0"/>
          <w:sz w:val="24"/>
          <w:szCs w:val="24"/>
          <w:lang w:val="en-US" w:eastAsia="zh-CN" w:bidi="ar"/>
        </w:rPr>
        <w:t>附件9总投资及资金筹措表</w:t>
      </w:r>
    </w:p>
    <w:tbl>
      <w:tblPr>
        <w:tblStyle w:val="26"/>
        <w:tblW w:w="141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5"/>
        <w:gridCol w:w="4081"/>
        <w:gridCol w:w="1797"/>
        <w:gridCol w:w="1037"/>
        <w:gridCol w:w="1015"/>
        <w:gridCol w:w="1015"/>
        <w:gridCol w:w="1015"/>
        <w:gridCol w:w="1015"/>
        <w:gridCol w:w="1015"/>
        <w:gridCol w:w="1186"/>
      </w:tblGrid>
      <w:tr w14:paraId="36ED8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95" w:type="dxa"/>
            <w:vMerge w:val="restart"/>
            <w:tcBorders>
              <w:bottom w:val="nil"/>
            </w:tcBorders>
            <w:noWrap w:val="0"/>
            <w:vAlign w:val="center"/>
          </w:tcPr>
          <w:p w14:paraId="62A93AA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序号</w:t>
            </w:r>
          </w:p>
        </w:tc>
        <w:tc>
          <w:tcPr>
            <w:tcW w:w="4081" w:type="dxa"/>
            <w:vMerge w:val="restart"/>
            <w:tcBorders>
              <w:bottom w:val="nil"/>
            </w:tcBorders>
            <w:noWrap w:val="0"/>
            <w:vAlign w:val="center"/>
          </w:tcPr>
          <w:p w14:paraId="057DD917">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ascii="Times New Roman" w:hAnsi="Times New Roman" w:eastAsia="宋体" w:cs="宋体"/>
                <w:color w:val="auto"/>
                <w:sz w:val="21"/>
              </w:rPr>
            </w:pPr>
          </w:p>
          <w:p w14:paraId="1D222FF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4"/>
                <w:sz w:val="21"/>
                <w:szCs w:val="14"/>
              </w:rPr>
              <w:t>项目</w:t>
            </w:r>
          </w:p>
        </w:tc>
        <w:tc>
          <w:tcPr>
            <w:tcW w:w="1797" w:type="dxa"/>
            <w:vMerge w:val="restart"/>
            <w:tcBorders>
              <w:bottom w:val="nil"/>
            </w:tcBorders>
            <w:noWrap w:val="0"/>
            <w:vAlign w:val="center"/>
          </w:tcPr>
          <w:p w14:paraId="23FCD1D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年份</w:t>
            </w:r>
          </w:p>
        </w:tc>
        <w:tc>
          <w:tcPr>
            <w:tcW w:w="1037" w:type="dxa"/>
            <w:noWrap w:val="0"/>
            <w:vAlign w:val="center"/>
          </w:tcPr>
          <w:p w14:paraId="3E93847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建设期</w:t>
            </w:r>
          </w:p>
        </w:tc>
        <w:tc>
          <w:tcPr>
            <w:tcW w:w="6261" w:type="dxa"/>
            <w:gridSpan w:val="6"/>
            <w:noWrap w:val="0"/>
            <w:vAlign w:val="center"/>
          </w:tcPr>
          <w:p w14:paraId="048B06B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投产期/达产期</w:t>
            </w:r>
          </w:p>
        </w:tc>
      </w:tr>
      <w:tr w14:paraId="55CE2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5" w:type="dxa"/>
            <w:vMerge w:val="continue"/>
            <w:tcBorders>
              <w:top w:val="nil"/>
              <w:bottom w:val="nil"/>
            </w:tcBorders>
            <w:noWrap w:val="0"/>
            <w:vAlign w:val="center"/>
          </w:tcPr>
          <w:p w14:paraId="4BA660E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4081" w:type="dxa"/>
            <w:vMerge w:val="continue"/>
            <w:tcBorders>
              <w:top w:val="nil"/>
              <w:bottom w:val="nil"/>
            </w:tcBorders>
            <w:noWrap w:val="0"/>
            <w:vAlign w:val="center"/>
          </w:tcPr>
          <w:p w14:paraId="721EA13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797" w:type="dxa"/>
            <w:vMerge w:val="continue"/>
            <w:tcBorders>
              <w:top w:val="nil"/>
            </w:tcBorders>
            <w:noWrap w:val="0"/>
            <w:vAlign w:val="center"/>
          </w:tcPr>
          <w:p w14:paraId="56AA424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037" w:type="dxa"/>
            <w:noWrap w:val="0"/>
            <w:vAlign w:val="center"/>
          </w:tcPr>
          <w:p w14:paraId="03C31FB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1</w:t>
            </w:r>
          </w:p>
        </w:tc>
        <w:tc>
          <w:tcPr>
            <w:tcW w:w="1015" w:type="dxa"/>
            <w:noWrap w:val="0"/>
            <w:vAlign w:val="center"/>
          </w:tcPr>
          <w:p w14:paraId="55C49CC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w:t>
            </w:r>
          </w:p>
        </w:tc>
        <w:tc>
          <w:tcPr>
            <w:tcW w:w="1015" w:type="dxa"/>
            <w:noWrap w:val="0"/>
            <w:vAlign w:val="center"/>
          </w:tcPr>
          <w:p w14:paraId="1547F3D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3</w:t>
            </w:r>
          </w:p>
        </w:tc>
        <w:tc>
          <w:tcPr>
            <w:tcW w:w="1015" w:type="dxa"/>
            <w:noWrap w:val="0"/>
            <w:vAlign w:val="center"/>
          </w:tcPr>
          <w:p w14:paraId="0898C9B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4</w:t>
            </w:r>
          </w:p>
        </w:tc>
        <w:tc>
          <w:tcPr>
            <w:tcW w:w="1015" w:type="dxa"/>
            <w:noWrap w:val="0"/>
            <w:vAlign w:val="center"/>
          </w:tcPr>
          <w:p w14:paraId="1F450C7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5</w:t>
            </w:r>
          </w:p>
        </w:tc>
        <w:tc>
          <w:tcPr>
            <w:tcW w:w="1015" w:type="dxa"/>
            <w:noWrap w:val="0"/>
            <w:vAlign w:val="center"/>
          </w:tcPr>
          <w:p w14:paraId="599B38E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4"/>
                <w:position w:val="1"/>
                <w:sz w:val="21"/>
                <w:szCs w:val="14"/>
              </w:rPr>
              <w:t>6～15</w:t>
            </w:r>
          </w:p>
        </w:tc>
        <w:tc>
          <w:tcPr>
            <w:tcW w:w="1186" w:type="dxa"/>
            <w:noWrap w:val="0"/>
            <w:vAlign w:val="center"/>
          </w:tcPr>
          <w:p w14:paraId="1669A3E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5"/>
                <w:sz w:val="21"/>
                <w:szCs w:val="14"/>
              </w:rPr>
              <w:t>合计</w:t>
            </w:r>
          </w:p>
        </w:tc>
      </w:tr>
      <w:tr w14:paraId="0C4E0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5" w:type="dxa"/>
            <w:vMerge w:val="continue"/>
            <w:tcBorders>
              <w:top w:val="nil"/>
            </w:tcBorders>
            <w:noWrap w:val="0"/>
            <w:vAlign w:val="center"/>
          </w:tcPr>
          <w:p w14:paraId="2A6AA16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4081" w:type="dxa"/>
            <w:vMerge w:val="continue"/>
            <w:tcBorders>
              <w:top w:val="nil"/>
            </w:tcBorders>
            <w:noWrap w:val="0"/>
            <w:vAlign w:val="center"/>
          </w:tcPr>
          <w:p w14:paraId="00DEB92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797" w:type="dxa"/>
            <w:noWrap w:val="0"/>
            <w:vAlign w:val="center"/>
          </w:tcPr>
          <w:p w14:paraId="7931C39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生产负荷</w:t>
            </w:r>
          </w:p>
        </w:tc>
        <w:tc>
          <w:tcPr>
            <w:tcW w:w="1037" w:type="dxa"/>
            <w:noWrap w:val="0"/>
            <w:vAlign w:val="center"/>
          </w:tcPr>
          <w:p w14:paraId="691BFDC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100.00%</w:t>
            </w:r>
          </w:p>
        </w:tc>
        <w:tc>
          <w:tcPr>
            <w:tcW w:w="1015" w:type="dxa"/>
            <w:noWrap w:val="0"/>
            <w:vAlign w:val="center"/>
          </w:tcPr>
          <w:p w14:paraId="453D8D6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0.00%</w:t>
            </w:r>
          </w:p>
        </w:tc>
        <w:tc>
          <w:tcPr>
            <w:tcW w:w="1015" w:type="dxa"/>
            <w:noWrap w:val="0"/>
            <w:vAlign w:val="center"/>
          </w:tcPr>
          <w:p w14:paraId="45A8562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0.00%</w:t>
            </w:r>
          </w:p>
        </w:tc>
        <w:tc>
          <w:tcPr>
            <w:tcW w:w="1015" w:type="dxa"/>
            <w:noWrap w:val="0"/>
            <w:vAlign w:val="center"/>
          </w:tcPr>
          <w:p w14:paraId="34ED98E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0.00%</w:t>
            </w:r>
          </w:p>
        </w:tc>
        <w:tc>
          <w:tcPr>
            <w:tcW w:w="1015" w:type="dxa"/>
            <w:noWrap w:val="0"/>
            <w:vAlign w:val="center"/>
          </w:tcPr>
          <w:p w14:paraId="10937EA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0.00%</w:t>
            </w:r>
          </w:p>
        </w:tc>
        <w:tc>
          <w:tcPr>
            <w:tcW w:w="1015" w:type="dxa"/>
            <w:noWrap w:val="0"/>
            <w:vAlign w:val="center"/>
          </w:tcPr>
          <w:p w14:paraId="1825E27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0.00%</w:t>
            </w:r>
          </w:p>
        </w:tc>
        <w:tc>
          <w:tcPr>
            <w:tcW w:w="1186" w:type="dxa"/>
            <w:noWrap w:val="0"/>
            <w:vAlign w:val="center"/>
          </w:tcPr>
          <w:p w14:paraId="26B1257F">
            <w:pPr>
              <w:jc w:val="center"/>
              <w:rPr>
                <w:rFonts w:ascii="Times New Roman" w:hAnsi="Times New Roman" w:eastAsia="宋体" w:cs="宋体"/>
                <w:color w:val="auto"/>
                <w:sz w:val="21"/>
              </w:rPr>
            </w:pPr>
          </w:p>
        </w:tc>
      </w:tr>
      <w:tr w14:paraId="25008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5" w:type="dxa"/>
            <w:noWrap w:val="0"/>
            <w:vAlign w:val="center"/>
          </w:tcPr>
          <w:p w14:paraId="29C9CDA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1</w:t>
            </w:r>
          </w:p>
        </w:tc>
        <w:tc>
          <w:tcPr>
            <w:tcW w:w="4081" w:type="dxa"/>
            <w:noWrap w:val="0"/>
            <w:vAlign w:val="center"/>
          </w:tcPr>
          <w:p w14:paraId="69D6540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总投资</w:t>
            </w:r>
          </w:p>
        </w:tc>
        <w:tc>
          <w:tcPr>
            <w:tcW w:w="1797" w:type="dxa"/>
            <w:noWrap w:val="0"/>
            <w:vAlign w:val="center"/>
          </w:tcPr>
          <w:p w14:paraId="22CE18A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037" w:type="dxa"/>
            <w:noWrap w:val="0"/>
            <w:vAlign w:val="center"/>
          </w:tcPr>
          <w:p w14:paraId="5D72FB3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6169.00</w:t>
            </w:r>
          </w:p>
        </w:tc>
        <w:tc>
          <w:tcPr>
            <w:tcW w:w="1015" w:type="dxa"/>
            <w:noWrap w:val="0"/>
            <w:vAlign w:val="center"/>
          </w:tcPr>
          <w:p w14:paraId="3BCEAFB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669540A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2E36F8C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0B20F04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294BA82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186" w:type="dxa"/>
            <w:noWrap w:val="0"/>
            <w:vAlign w:val="center"/>
          </w:tcPr>
          <w:p w14:paraId="631763E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6169.00</w:t>
            </w:r>
          </w:p>
        </w:tc>
      </w:tr>
      <w:tr w14:paraId="1D9E9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5" w:type="dxa"/>
            <w:noWrap w:val="0"/>
            <w:vAlign w:val="center"/>
          </w:tcPr>
          <w:p w14:paraId="01AB398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w:t>
            </w:r>
          </w:p>
        </w:tc>
        <w:tc>
          <w:tcPr>
            <w:tcW w:w="4081" w:type="dxa"/>
            <w:noWrap w:val="0"/>
            <w:vAlign w:val="center"/>
          </w:tcPr>
          <w:p w14:paraId="067B1D6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总资金规模</w:t>
            </w:r>
          </w:p>
        </w:tc>
        <w:tc>
          <w:tcPr>
            <w:tcW w:w="1797" w:type="dxa"/>
            <w:noWrap w:val="0"/>
            <w:vAlign w:val="center"/>
          </w:tcPr>
          <w:p w14:paraId="3B37E32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037" w:type="dxa"/>
            <w:noWrap w:val="0"/>
            <w:vAlign w:val="center"/>
          </w:tcPr>
          <w:p w14:paraId="61811CC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2753.33</w:t>
            </w:r>
          </w:p>
        </w:tc>
        <w:tc>
          <w:tcPr>
            <w:tcW w:w="1015" w:type="dxa"/>
            <w:noWrap w:val="0"/>
            <w:vAlign w:val="center"/>
          </w:tcPr>
          <w:p w14:paraId="45540EC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44B9583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4286ED9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09CEA51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2B6EDD0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186" w:type="dxa"/>
            <w:noWrap w:val="0"/>
            <w:vAlign w:val="center"/>
          </w:tcPr>
          <w:p w14:paraId="28C40E1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2753.33</w:t>
            </w:r>
          </w:p>
        </w:tc>
      </w:tr>
      <w:tr w14:paraId="1540C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5" w:type="dxa"/>
            <w:noWrap w:val="0"/>
            <w:vAlign w:val="center"/>
          </w:tcPr>
          <w:p w14:paraId="54A8188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1"/>
                <w:sz w:val="21"/>
                <w:szCs w:val="14"/>
              </w:rPr>
              <w:t>2.1</w:t>
            </w:r>
          </w:p>
        </w:tc>
        <w:tc>
          <w:tcPr>
            <w:tcW w:w="4081" w:type="dxa"/>
            <w:noWrap w:val="0"/>
            <w:vAlign w:val="center"/>
          </w:tcPr>
          <w:p w14:paraId="61D2666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建设投资</w:t>
            </w:r>
          </w:p>
        </w:tc>
        <w:tc>
          <w:tcPr>
            <w:tcW w:w="1797" w:type="dxa"/>
            <w:noWrap w:val="0"/>
            <w:vAlign w:val="center"/>
          </w:tcPr>
          <w:p w14:paraId="53B32A7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037" w:type="dxa"/>
            <w:noWrap w:val="0"/>
            <w:vAlign w:val="center"/>
          </w:tcPr>
          <w:p w14:paraId="0E79B3D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4559.76</w:t>
            </w:r>
          </w:p>
        </w:tc>
        <w:tc>
          <w:tcPr>
            <w:tcW w:w="1015" w:type="dxa"/>
            <w:noWrap w:val="0"/>
            <w:vAlign w:val="center"/>
          </w:tcPr>
          <w:p w14:paraId="34EA15A4">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0A858C8B">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62494A15">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01E4EF0B">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33DE1D61">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186" w:type="dxa"/>
            <w:noWrap w:val="0"/>
            <w:vAlign w:val="center"/>
          </w:tcPr>
          <w:p w14:paraId="3AFA1D1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4559.76</w:t>
            </w:r>
          </w:p>
        </w:tc>
      </w:tr>
      <w:tr w14:paraId="52D91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5" w:type="dxa"/>
            <w:noWrap w:val="0"/>
            <w:vAlign w:val="center"/>
          </w:tcPr>
          <w:p w14:paraId="4B0A81A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3"/>
                <w:sz w:val="21"/>
                <w:szCs w:val="14"/>
              </w:rPr>
              <w:t>2.3</w:t>
            </w:r>
          </w:p>
        </w:tc>
        <w:tc>
          <w:tcPr>
            <w:tcW w:w="4081" w:type="dxa"/>
            <w:noWrap w:val="0"/>
            <w:vAlign w:val="center"/>
          </w:tcPr>
          <w:p w14:paraId="75A2C64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建设期利息</w:t>
            </w:r>
          </w:p>
        </w:tc>
        <w:tc>
          <w:tcPr>
            <w:tcW w:w="1797" w:type="dxa"/>
            <w:noWrap w:val="0"/>
            <w:vAlign w:val="center"/>
          </w:tcPr>
          <w:p w14:paraId="1F35A4C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037" w:type="dxa"/>
            <w:noWrap w:val="0"/>
            <w:vAlign w:val="center"/>
          </w:tcPr>
          <w:p w14:paraId="6EA3F58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0.00</w:t>
            </w:r>
          </w:p>
        </w:tc>
        <w:tc>
          <w:tcPr>
            <w:tcW w:w="1015" w:type="dxa"/>
            <w:noWrap w:val="0"/>
            <w:vAlign w:val="center"/>
          </w:tcPr>
          <w:p w14:paraId="232F321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691F1445">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11989AD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7C5952F2">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5855A233">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186" w:type="dxa"/>
            <w:noWrap w:val="0"/>
            <w:vAlign w:val="center"/>
          </w:tcPr>
          <w:p w14:paraId="1206237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0.00</w:t>
            </w:r>
          </w:p>
        </w:tc>
      </w:tr>
      <w:tr w14:paraId="5A69B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5" w:type="dxa"/>
            <w:noWrap w:val="0"/>
            <w:vAlign w:val="center"/>
          </w:tcPr>
          <w:p w14:paraId="5487DF2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宋体"/>
                <w:color w:val="auto"/>
                <w:sz w:val="21"/>
                <w:szCs w:val="14"/>
                <w:lang w:val="en-US" w:eastAsia="zh-CN"/>
              </w:rPr>
            </w:pPr>
            <w:r>
              <w:rPr>
                <w:rFonts w:ascii="Times New Roman" w:hAnsi="Times New Roman" w:eastAsia="宋体" w:cs="宋体"/>
                <w:color w:val="auto"/>
                <w:spacing w:val="3"/>
                <w:sz w:val="21"/>
                <w:szCs w:val="14"/>
              </w:rPr>
              <w:t>2.</w:t>
            </w:r>
            <w:r>
              <w:rPr>
                <w:rFonts w:hint="eastAsia" w:ascii="Times New Roman" w:hAnsi="Times New Roman" w:eastAsia="宋体" w:cs="宋体"/>
                <w:color w:val="auto"/>
                <w:spacing w:val="3"/>
                <w:sz w:val="21"/>
                <w:szCs w:val="14"/>
                <w:lang w:val="en-US" w:eastAsia="zh-CN"/>
              </w:rPr>
              <w:t>4</w:t>
            </w:r>
          </w:p>
        </w:tc>
        <w:tc>
          <w:tcPr>
            <w:tcW w:w="4081" w:type="dxa"/>
            <w:noWrap w:val="0"/>
            <w:vAlign w:val="center"/>
          </w:tcPr>
          <w:p w14:paraId="2EA4EA1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铺底流动资金</w:t>
            </w:r>
          </w:p>
        </w:tc>
        <w:tc>
          <w:tcPr>
            <w:tcW w:w="1797" w:type="dxa"/>
            <w:noWrap w:val="0"/>
            <w:vAlign w:val="center"/>
          </w:tcPr>
          <w:p w14:paraId="1156E56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037" w:type="dxa"/>
            <w:noWrap w:val="0"/>
            <w:vAlign w:val="center"/>
          </w:tcPr>
          <w:p w14:paraId="6F3B99D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1609.24</w:t>
            </w:r>
          </w:p>
        </w:tc>
        <w:tc>
          <w:tcPr>
            <w:tcW w:w="1015" w:type="dxa"/>
            <w:noWrap w:val="0"/>
            <w:vAlign w:val="center"/>
          </w:tcPr>
          <w:p w14:paraId="3B49C8A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0A65499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2351FAB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1ACD4FCB">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641D383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186" w:type="dxa"/>
            <w:noWrap w:val="0"/>
            <w:vAlign w:val="center"/>
          </w:tcPr>
          <w:p w14:paraId="5EEB1C3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1609.24</w:t>
            </w:r>
          </w:p>
        </w:tc>
      </w:tr>
      <w:tr w14:paraId="15BCA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5" w:type="dxa"/>
            <w:noWrap w:val="0"/>
            <w:vAlign w:val="center"/>
          </w:tcPr>
          <w:p w14:paraId="3C72676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3</w:t>
            </w:r>
          </w:p>
        </w:tc>
        <w:tc>
          <w:tcPr>
            <w:tcW w:w="4081" w:type="dxa"/>
            <w:noWrap w:val="0"/>
            <w:vAlign w:val="center"/>
          </w:tcPr>
          <w:p w14:paraId="499A7F3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6"/>
                <w:sz w:val="21"/>
                <w:szCs w:val="14"/>
              </w:rPr>
              <w:t>资金筹措</w:t>
            </w:r>
          </w:p>
        </w:tc>
        <w:tc>
          <w:tcPr>
            <w:tcW w:w="1797" w:type="dxa"/>
            <w:noWrap w:val="0"/>
            <w:vAlign w:val="center"/>
          </w:tcPr>
          <w:p w14:paraId="563330B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037" w:type="dxa"/>
            <w:noWrap w:val="0"/>
            <w:vAlign w:val="center"/>
          </w:tcPr>
          <w:p w14:paraId="08AE1D1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6169.00</w:t>
            </w:r>
          </w:p>
        </w:tc>
        <w:tc>
          <w:tcPr>
            <w:tcW w:w="1015" w:type="dxa"/>
            <w:noWrap w:val="0"/>
            <w:vAlign w:val="center"/>
          </w:tcPr>
          <w:p w14:paraId="2EC2D44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3EF48A0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1A24907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0F55577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597734A3">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186" w:type="dxa"/>
            <w:noWrap w:val="0"/>
            <w:vAlign w:val="center"/>
          </w:tcPr>
          <w:p w14:paraId="5114B3E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6169.00</w:t>
            </w:r>
          </w:p>
        </w:tc>
      </w:tr>
      <w:tr w14:paraId="79E44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5" w:type="dxa"/>
            <w:noWrap w:val="0"/>
            <w:vAlign w:val="center"/>
          </w:tcPr>
          <w:p w14:paraId="68C33BC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z w:val="21"/>
                <w:szCs w:val="14"/>
              </w:rPr>
              <w:t>3.1</w:t>
            </w:r>
          </w:p>
        </w:tc>
        <w:tc>
          <w:tcPr>
            <w:tcW w:w="4081" w:type="dxa"/>
            <w:noWrap w:val="0"/>
            <w:vAlign w:val="center"/>
          </w:tcPr>
          <w:p w14:paraId="36CF059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建设资金筹集</w:t>
            </w:r>
          </w:p>
        </w:tc>
        <w:tc>
          <w:tcPr>
            <w:tcW w:w="1797" w:type="dxa"/>
            <w:noWrap w:val="0"/>
            <w:vAlign w:val="center"/>
          </w:tcPr>
          <w:p w14:paraId="410B1DD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037" w:type="dxa"/>
            <w:noWrap w:val="0"/>
            <w:vAlign w:val="center"/>
          </w:tcPr>
          <w:p w14:paraId="7E974CB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4559.76</w:t>
            </w:r>
          </w:p>
        </w:tc>
        <w:tc>
          <w:tcPr>
            <w:tcW w:w="1015" w:type="dxa"/>
            <w:noWrap w:val="0"/>
            <w:vAlign w:val="center"/>
          </w:tcPr>
          <w:p w14:paraId="7E1B2D5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5051190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4B654AE4">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18D376B9">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5DEA4D1C">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186" w:type="dxa"/>
            <w:noWrap w:val="0"/>
            <w:vAlign w:val="center"/>
          </w:tcPr>
          <w:p w14:paraId="7360A3D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4559.76</w:t>
            </w:r>
          </w:p>
        </w:tc>
      </w:tr>
      <w:tr w14:paraId="3DAFA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5" w:type="dxa"/>
            <w:noWrap w:val="0"/>
            <w:vAlign w:val="center"/>
          </w:tcPr>
          <w:p w14:paraId="4462B41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3.1.1</w:t>
            </w:r>
          </w:p>
        </w:tc>
        <w:tc>
          <w:tcPr>
            <w:tcW w:w="4081" w:type="dxa"/>
            <w:noWrap w:val="0"/>
            <w:vAlign w:val="center"/>
          </w:tcPr>
          <w:p w14:paraId="12AD1AE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其中:建设单位自筹</w:t>
            </w:r>
          </w:p>
        </w:tc>
        <w:tc>
          <w:tcPr>
            <w:tcW w:w="1797" w:type="dxa"/>
            <w:noWrap w:val="0"/>
            <w:vAlign w:val="center"/>
          </w:tcPr>
          <w:p w14:paraId="68BD530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037" w:type="dxa"/>
            <w:noWrap w:val="0"/>
            <w:vAlign w:val="center"/>
          </w:tcPr>
          <w:p w14:paraId="7B4EB39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4559.76</w:t>
            </w:r>
          </w:p>
        </w:tc>
        <w:tc>
          <w:tcPr>
            <w:tcW w:w="1015" w:type="dxa"/>
            <w:noWrap w:val="0"/>
            <w:vAlign w:val="center"/>
          </w:tcPr>
          <w:p w14:paraId="53C8B6D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1829FDF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3965714F">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5ACF7DC8">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3FBFE97A">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186" w:type="dxa"/>
            <w:noWrap w:val="0"/>
            <w:vAlign w:val="center"/>
          </w:tcPr>
          <w:p w14:paraId="0AE7DCF7">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4559.76</w:t>
            </w:r>
          </w:p>
        </w:tc>
      </w:tr>
      <w:tr w14:paraId="7BBE3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5" w:type="dxa"/>
            <w:noWrap w:val="0"/>
            <w:vAlign w:val="center"/>
          </w:tcPr>
          <w:p w14:paraId="24BC708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2"/>
                <w:sz w:val="21"/>
                <w:szCs w:val="14"/>
              </w:rPr>
              <w:t>3.2</w:t>
            </w:r>
          </w:p>
        </w:tc>
        <w:tc>
          <w:tcPr>
            <w:tcW w:w="4081" w:type="dxa"/>
            <w:noWrap w:val="0"/>
            <w:vAlign w:val="center"/>
          </w:tcPr>
          <w:p w14:paraId="31E1E99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流动资金筹集</w:t>
            </w:r>
          </w:p>
        </w:tc>
        <w:tc>
          <w:tcPr>
            <w:tcW w:w="1797" w:type="dxa"/>
            <w:noWrap w:val="0"/>
            <w:vAlign w:val="center"/>
          </w:tcPr>
          <w:p w14:paraId="2E53E93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037" w:type="dxa"/>
            <w:noWrap w:val="0"/>
            <w:vAlign w:val="center"/>
          </w:tcPr>
          <w:p w14:paraId="38B82B2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1609.24</w:t>
            </w:r>
          </w:p>
        </w:tc>
        <w:tc>
          <w:tcPr>
            <w:tcW w:w="1015" w:type="dxa"/>
            <w:noWrap w:val="0"/>
            <w:vAlign w:val="center"/>
          </w:tcPr>
          <w:p w14:paraId="25FC04C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1E6ECBB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5A149A8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6BE5DB0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79B27C18">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186" w:type="dxa"/>
            <w:noWrap w:val="0"/>
            <w:vAlign w:val="center"/>
          </w:tcPr>
          <w:p w14:paraId="50471D79">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1609.24</w:t>
            </w:r>
          </w:p>
        </w:tc>
      </w:tr>
      <w:tr w14:paraId="724C7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5" w:type="dxa"/>
            <w:noWrap w:val="0"/>
            <w:vAlign w:val="center"/>
          </w:tcPr>
          <w:p w14:paraId="0998FB3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3.2.1</w:t>
            </w:r>
          </w:p>
        </w:tc>
        <w:tc>
          <w:tcPr>
            <w:tcW w:w="4081" w:type="dxa"/>
            <w:noWrap w:val="0"/>
            <w:vAlign w:val="center"/>
          </w:tcPr>
          <w:p w14:paraId="7923D6D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7"/>
                <w:sz w:val="21"/>
                <w:szCs w:val="14"/>
              </w:rPr>
              <w:t>其中:铺底流动资金自筹(30%)</w:t>
            </w:r>
          </w:p>
        </w:tc>
        <w:tc>
          <w:tcPr>
            <w:tcW w:w="1797" w:type="dxa"/>
            <w:noWrap w:val="0"/>
            <w:vAlign w:val="center"/>
          </w:tcPr>
          <w:p w14:paraId="7EB1C95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037" w:type="dxa"/>
            <w:noWrap w:val="0"/>
            <w:vAlign w:val="center"/>
          </w:tcPr>
          <w:p w14:paraId="073D9D6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482.77</w:t>
            </w:r>
          </w:p>
        </w:tc>
        <w:tc>
          <w:tcPr>
            <w:tcW w:w="1015" w:type="dxa"/>
            <w:noWrap w:val="0"/>
            <w:vAlign w:val="center"/>
          </w:tcPr>
          <w:p w14:paraId="57D1170D">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4A564D2C">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0324B2F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31484DBF">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0769BC83">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186" w:type="dxa"/>
            <w:noWrap w:val="0"/>
            <w:vAlign w:val="center"/>
          </w:tcPr>
          <w:p w14:paraId="02854C10">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482.77</w:t>
            </w:r>
          </w:p>
        </w:tc>
      </w:tr>
      <w:tr w14:paraId="7245C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95" w:type="dxa"/>
            <w:noWrap w:val="0"/>
            <w:vAlign w:val="center"/>
          </w:tcPr>
          <w:p w14:paraId="1477CFC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3.2.2</w:t>
            </w:r>
          </w:p>
        </w:tc>
        <w:tc>
          <w:tcPr>
            <w:tcW w:w="4081" w:type="dxa"/>
            <w:noWrap w:val="0"/>
            <w:vAlign w:val="center"/>
          </w:tcPr>
          <w:p w14:paraId="36E49C1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szCs w:val="14"/>
              </w:rPr>
            </w:pPr>
            <w:r>
              <w:rPr>
                <w:rFonts w:ascii="Times New Roman" w:hAnsi="Times New Roman" w:eastAsia="宋体" w:cs="宋体"/>
                <w:color w:val="auto"/>
                <w:spacing w:val="8"/>
                <w:sz w:val="21"/>
                <w:szCs w:val="14"/>
              </w:rPr>
              <w:t>其余流动资金筹集</w:t>
            </w:r>
          </w:p>
        </w:tc>
        <w:tc>
          <w:tcPr>
            <w:tcW w:w="1797" w:type="dxa"/>
            <w:noWrap w:val="0"/>
            <w:vAlign w:val="center"/>
          </w:tcPr>
          <w:p w14:paraId="11ADB63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宋体" w:cs="宋体"/>
                <w:color w:val="auto"/>
                <w:sz w:val="21"/>
              </w:rPr>
            </w:pPr>
          </w:p>
        </w:tc>
        <w:tc>
          <w:tcPr>
            <w:tcW w:w="1037" w:type="dxa"/>
            <w:noWrap w:val="0"/>
            <w:vAlign w:val="center"/>
          </w:tcPr>
          <w:p w14:paraId="16DE0D81">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1126.47</w:t>
            </w:r>
          </w:p>
        </w:tc>
        <w:tc>
          <w:tcPr>
            <w:tcW w:w="1015" w:type="dxa"/>
            <w:noWrap w:val="0"/>
            <w:vAlign w:val="center"/>
          </w:tcPr>
          <w:p w14:paraId="65779026">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2B8C028A">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4A1E46E2">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62F3D54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015" w:type="dxa"/>
            <w:noWrap w:val="0"/>
            <w:vAlign w:val="center"/>
          </w:tcPr>
          <w:p w14:paraId="0F53FB24">
            <w:pPr>
              <w:keepNext w:val="0"/>
              <w:keepLines w:val="0"/>
              <w:widowControl/>
              <w:suppressLineNumbers w:val="0"/>
              <w:jc w:val="center"/>
              <w:textAlignment w:val="center"/>
              <w:rPr>
                <w:rFonts w:ascii="Times New Roman" w:hAnsi="Times New Roman" w:eastAsia="宋体" w:cs="宋体"/>
                <w:color w:val="auto"/>
                <w:sz w:val="21"/>
              </w:rPr>
            </w:pPr>
            <w:r>
              <w:rPr>
                <w:rFonts w:hint="default" w:ascii="Times New Roman" w:hAnsi="Times New Roman" w:eastAsia="宋体" w:cs="宋体"/>
                <w:i w:val="0"/>
                <w:iCs w:val="0"/>
                <w:snapToGrid w:val="0"/>
                <w:color w:val="auto"/>
                <w:kern w:val="0"/>
                <w:sz w:val="21"/>
                <w:szCs w:val="21"/>
                <w:u w:val="none"/>
                <w:lang w:val="en-US" w:eastAsia="zh-CN" w:bidi="ar"/>
              </w:rPr>
              <w:t>0</w:t>
            </w:r>
          </w:p>
        </w:tc>
        <w:tc>
          <w:tcPr>
            <w:tcW w:w="1186" w:type="dxa"/>
            <w:noWrap w:val="0"/>
            <w:vAlign w:val="center"/>
          </w:tcPr>
          <w:p w14:paraId="56825D84">
            <w:pPr>
              <w:keepNext w:val="0"/>
              <w:keepLines w:val="0"/>
              <w:widowControl/>
              <w:suppressLineNumbers w:val="0"/>
              <w:jc w:val="center"/>
              <w:textAlignment w:val="center"/>
              <w:rPr>
                <w:rFonts w:ascii="Times New Roman" w:hAnsi="Times New Roman" w:eastAsia="宋体" w:cs="宋体"/>
                <w:color w:val="auto"/>
                <w:sz w:val="21"/>
                <w:szCs w:val="14"/>
              </w:rPr>
            </w:pPr>
            <w:r>
              <w:rPr>
                <w:rFonts w:hint="default" w:ascii="Times New Roman" w:hAnsi="Times New Roman" w:eastAsia="宋体" w:cs="宋体"/>
                <w:i w:val="0"/>
                <w:iCs w:val="0"/>
                <w:snapToGrid w:val="0"/>
                <w:color w:val="auto"/>
                <w:kern w:val="0"/>
                <w:sz w:val="21"/>
                <w:szCs w:val="21"/>
                <w:u w:val="none"/>
                <w:lang w:val="en-US" w:eastAsia="zh-CN" w:bidi="ar"/>
              </w:rPr>
              <w:t>1126.47</w:t>
            </w:r>
          </w:p>
        </w:tc>
      </w:tr>
    </w:tbl>
    <w:p w14:paraId="6945DAA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right="0"/>
        <w:jc w:val="left"/>
        <w:textAlignment w:val="baseline"/>
        <w:rPr>
          <w:rFonts w:hint="default" w:ascii="Times New Roman" w:hAnsi="Times New Roman" w:eastAsia="宋体" w:cs="宋体"/>
          <w:snapToGrid w:val="0"/>
          <w:color w:val="auto"/>
          <w:kern w:val="0"/>
          <w:sz w:val="24"/>
          <w:szCs w:val="24"/>
          <w:lang w:val="en-US" w:eastAsia="zh-CN" w:bidi="ar"/>
        </w:rPr>
      </w:pPr>
    </w:p>
    <w:sectPr>
      <w:headerReference r:id="rId33" w:type="default"/>
      <w:footerReference r:id="rId34" w:type="default"/>
      <w:pgSz w:w="16838" w:h="11906" w:orient="landscape"/>
      <w:pgMar w:top="1800" w:right="1440" w:bottom="1800" w:left="144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Garamond">
    <w:altName w:val="RomanS"/>
    <w:panose1 w:val="02020404030301010803"/>
    <w:charset w:val="00"/>
    <w:family w:val="roman"/>
    <w:pitch w:val="default"/>
    <w:sig w:usb0="00000000" w:usb1="00000000" w:usb2="00000000" w:usb3="00000000" w:csb0="0000009F" w:csb1="DFD70000"/>
  </w:font>
  <w:font w:name="RomanS">
    <w:panose1 w:val="02000400000000000000"/>
    <w:charset w:val="00"/>
    <w:family w:val="auto"/>
    <w:pitch w:val="default"/>
    <w:sig w:usb0="00000207" w:usb1="00000000" w:usb2="00000000" w:usb3="00000000" w:csb0="0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8B34C">
    <w:pPr>
      <w:spacing w:line="17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7F374">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DD7F374">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7D76A">
    <w:pPr>
      <w:spacing w:line="184" w:lineRule="auto"/>
      <w:ind w:left="6958"/>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326B9E">
                          <w:pPr>
                            <w:pStyle w:val="1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E326B9E">
                    <w:pPr>
                      <w:pStyle w:val="1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BACD1">
    <w:pPr>
      <w:spacing w:line="184" w:lineRule="auto"/>
      <w:ind w:left="6958"/>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B752C">
                          <w:pPr>
                            <w:pStyle w:val="15"/>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A4B752C">
                    <w:pPr>
                      <w:pStyle w:val="15"/>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9EDF7">
    <w:pPr>
      <w:spacing w:line="184" w:lineRule="auto"/>
      <w:ind w:left="6958"/>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F4339">
                          <w:pPr>
                            <w:pStyle w:val="1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93F4339">
                    <w:pPr>
                      <w:pStyle w:val="1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78070">
    <w:pPr>
      <w:spacing w:line="184" w:lineRule="auto"/>
      <w:ind w:left="6958"/>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E9F4CD">
                          <w:pPr>
                            <w:pStyle w:val="15"/>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3AE9F4CD">
                    <w:pPr>
                      <w:pStyle w:val="15"/>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AA64A">
    <w:pPr>
      <w:spacing w:line="184" w:lineRule="auto"/>
      <w:ind w:left="6958"/>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419AB">
                          <w:pPr>
                            <w:pStyle w:val="15"/>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45419AB">
                    <w:pPr>
                      <w:pStyle w:val="15"/>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72FF1">
    <w:pPr>
      <w:spacing w:line="184" w:lineRule="auto"/>
      <w:ind w:left="6958"/>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EBC6AA">
                          <w:pPr>
                            <w:pStyle w:val="15"/>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26EBC6AA">
                    <w:pPr>
                      <w:pStyle w:val="15"/>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03C30">
    <w:pPr>
      <w:spacing w:line="184" w:lineRule="auto"/>
      <w:ind w:left="6958"/>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5C009">
                          <w:pPr>
                            <w:pStyle w:val="15"/>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275C009">
                    <w:pPr>
                      <w:pStyle w:val="15"/>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E0EE1">
    <w:pPr>
      <w:spacing w:line="184" w:lineRule="auto"/>
      <w:ind w:left="6962"/>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869298">
                          <w:pPr>
                            <w:pStyle w:val="15"/>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D869298">
                    <w:pPr>
                      <w:pStyle w:val="15"/>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7EC41">
    <w:pPr>
      <w:spacing w:line="184" w:lineRule="auto"/>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A37353">
                          <w:pPr>
                            <w:pStyle w:val="15"/>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8A37353">
                    <w:pPr>
                      <w:pStyle w:val="15"/>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05DBA">
    <w:pPr>
      <w:spacing w:line="176" w:lineRule="auto"/>
      <w:ind w:left="405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88FCB">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AF88FCB">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0AF72">
    <w:pPr>
      <w:spacing w:line="17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E6D49">
                          <w:pPr>
                            <w:pStyle w:val="15"/>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2CE6D49">
                    <w:pPr>
                      <w:pStyle w:val="15"/>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EDB6A">
    <w:pPr>
      <w:spacing w:line="17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F5F00">
                          <w:pPr>
                            <w:pStyle w:val="1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50F5F00">
                    <w:pPr>
                      <w:pStyle w:val="15"/>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EDBCC">
    <w:pPr>
      <w:spacing w:line="17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334A83">
                          <w:pPr>
                            <w:pStyle w:val="1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E334A83">
                    <w:pPr>
                      <w:pStyle w:val="1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53622">
    <w:pPr>
      <w:spacing w:line="176" w:lineRule="auto"/>
      <w:ind w:left="45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BD7B9">
                          <w:pPr>
                            <w:pStyle w:val="15"/>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86BD7B9">
                    <w:pPr>
                      <w:pStyle w:val="15"/>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545BB">
    <w:pPr>
      <w:spacing w:line="17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63025">
                          <w:pPr>
                            <w:pStyle w:val="1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76A63025">
                    <w:pPr>
                      <w:pStyle w:val="1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A6A35">
    <w:pPr>
      <w:spacing w:line="184" w:lineRule="auto"/>
      <w:ind w:left="4071"/>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35EBE">
                          <w:pPr>
                            <w:pStyle w:val="1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5F35EBE">
                    <w:pPr>
                      <w:pStyle w:val="1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7C530">
    <w:pPr>
      <w:spacing w:line="184" w:lineRule="auto"/>
      <w:ind w:left="4071"/>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27B6A9">
                          <w:pPr>
                            <w:pStyle w:val="15"/>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627B6A9">
                    <w:pPr>
                      <w:pStyle w:val="15"/>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9F1BE">
    <w:pPr>
      <w:pStyle w:val="16"/>
      <w:pBdr>
        <w:bottom w:val="thinThickSmallGap" w:color="auto" w:sz="12" w:space="1"/>
      </w:pBdr>
      <w:jc w:val="center"/>
      <w:rPr>
        <w:rFonts w:hint="default"/>
        <w:sz w:val="16"/>
        <w:szCs w:val="20"/>
        <w:lang w:val="en-US"/>
      </w:rPr>
    </w:pPr>
    <w:r>
      <w:rPr>
        <w:rFonts w:hint="eastAsia"/>
        <w:sz w:val="16"/>
        <w:szCs w:val="20"/>
        <w:lang w:val="en-US" w:eastAsia="zh-CN"/>
      </w:rPr>
      <w:t>甘肃亿佳源农业发展有限公司马铃薯淀粉加工汁水综合利用试点工作实施方案</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DBE29">
    <w:pPr>
      <w:pStyle w:val="16"/>
      <w:pBdr>
        <w:bottom w:val="thinThickSmallGap" w:color="auto" w:sz="12" w:space="1"/>
      </w:pBdr>
      <w:jc w:val="center"/>
    </w:pPr>
    <w:r>
      <w:rPr>
        <w:rFonts w:hint="eastAsia"/>
        <w:sz w:val="16"/>
        <w:szCs w:val="20"/>
        <w:lang w:val="en-US" w:eastAsia="zh-CN"/>
      </w:rPr>
      <w:t>甘肃亿佳源农业发展有限公司马铃薯淀粉加工汁水综合利用试点工作实施方案</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AE1DD">
    <w:pPr>
      <w:pStyle w:val="16"/>
      <w:pBdr>
        <w:bottom w:val="thinThickSmallGap" w:color="auto" w:sz="12" w:space="1"/>
      </w:pBdr>
      <w:jc w:val="center"/>
    </w:pPr>
    <w:r>
      <w:rPr>
        <w:rFonts w:hint="eastAsia"/>
        <w:sz w:val="16"/>
        <w:szCs w:val="20"/>
        <w:lang w:val="en-US" w:eastAsia="zh-CN"/>
      </w:rPr>
      <w:t>甘肃亿佳源农业发展有限公司马铃薯淀粉加工汁水综合利用试点工作实施方案</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DEC90">
    <w:pPr>
      <w:pStyle w:val="16"/>
      <w:pBdr>
        <w:bottom w:val="thinThickSmallGap" w:color="auto" w:sz="12" w:space="1"/>
      </w:pBdr>
      <w:jc w:val="center"/>
    </w:pPr>
    <w:r>
      <w:rPr>
        <w:rFonts w:hint="eastAsia"/>
        <w:sz w:val="16"/>
        <w:szCs w:val="20"/>
        <w:lang w:val="en-US" w:eastAsia="zh-CN"/>
      </w:rPr>
      <w:t>甘肃亿佳源农业发展有限公司马铃薯淀粉加工汁水综合利用试点工作实施方案</w:t>
    </w:r>
  </w:p>
  <w:p w14:paraId="115BD135">
    <w:pPr>
      <w:pStyle w:val="1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5DD24">
    <w:pPr>
      <w:pStyle w:val="16"/>
      <w:pBdr>
        <w:bottom w:val="thinThickSmallGap" w:color="auto" w:sz="12" w:space="1"/>
      </w:pBdr>
      <w:jc w:val="center"/>
    </w:pPr>
    <w:r>
      <w:rPr>
        <w:rFonts w:hint="eastAsia"/>
        <w:sz w:val="16"/>
        <w:szCs w:val="20"/>
        <w:lang w:val="en-US" w:eastAsia="zh-CN"/>
      </w:rPr>
      <w:t>甘肃亿佳源农业发展有限公司马铃薯淀粉加工汁水综合利用试点工作实施方案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9067F">
    <w:pPr>
      <w:pStyle w:val="16"/>
      <w:pBdr>
        <w:bottom w:val="thinThickSmallGap" w:color="auto" w:sz="12" w:space="1"/>
      </w:pBdr>
      <w:jc w:val="center"/>
    </w:pPr>
    <w:r>
      <w:rPr>
        <w:rFonts w:hint="eastAsia"/>
        <w:sz w:val="16"/>
        <w:szCs w:val="20"/>
        <w:lang w:val="en-US" w:eastAsia="zh-CN"/>
      </w:rPr>
      <w:t>甘肃亿佳源农业发展有限公司马铃薯淀粉加工汁水综合利用试点工作实施方案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44087">
    <w:pPr>
      <w:pStyle w:val="16"/>
      <w:pBdr>
        <w:bottom w:val="thinThickSmallGap" w:color="auto" w:sz="12" w:space="1"/>
      </w:pBdr>
      <w:jc w:val="center"/>
    </w:pPr>
    <w:r>
      <w:rPr>
        <w:rFonts w:hint="eastAsia"/>
        <w:sz w:val="16"/>
        <w:szCs w:val="20"/>
        <w:lang w:val="en-US" w:eastAsia="zh-CN"/>
      </w:rPr>
      <w:t>甘肃亿佳源农业发展有限公司马铃薯淀粉加工汁水综合利用试点工作实施方案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B1C2B">
    <w:pPr>
      <w:pStyle w:val="16"/>
      <w:pBdr>
        <w:bottom w:val="thinThickSmallGap" w:color="auto" w:sz="12" w:space="1"/>
      </w:pBdr>
      <w:jc w:val="center"/>
    </w:pPr>
    <w:r>
      <w:rPr>
        <w:rFonts w:hint="eastAsia"/>
        <w:sz w:val="16"/>
        <w:szCs w:val="20"/>
        <w:lang w:val="en-US" w:eastAsia="zh-CN"/>
      </w:rPr>
      <w:t>甘肃亿佳源农业发展有限公司马铃薯淀粉加工汁水综合利用试点工作实施方案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E455">
    <w:pPr>
      <w:pStyle w:val="16"/>
      <w:pBdr>
        <w:bottom w:val="thinThickSmallGap" w:color="auto" w:sz="12" w:space="1"/>
      </w:pBdr>
      <w:jc w:val="center"/>
    </w:pPr>
    <w:r>
      <w:rPr>
        <w:rFonts w:hint="eastAsia"/>
        <w:sz w:val="16"/>
        <w:szCs w:val="20"/>
        <w:lang w:val="en-US" w:eastAsia="zh-CN"/>
      </w:rPr>
      <w:t>甘肃亿佳源农业发展有限公司马铃薯淀粉加工汁水综合利用试点工作实施方案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84311">
    <w:pPr>
      <w:pStyle w:val="16"/>
      <w:pBdr>
        <w:bottom w:val="thinThickSmallGap" w:color="auto" w:sz="12" w:space="1"/>
      </w:pBdr>
      <w:jc w:val="center"/>
    </w:pPr>
    <w:r>
      <w:rPr>
        <w:rFonts w:hint="eastAsia"/>
        <w:sz w:val="16"/>
        <w:szCs w:val="20"/>
        <w:lang w:val="en-US" w:eastAsia="zh-CN"/>
      </w:rPr>
      <w:t>甘肃亿佳源农业发展有限公司马铃薯淀粉加工汁水综合利用试点工作实施方案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C30A9">
    <w:pPr>
      <w:pStyle w:val="16"/>
      <w:pBdr>
        <w:bottom w:val="thinThickSmallGap" w:color="auto" w:sz="12" w:space="1"/>
      </w:pBdr>
      <w:jc w:val="center"/>
    </w:pPr>
    <w:r>
      <w:rPr>
        <w:rFonts w:hint="eastAsia"/>
        <w:sz w:val="16"/>
        <w:szCs w:val="20"/>
        <w:lang w:val="en-US" w:eastAsia="zh-CN"/>
      </w:rPr>
      <w:t>甘肃亿佳源农业发展有限公司马铃薯淀粉加工汁水综合利用试点工作实施方案</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448C3">
    <w:pPr>
      <w:pStyle w:val="16"/>
      <w:pBdr>
        <w:bottom w:val="thinThickSmallGap" w:color="auto" w:sz="12" w:space="1"/>
      </w:pBdr>
      <w:jc w:val="center"/>
    </w:pPr>
    <w:r>
      <w:rPr>
        <w:rFonts w:hint="eastAsia"/>
        <w:sz w:val="16"/>
        <w:szCs w:val="20"/>
        <w:lang w:val="en-US" w:eastAsia="zh-CN"/>
      </w:rPr>
      <w:t>甘肃亿佳源农业发展有限公司马铃薯淀粉加工汁水综合利用试点工作实施方案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AB409E"/>
    <w:multiLevelType w:val="singleLevel"/>
    <w:tmpl w:val="90AB409E"/>
    <w:lvl w:ilvl="0" w:tentative="0">
      <w:start w:val="17"/>
      <w:numFmt w:val="chineseCounting"/>
      <w:suff w:val="space"/>
      <w:lvlText w:val="第%1章"/>
      <w:lvlJc w:val="left"/>
      <w:rPr>
        <w:rFonts w:hint="eastAsia"/>
      </w:rPr>
    </w:lvl>
  </w:abstractNum>
  <w:abstractNum w:abstractNumId="1">
    <w:nsid w:val="91F37815"/>
    <w:multiLevelType w:val="singleLevel"/>
    <w:tmpl w:val="91F37815"/>
    <w:lvl w:ilvl="0" w:tentative="0">
      <w:start w:val="1"/>
      <w:numFmt w:val="decimal"/>
      <w:suff w:val="nothing"/>
      <w:lvlText w:val="%1"/>
      <w:lvlJc w:val="left"/>
      <w:pPr>
        <w:ind w:left="0" w:firstLine="0"/>
      </w:pPr>
      <w:rPr>
        <w:rFonts w:hint="default"/>
      </w:rPr>
    </w:lvl>
  </w:abstractNum>
  <w:abstractNum w:abstractNumId="2">
    <w:nsid w:val="A1F81BB7"/>
    <w:multiLevelType w:val="singleLevel"/>
    <w:tmpl w:val="A1F81BB7"/>
    <w:lvl w:ilvl="0" w:tentative="0">
      <w:start w:val="2"/>
      <w:numFmt w:val="decimal"/>
      <w:suff w:val="nothing"/>
      <w:lvlText w:val="（%1）"/>
      <w:lvlJc w:val="left"/>
    </w:lvl>
  </w:abstractNum>
  <w:abstractNum w:abstractNumId="3">
    <w:nsid w:val="0BD84CE5"/>
    <w:multiLevelType w:val="singleLevel"/>
    <w:tmpl w:val="0BD84CE5"/>
    <w:lvl w:ilvl="0" w:tentative="0">
      <w:start w:val="2"/>
      <w:numFmt w:val="decimal"/>
      <w:suff w:val="nothing"/>
      <w:lvlText w:val="（%1）"/>
      <w:lvlJc w:val="left"/>
    </w:lvl>
  </w:abstractNum>
  <w:abstractNum w:abstractNumId="4">
    <w:nsid w:val="262E19BA"/>
    <w:multiLevelType w:val="singleLevel"/>
    <w:tmpl w:val="262E19BA"/>
    <w:lvl w:ilvl="0" w:tentative="0">
      <w:start w:val="1"/>
      <w:numFmt w:val="decimal"/>
      <w:suff w:val="nothing"/>
      <w:lvlText w:val="%1"/>
      <w:lvlJc w:val="left"/>
      <w:pPr>
        <w:ind w:left="0" w:firstLine="0"/>
      </w:pPr>
      <w:rPr>
        <w:rFonts w:hint="default"/>
      </w:rPr>
    </w:lvl>
  </w:abstractNum>
  <w:abstractNum w:abstractNumId="5">
    <w:nsid w:val="38A54E79"/>
    <w:multiLevelType w:val="singleLevel"/>
    <w:tmpl w:val="38A54E79"/>
    <w:lvl w:ilvl="0" w:tentative="0">
      <w:start w:val="1"/>
      <w:numFmt w:val="decimal"/>
      <w:suff w:val="nothing"/>
      <w:lvlText w:val="%1"/>
      <w:lvlJc w:val="left"/>
      <w:pPr>
        <w:ind w:left="0" w:firstLine="0"/>
      </w:pPr>
      <w:rPr>
        <w:rFonts w:hint="default"/>
      </w:r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0B4A4D"/>
    <w:rsid w:val="00100BA1"/>
    <w:rsid w:val="00D736A4"/>
    <w:rsid w:val="02156861"/>
    <w:rsid w:val="038B6410"/>
    <w:rsid w:val="04003C23"/>
    <w:rsid w:val="040A0D70"/>
    <w:rsid w:val="04C62A03"/>
    <w:rsid w:val="04E865C6"/>
    <w:rsid w:val="059F136A"/>
    <w:rsid w:val="05CC2E94"/>
    <w:rsid w:val="071010C3"/>
    <w:rsid w:val="07504EC1"/>
    <w:rsid w:val="08A90D2D"/>
    <w:rsid w:val="095D0464"/>
    <w:rsid w:val="0A207715"/>
    <w:rsid w:val="0A770392"/>
    <w:rsid w:val="0B2F5B98"/>
    <w:rsid w:val="0D0E6B40"/>
    <w:rsid w:val="0DE46363"/>
    <w:rsid w:val="0DF86D49"/>
    <w:rsid w:val="0E314937"/>
    <w:rsid w:val="0F617197"/>
    <w:rsid w:val="102A3937"/>
    <w:rsid w:val="103C6A7C"/>
    <w:rsid w:val="115B46C0"/>
    <w:rsid w:val="13731666"/>
    <w:rsid w:val="140137CB"/>
    <w:rsid w:val="140A2867"/>
    <w:rsid w:val="14B977EE"/>
    <w:rsid w:val="16E85228"/>
    <w:rsid w:val="177E1394"/>
    <w:rsid w:val="1902681A"/>
    <w:rsid w:val="19AC2A56"/>
    <w:rsid w:val="1A1D0C33"/>
    <w:rsid w:val="1C9D31E1"/>
    <w:rsid w:val="1D0D0336"/>
    <w:rsid w:val="1DB976BD"/>
    <w:rsid w:val="1E215538"/>
    <w:rsid w:val="20F546B7"/>
    <w:rsid w:val="22BB5089"/>
    <w:rsid w:val="22F015DA"/>
    <w:rsid w:val="23A027B7"/>
    <w:rsid w:val="246A53BC"/>
    <w:rsid w:val="27257379"/>
    <w:rsid w:val="278E4F1E"/>
    <w:rsid w:val="296248B4"/>
    <w:rsid w:val="29FF7106"/>
    <w:rsid w:val="2A8E7E1A"/>
    <w:rsid w:val="2D233DAE"/>
    <w:rsid w:val="2D7957AB"/>
    <w:rsid w:val="2D9B26F4"/>
    <w:rsid w:val="2E0821F1"/>
    <w:rsid w:val="2E1D2AF1"/>
    <w:rsid w:val="2E231338"/>
    <w:rsid w:val="311B1F21"/>
    <w:rsid w:val="31DA4126"/>
    <w:rsid w:val="3320382D"/>
    <w:rsid w:val="36341386"/>
    <w:rsid w:val="3809382C"/>
    <w:rsid w:val="387E6AA8"/>
    <w:rsid w:val="398947CB"/>
    <w:rsid w:val="39CE78FF"/>
    <w:rsid w:val="3A8F66CC"/>
    <w:rsid w:val="3D18759F"/>
    <w:rsid w:val="3D2335BA"/>
    <w:rsid w:val="3EE06F23"/>
    <w:rsid w:val="3F3034E7"/>
    <w:rsid w:val="41B5321E"/>
    <w:rsid w:val="4262109B"/>
    <w:rsid w:val="42D63FC3"/>
    <w:rsid w:val="4470139D"/>
    <w:rsid w:val="44FE3C75"/>
    <w:rsid w:val="45121030"/>
    <w:rsid w:val="45E1524B"/>
    <w:rsid w:val="466C2476"/>
    <w:rsid w:val="47D97FDF"/>
    <w:rsid w:val="498955FF"/>
    <w:rsid w:val="49F41101"/>
    <w:rsid w:val="4A2E1324"/>
    <w:rsid w:val="4C5C55AD"/>
    <w:rsid w:val="4C6205A3"/>
    <w:rsid w:val="4C6D080A"/>
    <w:rsid w:val="4C83051A"/>
    <w:rsid w:val="4CA54EC7"/>
    <w:rsid w:val="4D1473C4"/>
    <w:rsid w:val="4E7520E4"/>
    <w:rsid w:val="4E9E6450"/>
    <w:rsid w:val="5259040A"/>
    <w:rsid w:val="525D6247"/>
    <w:rsid w:val="52A07B83"/>
    <w:rsid w:val="55196883"/>
    <w:rsid w:val="568737B1"/>
    <w:rsid w:val="56D10ECF"/>
    <w:rsid w:val="56D91FF5"/>
    <w:rsid w:val="573963A5"/>
    <w:rsid w:val="59452DCF"/>
    <w:rsid w:val="5C984004"/>
    <w:rsid w:val="5D9B5CC3"/>
    <w:rsid w:val="5E2D4789"/>
    <w:rsid w:val="5F4B1DA4"/>
    <w:rsid w:val="5FFD3D35"/>
    <w:rsid w:val="608E6815"/>
    <w:rsid w:val="61122ACD"/>
    <w:rsid w:val="617050B9"/>
    <w:rsid w:val="64B634DD"/>
    <w:rsid w:val="64CD68F1"/>
    <w:rsid w:val="6578278E"/>
    <w:rsid w:val="65A343D4"/>
    <w:rsid w:val="67144738"/>
    <w:rsid w:val="689D47FB"/>
    <w:rsid w:val="69A14616"/>
    <w:rsid w:val="6AA71B4A"/>
    <w:rsid w:val="6AF051DE"/>
    <w:rsid w:val="6B423F0B"/>
    <w:rsid w:val="6B511F7C"/>
    <w:rsid w:val="6C061855"/>
    <w:rsid w:val="6C285160"/>
    <w:rsid w:val="6CC420B0"/>
    <w:rsid w:val="6D3D6964"/>
    <w:rsid w:val="6F1B698E"/>
    <w:rsid w:val="709C1A26"/>
    <w:rsid w:val="70FF1D24"/>
    <w:rsid w:val="72BB015E"/>
    <w:rsid w:val="72EB4765"/>
    <w:rsid w:val="74A013B9"/>
    <w:rsid w:val="78515BD6"/>
    <w:rsid w:val="79710BC7"/>
    <w:rsid w:val="7A0436D7"/>
    <w:rsid w:val="7ABE6A3D"/>
    <w:rsid w:val="7BE032BD"/>
    <w:rsid w:val="7D0B4A4D"/>
    <w:rsid w:val="7D7665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6">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7">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8">
    <w:name w:val="heading 7"/>
    <w:basedOn w:val="1"/>
    <w:next w:val="1"/>
    <w:qFormat/>
    <w:uiPriority w:val="1"/>
    <w:pPr>
      <w:ind w:left="840"/>
      <w:outlineLvl w:val="6"/>
    </w:pPr>
    <w:rPr>
      <w:b/>
      <w:bCs/>
      <w:szCs w:val="24"/>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Default"/>
    <w:basedOn w:val="3"/>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
    <w:name w:val="纯文本1"/>
    <w:basedOn w:val="1"/>
    <w:qFormat/>
    <w:uiPriority w:val="0"/>
    <w:pPr>
      <w:autoSpaceDE w:val="0"/>
      <w:autoSpaceDN w:val="0"/>
      <w:adjustRightInd w:val="0"/>
      <w:spacing w:line="240" w:lineRule="auto"/>
      <w:ind w:firstLine="0" w:firstLineChars="0"/>
      <w:textAlignment w:val="baseline"/>
    </w:pPr>
    <w:rPr>
      <w:rFonts w:ascii="宋体" w:hAnsi="Tms Rmn"/>
      <w:kern w:val="0"/>
      <w:sz w:val="21"/>
      <w:szCs w:val="20"/>
    </w:rPr>
  </w:style>
  <w:style w:type="paragraph" w:styleId="9">
    <w:name w:val="Normal Indent"/>
    <w:basedOn w:val="1"/>
    <w:next w:val="10"/>
    <w:qFormat/>
    <w:uiPriority w:val="0"/>
    <w:pPr>
      <w:ind w:firstLine="420"/>
    </w:pPr>
    <w:rPr>
      <w:rFonts w:ascii="Garamond" w:hAnsi="Garamond"/>
      <w:kern w:val="0"/>
      <w:sz w:val="20"/>
      <w:szCs w:val="20"/>
    </w:rPr>
  </w:style>
  <w:style w:type="paragraph" w:styleId="10">
    <w:name w:val="Body Text First Indent 2"/>
    <w:basedOn w:val="11"/>
    <w:next w:val="1"/>
    <w:qFormat/>
    <w:uiPriority w:val="0"/>
    <w:pPr>
      <w:autoSpaceDE w:val="0"/>
      <w:autoSpaceDN w:val="0"/>
      <w:adjustRightInd w:val="0"/>
      <w:spacing w:after="0" w:line="360" w:lineRule="auto"/>
      <w:ind w:left="0" w:leftChars="0" w:firstLine="420" w:firstLineChars="200"/>
    </w:pPr>
    <w:rPr>
      <w:rFonts w:ascii="宋体" w:hAnsi="宋体"/>
      <w:szCs w:val="21"/>
      <w:lang w:val="zh-CN"/>
    </w:rPr>
  </w:style>
  <w:style w:type="paragraph" w:styleId="11">
    <w:name w:val="Body Text Indent"/>
    <w:basedOn w:val="1"/>
    <w:next w:val="1"/>
    <w:qFormat/>
    <w:uiPriority w:val="0"/>
    <w:pPr>
      <w:spacing w:after="120"/>
      <w:ind w:left="420" w:leftChars="200"/>
    </w:pPr>
    <w:rPr>
      <w:rFonts w:ascii="Times New Roman" w:hAnsi="Times New Roman" w:eastAsia="宋体" w:cs="Times New Roman"/>
      <w:kern w:val="0"/>
      <w:sz w:val="24"/>
      <w:szCs w:val="20"/>
    </w:rPr>
  </w:style>
  <w:style w:type="paragraph" w:styleId="12">
    <w:name w:val="Body Text"/>
    <w:basedOn w:val="1"/>
    <w:semiHidden/>
    <w:qFormat/>
    <w:uiPriority w:val="0"/>
    <w:rPr>
      <w:rFonts w:ascii="Arial" w:hAnsi="Arial" w:eastAsia="Arial" w:cs="Arial"/>
      <w:sz w:val="21"/>
      <w:szCs w:val="21"/>
      <w:lang w:val="en-US" w:eastAsia="en-US" w:bidi="ar-SA"/>
    </w:rPr>
  </w:style>
  <w:style w:type="paragraph" w:styleId="13">
    <w:name w:val="Block Text"/>
    <w:basedOn w:val="1"/>
    <w:next w:val="1"/>
    <w:qFormat/>
    <w:uiPriority w:val="0"/>
    <w:pPr>
      <w:spacing w:after="120" w:afterLines="0" w:afterAutospacing="0"/>
      <w:ind w:left="1440" w:leftChars="700" w:rightChars="700"/>
    </w:pPr>
  </w:style>
  <w:style w:type="paragraph" w:styleId="14">
    <w:name w:val="toc 3"/>
    <w:basedOn w:val="1"/>
    <w:next w:val="1"/>
    <w:qFormat/>
    <w:uiPriority w:val="0"/>
    <w:pPr>
      <w:ind w:left="840" w:leftChars="400"/>
    </w:p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table of figures"/>
    <w:basedOn w:val="1"/>
    <w:next w:val="1"/>
    <w:qFormat/>
    <w:uiPriority w:val="0"/>
    <w:pPr>
      <w:ind w:left="200" w:leftChars="200" w:hanging="200" w:hangingChars="200"/>
    </w:pPr>
    <w:rPr>
      <w:rFonts w:ascii="Times New Roman" w:hAnsi="Times New Roman"/>
      <w:szCs w:val="24"/>
    </w:rPr>
  </w:style>
  <w:style w:type="paragraph" w:styleId="19">
    <w:name w:val="toc 2"/>
    <w:basedOn w:val="1"/>
    <w:next w:val="1"/>
    <w:qFormat/>
    <w:uiPriority w:val="0"/>
    <w:pPr>
      <w:ind w:left="420" w:leftChars="200"/>
    </w:pPr>
  </w:style>
  <w:style w:type="paragraph" w:styleId="20">
    <w:name w:val="Normal (Web)"/>
    <w:basedOn w:val="1"/>
    <w:qFormat/>
    <w:uiPriority w:val="0"/>
    <w:pPr>
      <w:spacing w:before="0" w:beforeAutospacing="1" w:after="0" w:afterAutospacing="1"/>
      <w:ind w:left="0" w:right="0"/>
      <w:jc w:val="left"/>
    </w:pPr>
    <w:rPr>
      <w:kern w:val="0"/>
      <w:sz w:val="24"/>
      <w:lang w:val="en-US" w:eastAsia="zh-CN" w:bidi="ar"/>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paragraph" w:customStyle="1" w:styleId="25">
    <w:name w:val="p0"/>
    <w:basedOn w:val="1"/>
    <w:qFormat/>
    <w:uiPriority w:val="0"/>
    <w:pPr>
      <w:widowControl/>
      <w:spacing w:before="100" w:beforeAutospacing="1" w:after="100" w:afterAutospacing="1"/>
      <w:jc w:val="left"/>
    </w:pPr>
    <w:rPr>
      <w:rFonts w:ascii="仿宋_GB2312" w:hAnsi="仿宋_GB2312" w:eastAsia="仿宋_GB2312" w:cs="仿宋_GB2312"/>
      <w:kern w:val="0"/>
      <w:sz w:val="24"/>
    </w:rPr>
  </w:style>
  <w:style w:type="table" w:customStyle="1" w:styleId="26">
    <w:name w:val="Table Normal"/>
    <w:unhideWhenUsed/>
    <w:qFormat/>
    <w:uiPriority w:val="0"/>
    <w:tblPr>
      <w:tblCellMar>
        <w:top w:w="0" w:type="dxa"/>
        <w:left w:w="0" w:type="dxa"/>
        <w:bottom w:w="0" w:type="dxa"/>
        <w:right w:w="0" w:type="dxa"/>
      </w:tblCellMar>
    </w:tblPr>
  </w:style>
  <w:style w:type="paragraph" w:customStyle="1" w:styleId="27">
    <w:name w:val="Table Text"/>
    <w:basedOn w:val="1"/>
    <w:semiHidden/>
    <w:qFormat/>
    <w:uiPriority w:val="0"/>
    <w:rPr>
      <w:rFonts w:ascii="Times New Roman" w:hAnsi="Times New Roman" w:eastAsia="Times New Roman" w:cs="Times New Roman"/>
      <w:sz w:val="20"/>
      <w:szCs w:val="20"/>
      <w:lang w:val="en-US" w:eastAsia="en-US" w:bidi="ar-SA"/>
    </w:rPr>
  </w:style>
  <w:style w:type="paragraph" w:customStyle="1" w:styleId="28">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9">
    <w:name w:val="表格内容"/>
    <w:basedOn w:val="9"/>
    <w:qFormat/>
    <w:uiPriority w:val="0"/>
    <w:pPr>
      <w:spacing w:line="312" w:lineRule="auto"/>
      <w:ind w:firstLine="0"/>
      <w:jc w:val="center"/>
    </w:pPr>
    <w:rPr>
      <w:rFonts w:ascii="Times New Roman" w:hAnsi="Times New Roman"/>
      <w:kern w:val="2"/>
      <w:sz w:val="21"/>
    </w:rPr>
  </w:style>
  <w:style w:type="paragraph" w:customStyle="1" w:styleId="30">
    <w:name w:val="样式 正文缩进正文缩进2正文缩进 Char Char正文缩进 Char Char Char Char正文缩进 Char ..."/>
    <w:basedOn w:val="9"/>
    <w:qFormat/>
    <w:uiPriority w:val="0"/>
    <w:pPr>
      <w:adjustRightInd w:val="0"/>
      <w:snapToGrid w:val="0"/>
      <w:spacing w:line="360" w:lineRule="auto"/>
      <w:ind w:firstLine="200" w:firstLineChars="200"/>
    </w:pPr>
    <w:rPr>
      <w:rFonts w:ascii="宋体" w:hAnsi="Calibri" w:cs="宋体"/>
      <w:kern w:val="2"/>
      <w:sz w:val="24"/>
      <w:szCs w:val="24"/>
    </w:rPr>
  </w:style>
  <w:style w:type="paragraph" w:customStyle="1" w:styleId="31">
    <w:name w:val="正文 + 首行缩进:  2 字符"/>
    <w:basedOn w:val="1"/>
    <w:qFormat/>
    <w:uiPriority w:val="0"/>
    <w:pPr>
      <w:spacing w:line="460" w:lineRule="atLeast"/>
      <w:ind w:firstLine="528" w:firstLineChars="200"/>
    </w:pPr>
    <w:rPr>
      <w:spacing w:val="12"/>
      <w:sz w:val="24"/>
      <w:szCs w:val="20"/>
    </w:rPr>
  </w:style>
  <w:style w:type="paragraph" w:styleId="32">
    <w:name w:val="List Paragraph"/>
    <w:basedOn w:val="1"/>
    <w:qFormat/>
    <w:uiPriority w:val="1"/>
    <w:pPr>
      <w:ind w:left="118" w:firstLine="600"/>
    </w:pPr>
    <w:rPr>
      <w:rFonts w:ascii="宋体" w:hAnsi="宋体" w:eastAsia="宋体" w:cs="宋体"/>
    </w:rPr>
  </w:style>
  <w:style w:type="paragraph" w:customStyle="1" w:styleId="33">
    <w:name w:val="Table Paragraph"/>
    <w:basedOn w:val="1"/>
    <w:qFormat/>
    <w:uiPriority w:val="1"/>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wmf"/><Relationship Id="rId54" Type="http://schemas.openxmlformats.org/officeDocument/2006/relationships/oleObject" Target="embeddings/oleObject9.bin"/><Relationship Id="rId53" Type="http://schemas.openxmlformats.org/officeDocument/2006/relationships/image" Target="media/image10.wmf"/><Relationship Id="rId52" Type="http://schemas.openxmlformats.org/officeDocument/2006/relationships/oleObject" Target="embeddings/oleObject8.bin"/><Relationship Id="rId51" Type="http://schemas.openxmlformats.org/officeDocument/2006/relationships/image" Target="media/image9.wmf"/><Relationship Id="rId50" Type="http://schemas.openxmlformats.org/officeDocument/2006/relationships/oleObject" Target="embeddings/oleObject7.bin"/><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emf"/><Relationship Id="rId47" Type="http://schemas.openxmlformats.org/officeDocument/2006/relationships/oleObject" Target="embeddings/oleObject6.bin"/><Relationship Id="rId46" Type="http://schemas.openxmlformats.org/officeDocument/2006/relationships/image" Target="media/image6.emf"/><Relationship Id="rId45" Type="http://schemas.openxmlformats.org/officeDocument/2006/relationships/oleObject" Target="embeddings/oleObject5.bin"/><Relationship Id="rId44" Type="http://schemas.openxmlformats.org/officeDocument/2006/relationships/image" Target="media/image5.emf"/><Relationship Id="rId43" Type="http://schemas.openxmlformats.org/officeDocument/2006/relationships/oleObject" Target="embeddings/oleObject4.bin"/><Relationship Id="rId42" Type="http://schemas.openxmlformats.org/officeDocument/2006/relationships/image" Target="media/image4.emf"/><Relationship Id="rId41" Type="http://schemas.openxmlformats.org/officeDocument/2006/relationships/oleObject" Target="embeddings/oleObject3.bin"/><Relationship Id="rId40" Type="http://schemas.openxmlformats.org/officeDocument/2006/relationships/image" Target="media/image3.png"/><Relationship Id="rId4" Type="http://schemas.openxmlformats.org/officeDocument/2006/relationships/endnotes" Target="endnotes.xml"/><Relationship Id="rId39" Type="http://schemas.openxmlformats.org/officeDocument/2006/relationships/image" Target="media/image2.emf"/><Relationship Id="rId38" Type="http://schemas.openxmlformats.org/officeDocument/2006/relationships/oleObject" Target="embeddings/oleObject2.bin"/><Relationship Id="rId37" Type="http://schemas.openxmlformats.org/officeDocument/2006/relationships/image" Target="media/image1.emf"/><Relationship Id="rId36" Type="http://schemas.openxmlformats.org/officeDocument/2006/relationships/oleObject" Target="embeddings/oleObject1.bin"/><Relationship Id="rId35" Type="http://schemas.openxmlformats.org/officeDocument/2006/relationships/theme" Target="theme/theme1.xml"/><Relationship Id="rId34" Type="http://schemas.openxmlformats.org/officeDocument/2006/relationships/footer" Target="footer18.xml"/><Relationship Id="rId33" Type="http://schemas.openxmlformats.org/officeDocument/2006/relationships/header" Target="header12.xml"/><Relationship Id="rId32" Type="http://schemas.openxmlformats.org/officeDocument/2006/relationships/footer" Target="footer17.xml"/><Relationship Id="rId31" Type="http://schemas.openxmlformats.org/officeDocument/2006/relationships/header" Target="header11.xml"/><Relationship Id="rId30" Type="http://schemas.openxmlformats.org/officeDocument/2006/relationships/footer" Target="footer16.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17820</Words>
  <Characters>20256</Characters>
  <Lines>0</Lines>
  <Paragraphs>0</Paragraphs>
  <TotalTime>2</TotalTime>
  <ScaleCrop>false</ScaleCrop>
  <LinksUpToDate>false</LinksUpToDate>
  <CharactersWithSpaces>20473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2025-04-01T09:21:00Z</dcterms:created>
  <dc:creator>Untitled...</dc:creator>
  <cp:lastModifiedBy>Untitled...</cp:lastModifiedBy>
  <dcterms:modified xsi:type="dcterms:W3CDTF">2025-06-17T08:11:25Z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87C2D61D023C4D828D2A1BE231794BFB_13</vt:lpwstr>
  </property>
  <property fmtid="{D5CDD505-2E9C-101B-9397-08002B2CF9AE}" pid="4" name="KSOTemplateDocerSaveRecord">
    <vt:lpwstr>eyJoZGlkIjoiNmM1NGI3Y2FiMDRmYzY1ZGU4NDAzNjZjMDIwMTc4NmQiLCJ1c2VySWQiOiIzNTQ3MzcwNjkifQ==</vt:lpwstr>
  </property>
</Properties>
</file>