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64D27">
      <w:pPr>
        <w:jc w:val="center"/>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w:t>
      </w:r>
      <w:r>
        <w:rPr>
          <w:rFonts w:hint="eastAsia" w:ascii="方正小标宋简体" w:hAnsi="方正小标宋简体" w:eastAsia="方正小标宋简体" w:cs="方正小标宋简体"/>
          <w:color w:val="000000"/>
          <w:kern w:val="0"/>
          <w:sz w:val="44"/>
          <w:szCs w:val="44"/>
          <w:lang w:val="en-US" w:eastAsia="zh-CN" w:bidi="ar-SA"/>
        </w:rPr>
        <w:t>民乐县扶持商贸流通业高质量发展若干措施</w:t>
      </w:r>
      <w:r>
        <w:rPr>
          <w:rFonts w:hint="eastAsia" w:ascii="方正小标宋简体" w:hAnsi="方正小标宋简体" w:eastAsia="方正小标宋简体" w:cs="方正小标宋简体"/>
          <w:i w:val="0"/>
          <w:iCs w:val="0"/>
          <w:caps w:val="0"/>
          <w:color w:val="000000"/>
          <w:spacing w:val="0"/>
          <w:sz w:val="44"/>
          <w:szCs w:val="44"/>
          <w:shd w:val="clear" w:fill="FFFFFF"/>
        </w:rPr>
        <w:t>》（征求意见稿）</w:t>
      </w:r>
      <w:bookmarkStart w:id="0" w:name="_GoBack"/>
      <w:bookmarkEnd w:id="0"/>
    </w:p>
    <w:p w14:paraId="3DEAEDFF">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为强化实体经济对全县经济的支撑作用，推动全县商贸流通业高质量发展，根据《张掖市人民政府关于鼓励支持商贸限下企业发展为限上企业的实施意见》（张政发〔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号）《张掖市人民政府办公室印发张掖市人民政府关于鼓励支持商贸限下企业发展为限上企业的实施意见奖励制度实施细则的通知》（张政办发〔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185</w:t>
      </w:r>
      <w:r>
        <w:rPr>
          <w:rFonts w:hint="eastAsia" w:ascii="仿宋_GB2312" w:hAnsi="仿宋_GB2312" w:eastAsia="仿宋_GB2312" w:cs="仿宋_GB2312"/>
          <w:sz w:val="32"/>
          <w:szCs w:val="32"/>
        </w:rPr>
        <w:t>号）等文件精神，结合我县实际，特制定如下扶持政策措施。</w:t>
      </w:r>
    </w:p>
    <w:p w14:paraId="0ADD1B8B">
      <w:pPr>
        <w:spacing w:line="560" w:lineRule="exact"/>
        <w:ind w:firstLine="640" w:firstLineChars="200"/>
        <w:rPr>
          <w:rFonts w:ascii="仿宋_GB2312" w:hAnsi="仿宋_GB2312" w:eastAsia="仿宋_GB2312" w:cs="Times New Roman"/>
          <w:sz w:val="32"/>
          <w:szCs w:val="32"/>
          <w:shd w:val="clear" w:color="auto" w:fill="FFFFFF"/>
        </w:rPr>
      </w:pPr>
      <w:r>
        <w:rPr>
          <w:rFonts w:hint="eastAsia" w:ascii="黑体" w:hAnsi="黑体" w:eastAsia="黑体" w:cs="黑体"/>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中央、省、市、县扶持商贸流通企业发展的有关项目和政策，优先匹配限额以上企业；在评级创优、资格认定等方面，优先推荐限额以上商贸企业。</w:t>
      </w:r>
    </w:p>
    <w:p w14:paraId="2AC88008">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对当年新增入库的限上批发、零售、住宿、餐饮企业和个体工商户分别给予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万元奖励；对国家统计库在库大个体转为限上企业（“个转企”）给予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万元奖励。</w:t>
      </w:r>
    </w:p>
    <w:p w14:paraId="404B32A2">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hint="eastAsia" w:ascii="仿宋_GB2312" w:hAnsi="仿宋_GB2312" w:eastAsia="仿宋_GB2312" w:cs="仿宋_GB2312"/>
          <w:sz w:val="32"/>
          <w:szCs w:val="32"/>
          <w:shd w:val="clear" w:color="auto" w:fill="FFFFFF"/>
        </w:rPr>
        <w:t>对纳入国家统计名录库的年销售额达</w:t>
      </w:r>
      <w:r>
        <w:rPr>
          <w:rFonts w:ascii="仿宋_GB2312" w:hAnsi="仿宋_GB2312" w:eastAsia="仿宋_GB2312" w:cs="仿宋_GB2312"/>
          <w:sz w:val="32"/>
          <w:szCs w:val="32"/>
          <w:shd w:val="clear" w:color="auto" w:fill="FFFFFF"/>
        </w:rPr>
        <w:t>5000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亿元以上的批发企业，分别给予</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万元奖励，</w:t>
      </w:r>
      <w:r>
        <w:rPr>
          <w:rFonts w:hint="eastAsia" w:ascii="仿宋_GB2312" w:hAnsi="仿宋_GB2312" w:eastAsia="仿宋_GB2312" w:cs="仿宋_GB2312"/>
          <w:sz w:val="32"/>
          <w:szCs w:val="32"/>
        </w:rPr>
        <w:t>年销售额在上年基础上每增加</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万元，奖励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；年销售额达</w:t>
      </w:r>
      <w:r>
        <w:rPr>
          <w:rFonts w:ascii="仿宋_GB2312" w:hAnsi="仿宋_GB2312" w:eastAsia="仿宋_GB2312" w:cs="仿宋_GB2312"/>
          <w:sz w:val="32"/>
          <w:szCs w:val="32"/>
          <w:shd w:val="clear" w:color="auto" w:fill="FFFFFF"/>
        </w:rPr>
        <w:t>1000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2000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5000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8000</w:t>
      </w:r>
      <w:r>
        <w:rPr>
          <w:rFonts w:hint="eastAsia" w:ascii="仿宋_GB2312" w:hAnsi="仿宋_GB2312" w:eastAsia="仿宋_GB2312" w:cs="仿宋_GB2312"/>
          <w:sz w:val="32"/>
          <w:szCs w:val="32"/>
          <w:shd w:val="clear" w:color="auto" w:fill="FFFFFF"/>
        </w:rPr>
        <w:t>万元以上的零售企业，分别给予</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20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30</w:t>
      </w:r>
      <w:r>
        <w:rPr>
          <w:rFonts w:hint="eastAsia" w:ascii="仿宋_GB2312" w:hAnsi="仿宋_GB2312" w:eastAsia="仿宋_GB2312" w:cs="仿宋_GB2312"/>
          <w:sz w:val="32"/>
          <w:szCs w:val="32"/>
          <w:shd w:val="clear" w:color="auto" w:fill="FFFFFF"/>
        </w:rPr>
        <w:t>万元奖励，</w:t>
      </w:r>
      <w:r>
        <w:rPr>
          <w:rFonts w:hint="eastAsia" w:ascii="仿宋_GB2312" w:hAnsi="仿宋_GB2312" w:eastAsia="仿宋_GB2312" w:cs="仿宋_GB2312"/>
          <w:sz w:val="32"/>
          <w:szCs w:val="32"/>
        </w:rPr>
        <w:t>年销售额在上年基础上每增加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万元，奖励</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；年营业额达</w:t>
      </w:r>
      <w:r>
        <w:rPr>
          <w:rFonts w:ascii="仿宋_GB2312" w:hAnsi="仿宋_GB2312" w:eastAsia="仿宋_GB2312" w:cs="仿宋_GB2312"/>
          <w:sz w:val="32"/>
          <w:szCs w:val="32"/>
          <w:shd w:val="clear" w:color="auto" w:fill="FFFFFF"/>
        </w:rPr>
        <w:t>1000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2000</w:t>
      </w:r>
      <w:r>
        <w:rPr>
          <w:rFonts w:hint="eastAsia" w:ascii="仿宋_GB2312" w:hAnsi="仿宋_GB2312" w:eastAsia="仿宋_GB2312" w:cs="仿宋_GB2312"/>
          <w:sz w:val="32"/>
          <w:szCs w:val="32"/>
          <w:shd w:val="clear" w:color="auto" w:fill="FFFFFF"/>
        </w:rPr>
        <w:t>万元以上的住宿餐饮企业，分别给予</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万元奖励，年营业额在上年基础上每增加</w:t>
      </w:r>
      <w:r>
        <w:rPr>
          <w:rFonts w:ascii="仿宋_GB2312" w:hAnsi="仿宋_GB2312" w:eastAsia="仿宋_GB2312" w:cs="仿宋_GB2312"/>
          <w:sz w:val="32"/>
          <w:szCs w:val="32"/>
          <w:shd w:val="clear" w:color="auto" w:fill="FFFFFF"/>
        </w:rPr>
        <w:t>100</w:t>
      </w:r>
      <w:r>
        <w:rPr>
          <w:rFonts w:hint="eastAsia" w:ascii="仿宋_GB2312" w:hAnsi="仿宋_GB2312" w:eastAsia="仿宋_GB2312" w:cs="仿宋_GB2312"/>
          <w:sz w:val="32"/>
          <w:szCs w:val="32"/>
          <w:shd w:val="clear" w:color="auto" w:fill="FFFFFF"/>
        </w:rPr>
        <w:t>万元，奖励</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万元。</w:t>
      </w:r>
    </w:p>
    <w:p w14:paraId="6CC9AE1A">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县域内经营的产业活动单位，纳入全县商贸流通限上企业统计名录库的，自入库当年起，对实际缴纳税金县级留成部分，按照第一年</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、第二年</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、第三年</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的比例给予奖励，连续奖励三年。</w:t>
      </w:r>
    </w:p>
    <w:p w14:paraId="31A356E0">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仿宋_GB2312" w:hAnsi="仿宋_GB2312" w:eastAsia="仿宋_GB2312" w:cs="仿宋_GB2312"/>
          <w:sz w:val="32"/>
          <w:szCs w:val="32"/>
        </w:rPr>
        <w:t>在库限额以上企业和大个体的统计人员，及时、准确完成相关报表填报，并经考核确认后，由县政府给予每月</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元的岗位补贴。</w:t>
      </w:r>
    </w:p>
    <w:p w14:paraId="4173F42D">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商贸流通行业以外的企业成立独立法人的销售公司进行产品销售且财务核算独立、规范并纳入县内商贸流通限上企业统计名录库的，一次性给予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万元奖励。</w:t>
      </w:r>
    </w:p>
    <w:p w14:paraId="4F2B39E8">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采取公司化管理、电子收银、统一结算、统一纳税等商业运营模式的商场、小吃城、商业综合体、各类市场等纳入商贸流通限上企业统计名录库的法人企业，一次性给予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万元奖励，并享受普通高校毕业生进企业服务政策。</w:t>
      </w:r>
    </w:p>
    <w:p w14:paraId="129FA6EA">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第八条</w:t>
      </w:r>
      <w:r>
        <w:rPr>
          <w:rFonts w:ascii="黑体" w:hAnsi="黑体" w:eastAsia="黑体" w:cs="黑体"/>
          <w:sz w:val="32"/>
          <w:szCs w:val="32"/>
        </w:rPr>
        <w:t xml:space="preserve"> </w:t>
      </w:r>
      <w:r>
        <w:rPr>
          <w:rFonts w:hint="eastAsia" w:ascii="仿宋_GB2312" w:hAnsi="仿宋_GB2312" w:eastAsia="仿宋_GB2312" w:cs="仿宋_GB2312"/>
          <w:sz w:val="32"/>
          <w:szCs w:val="32"/>
        </w:rPr>
        <w:t>对在县内设立总部及直营店的限额以上在库企业，在县内外每增设一家连锁店，且年销售额达到</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万元，纳入县内统计范围后一次性奖励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14:paraId="0157B289">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支持经营企业开设民乐本地品牌农产品展销中心、农贸市场，正常经营一年以后且纳入商贸流通限上企业统计名录库的，一次性给予承办法人企业</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万元奖励。</w:t>
      </w:r>
    </w:p>
    <w:p w14:paraId="327F1797">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第十条</w:t>
      </w:r>
      <w:r>
        <w:rPr>
          <w:rFonts w:ascii="黑体" w:hAnsi="黑体" w:eastAsia="黑体" w:cs="黑体"/>
          <w:sz w:val="32"/>
          <w:szCs w:val="32"/>
        </w:rPr>
        <w:t xml:space="preserve"> </w:t>
      </w:r>
      <w:r>
        <w:rPr>
          <w:rFonts w:hint="eastAsia" w:ascii="仿宋_GB2312" w:hAnsi="仿宋_GB2312" w:eastAsia="仿宋_GB2312" w:cs="仿宋_GB2312"/>
          <w:sz w:val="32"/>
          <w:szCs w:val="32"/>
        </w:rPr>
        <w:t>对符合规划，街区长度</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米以上，商业面积在</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平方米以上，商贸业从业户数量达到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个以上的特色商业街，管理运营主体登记注册为商贸法人企业且被纳入本县商贸流通限上企业统计名录库的，给予管理运营主体一次性</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万元奖励。</w:t>
      </w:r>
    </w:p>
    <w:p w14:paraId="7C6B3CA9">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对注册为法人企业且纳入县内商贸流通限上企业统计名录库，年交易额达到</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万元以上的汽车交易中心、汽贸城，给予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万元奖励，年交易额每增加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万元，增加奖励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p>
    <w:p w14:paraId="43098F55">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对当年纳入规上统计名录库，年营业额达</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万元以上的通道物流企业，给予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万元奖励。</w:t>
      </w:r>
    </w:p>
    <w:p w14:paraId="026C8895">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对新认定为国家、省、市、县级“守合同、重信用”的商贸企业，当年分别给予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万元奖励。</w:t>
      </w:r>
    </w:p>
    <w:p w14:paraId="37389975">
      <w:pPr>
        <w:spacing w:line="56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第十四条</w:t>
      </w:r>
      <w:r>
        <w:rPr>
          <w:rFonts w:ascii="黑体" w:hAnsi="黑体" w:eastAsia="黑体" w:cs="黑体"/>
          <w:sz w:val="32"/>
          <w:szCs w:val="32"/>
        </w:rPr>
        <w:t xml:space="preserve"> </w:t>
      </w:r>
      <w:r>
        <w:rPr>
          <w:rFonts w:hint="eastAsia" w:ascii="仿宋_GB2312" w:hAnsi="仿宋_GB2312" w:eastAsia="仿宋_GB2312" w:cs="仿宋_GB2312"/>
          <w:sz w:val="32"/>
          <w:szCs w:val="32"/>
        </w:rPr>
        <w:t>自发布之日起执行，有效期三年。</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年颁布的《民乐县推动商贸流通业加快发展十二条意见（试行）》（民政发〔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号）同时废止，由县商务局负责解释。</w:t>
      </w:r>
    </w:p>
    <w:p w14:paraId="6EC991CD">
      <w:pPr>
        <w:pStyle w:val="4"/>
        <w:ind w:firstLine="31680"/>
        <w:rPr>
          <w:rFonts w:cs="Times New Roman"/>
        </w:rPr>
      </w:pPr>
    </w:p>
    <w:p w14:paraId="323FE878">
      <w:pPr>
        <w:spacing w:line="560" w:lineRule="exact"/>
        <w:ind w:firstLine="560" w:firstLineChars="200"/>
        <w:rPr>
          <w:rFonts w:ascii="仿宋_GB2312" w:hAnsi="仿宋_GB2312" w:eastAsia="仿宋_GB2312" w:cs="Times New Roman"/>
          <w:spacing w:val="-20"/>
          <w:sz w:val="32"/>
          <w:szCs w:val="32"/>
        </w:rPr>
      </w:pPr>
      <w:r>
        <w:rPr>
          <w:rFonts w:hint="eastAsia" w:ascii="仿宋_GB2312" w:hAnsi="仿宋_GB2312" w:eastAsia="仿宋_GB2312" w:cs="仿宋_GB2312"/>
          <w:spacing w:val="-20"/>
          <w:sz w:val="32"/>
          <w:szCs w:val="32"/>
        </w:rPr>
        <w:t>附件：</w:t>
      </w:r>
      <w:r>
        <w:rPr>
          <w:rFonts w:hint="eastAsia" w:ascii="仿宋_GB2312" w:hAnsi="仿宋_GB2312" w:eastAsia="仿宋_GB2312" w:cs="仿宋_GB2312"/>
          <w:sz w:val="32"/>
          <w:szCs w:val="32"/>
        </w:rPr>
        <w:t>民乐县扶持商贸流通业高质量发展若干措施实施细</w:t>
      </w:r>
      <w:r>
        <w:rPr>
          <w:rFonts w:hint="eastAsia" w:ascii="仿宋_GB2312" w:hAnsi="仿宋_GB2312" w:eastAsia="仿宋_GB2312" w:cs="仿宋_GB2312"/>
          <w:spacing w:val="-20"/>
          <w:sz w:val="32"/>
          <w:szCs w:val="32"/>
        </w:rPr>
        <w:t>则</w:t>
      </w:r>
    </w:p>
    <w:p w14:paraId="7F204336">
      <w:pPr>
        <w:spacing w:line="560" w:lineRule="exact"/>
        <w:rPr>
          <w:rFonts w:ascii="仿宋_GB2312" w:hAnsi="仿宋_GB2312" w:eastAsia="仿宋_GB2312" w:cs="Times New Roman"/>
          <w:sz w:val="32"/>
          <w:szCs w:val="32"/>
        </w:rPr>
      </w:pPr>
    </w:p>
    <w:p w14:paraId="5CB53ECE">
      <w:pPr>
        <w:pStyle w:val="4"/>
        <w:ind w:firstLine="31680"/>
        <w:rPr>
          <w:rFonts w:cs="Times New Roman"/>
        </w:rPr>
      </w:pPr>
    </w:p>
    <w:p w14:paraId="4A0F3A34">
      <w:pPr>
        <w:rPr>
          <w:rFonts w:cs="Times New Roman"/>
        </w:rPr>
      </w:pPr>
    </w:p>
    <w:p w14:paraId="5B8D25CC">
      <w:pPr>
        <w:pStyle w:val="2"/>
      </w:pPr>
    </w:p>
    <w:p w14:paraId="1EBF5E87">
      <w:pPr>
        <w:rPr>
          <w:rFonts w:ascii="仿宋_GB2312" w:hAnsi="仿宋_GB2312" w:eastAsia="仿宋_GB2312" w:cs="Times New Roman"/>
          <w:sz w:val="32"/>
          <w:szCs w:val="32"/>
        </w:rPr>
      </w:pPr>
    </w:p>
    <w:p w14:paraId="43768F52">
      <w:pPr>
        <w:spacing w:line="560" w:lineRule="exact"/>
        <w:rPr>
          <w:rFonts w:ascii="黑体" w:hAnsi="黑体" w:eastAsia="黑体" w:cs="Times New Roman"/>
          <w:sz w:val="32"/>
          <w:szCs w:val="32"/>
        </w:rPr>
      </w:pPr>
      <w:r>
        <w:rPr>
          <w:rFonts w:hint="eastAsia" w:ascii="黑体" w:hAnsi="黑体" w:eastAsia="黑体" w:cs="黑体"/>
          <w:sz w:val="32"/>
          <w:szCs w:val="32"/>
        </w:rPr>
        <w:t>附件</w:t>
      </w:r>
    </w:p>
    <w:p w14:paraId="65936488">
      <w:pPr>
        <w:spacing w:line="560" w:lineRule="exact"/>
        <w:jc w:val="center"/>
        <w:rPr>
          <w:rFonts w:ascii="仿宋_GB2312" w:hAnsi="仿宋_GB2312" w:eastAsia="仿宋_GB2312" w:cs="Times New Roman"/>
          <w:sz w:val="32"/>
          <w:szCs w:val="32"/>
        </w:rPr>
      </w:pPr>
    </w:p>
    <w:p w14:paraId="386CA5EA">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民乐县扶持商贸流通业高质量发展</w:t>
      </w:r>
    </w:p>
    <w:p w14:paraId="5E091EC3">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若干措施实施细则</w:t>
      </w:r>
    </w:p>
    <w:p w14:paraId="35357E9B">
      <w:pPr>
        <w:spacing w:line="560" w:lineRule="exact"/>
        <w:rPr>
          <w:rFonts w:ascii="仿宋_GB2312" w:hAnsi="仿宋_GB2312" w:eastAsia="仿宋_GB2312" w:cs="Times New Roman"/>
          <w:sz w:val="32"/>
          <w:szCs w:val="32"/>
        </w:rPr>
      </w:pPr>
    </w:p>
    <w:p w14:paraId="6213B044">
      <w:pPr>
        <w:spacing w:line="560" w:lineRule="exact"/>
        <w:ind w:firstLine="640" w:firstLineChars="200"/>
        <w:rPr>
          <w:rFonts w:ascii="楷体_GB2312" w:hAnsi="楷体_GB2312" w:eastAsia="楷体_GB2312" w:cs="Times New Roman"/>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黑体" w:hAnsi="黑体" w:eastAsia="黑体" w:cs="黑体"/>
          <w:sz w:val="32"/>
          <w:szCs w:val="32"/>
        </w:rPr>
        <w:t>扶持对象及条件</w:t>
      </w:r>
    </w:p>
    <w:p w14:paraId="319F678D">
      <w:pPr>
        <w:spacing w:line="560" w:lineRule="exact"/>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（一）扶持对象</w:t>
      </w:r>
    </w:p>
    <w:p w14:paraId="00168D4D">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商贸流通限上企业统计名录库新入库、在库批发、零售、餐饮、住宿行业商贸企业；</w:t>
      </w:r>
    </w:p>
    <w:p w14:paraId="1F3A447A">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国家统计库在库大个体；</w:t>
      </w:r>
    </w:p>
    <w:p w14:paraId="7C157F84">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商贸行业龙头企业和成长型企业；</w:t>
      </w:r>
    </w:p>
    <w:p w14:paraId="5F1B8E2D">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商贸流通限上企业统计名录库在库单位统计人员。</w:t>
      </w:r>
    </w:p>
    <w:p w14:paraId="0D40FDC6">
      <w:pPr>
        <w:spacing w:line="560" w:lineRule="exact"/>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（二）扶持条件</w:t>
      </w:r>
    </w:p>
    <w:p w14:paraId="60F8FB50">
      <w:pPr>
        <w:autoSpaceDE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企业法人治理结构规范，建立现代企业制度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财务管理制度健全，会计核算完整、规范，并及时向有关部门报送相关报表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经济效益较好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纳税信用良好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无任何违法、违规记录；发生较大生产（食品）安全责任事故、环保责任事故、消防安全责任事故、违法占用土地、严重失信行为等违法违规的申报主体实行一票否决制。</w:t>
      </w:r>
    </w:p>
    <w:p w14:paraId="606E9C6F">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第二条</w:t>
      </w:r>
      <w:r>
        <w:rPr>
          <w:rFonts w:ascii="黑体" w:hAnsi="黑体" w:eastAsia="黑体" w:cs="黑体"/>
          <w:sz w:val="32"/>
          <w:szCs w:val="32"/>
        </w:rPr>
        <w:t xml:space="preserve"> </w:t>
      </w:r>
      <w:r>
        <w:rPr>
          <w:rFonts w:hint="eastAsia" w:ascii="黑体" w:hAnsi="黑体" w:eastAsia="黑体" w:cs="黑体"/>
          <w:sz w:val="32"/>
          <w:szCs w:val="32"/>
        </w:rPr>
        <w:t>企业申报提供资料</w:t>
      </w:r>
    </w:p>
    <w:p w14:paraId="79868F4F">
      <w:pPr>
        <w:autoSpaceDE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资金申请报告</w:t>
      </w:r>
      <w:r>
        <w:rPr>
          <w:rFonts w:ascii="仿宋_GB2312" w:hAnsi="仿宋_GB2312" w:eastAsia="仿宋_GB2312" w:cs="仿宋_GB2312"/>
          <w:sz w:val="32"/>
          <w:szCs w:val="32"/>
        </w:rPr>
        <w:t>;</w:t>
      </w:r>
    </w:p>
    <w:p w14:paraId="2370CA2F">
      <w:pPr>
        <w:autoSpaceDE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企业营业执照副本原件及复印件</w:t>
      </w:r>
      <w:r>
        <w:rPr>
          <w:rFonts w:ascii="仿宋_GB2312" w:hAnsi="仿宋_GB2312" w:eastAsia="仿宋_GB2312" w:cs="仿宋_GB2312"/>
          <w:sz w:val="32"/>
          <w:szCs w:val="32"/>
        </w:rPr>
        <w:t>;</w:t>
      </w:r>
    </w:p>
    <w:p w14:paraId="37E1A901">
      <w:pPr>
        <w:autoSpaceDE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企业基本情况简介。包括设立时间、注册资本、股东名称及出资比例、主要产品、经营状况、装备、职工人数及获得的主要荣誉等</w:t>
      </w:r>
      <w:r>
        <w:rPr>
          <w:rFonts w:ascii="仿宋_GB2312" w:hAnsi="仿宋_GB2312" w:eastAsia="仿宋_GB2312" w:cs="仿宋_GB2312"/>
          <w:sz w:val="32"/>
          <w:szCs w:val="32"/>
        </w:rPr>
        <w:t>;</w:t>
      </w:r>
    </w:p>
    <w:p w14:paraId="304618F8">
      <w:pPr>
        <w:autoSpaceDE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企业上年度缴税证明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新建企业除外</w:t>
      </w:r>
      <w:r>
        <w:rPr>
          <w:rFonts w:ascii="仿宋_GB2312" w:hAnsi="仿宋_GB2312" w:eastAsia="仿宋_GB2312" w:cs="仿宋_GB2312"/>
          <w:sz w:val="32"/>
          <w:szCs w:val="32"/>
        </w:rPr>
        <w:t>);</w:t>
      </w:r>
    </w:p>
    <w:p w14:paraId="6858964F">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统计部门认可的入库证明；</w:t>
      </w:r>
    </w:p>
    <w:p w14:paraId="2939EE00">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其他需要提供的资料。</w:t>
      </w:r>
    </w:p>
    <w:p w14:paraId="2CB2C9AF">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hint="eastAsia" w:ascii="黑体" w:hAnsi="黑体" w:eastAsia="黑体" w:cs="黑体"/>
          <w:sz w:val="32"/>
          <w:szCs w:val="32"/>
        </w:rPr>
        <w:t>申报程序</w:t>
      </w:r>
    </w:p>
    <w:p w14:paraId="692AFE62">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组织申报工作由商务局牵头负责，财政局、统计局、税务局、市场监管局、人社局等部门参与，组织满足条件的企业（大个体）申报，并按照认定方式确定符合支持条件的企业（项目）名单及奖励额度。</w:t>
      </w:r>
    </w:p>
    <w:p w14:paraId="5A20FB58">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符合支持条件的企业（大个体）可申请一项或多项扶持。</w:t>
      </w:r>
    </w:p>
    <w:p w14:paraId="432EDE5B">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每年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日前，牵头单位会同相关部门将企业申报资料审核后报县政府审定，财政部门下拨扶持资金。</w:t>
      </w:r>
    </w:p>
    <w:p w14:paraId="4A033D61">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符合各项支持政策的企业（大个体），应提供真实的材料和凭证，如有弄虚作假，一经发现，由财政部门收回已奖励资金，五年内不得享受相关奖励优惠政策，并依法追究相关责任人责任。</w:t>
      </w:r>
    </w:p>
    <w:p w14:paraId="620001FB">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第四条</w:t>
      </w:r>
      <w:r>
        <w:rPr>
          <w:rFonts w:ascii="黑体" w:hAnsi="黑体" w:eastAsia="黑体" w:cs="黑体"/>
          <w:sz w:val="32"/>
          <w:szCs w:val="32"/>
        </w:rPr>
        <w:t xml:space="preserve"> </w:t>
      </w:r>
      <w:r>
        <w:rPr>
          <w:rFonts w:hint="eastAsia" w:ascii="黑体" w:hAnsi="黑体" w:eastAsia="黑体" w:cs="黑体"/>
          <w:sz w:val="32"/>
          <w:szCs w:val="32"/>
        </w:rPr>
        <w:t>资金使用和管理</w:t>
      </w:r>
    </w:p>
    <w:p w14:paraId="6A46CEDC">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对收到的扶持资金，应按照国家有关规定进行账务处理，专款专用，并按照《企业财务通则》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财政部第</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号令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和国家统一的会计制度、财务制度和税法规定进行财务管理，自觉接受有资质的审计机构审计监督。</w:t>
      </w:r>
    </w:p>
    <w:p w14:paraId="58635CCC">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凡涉及弄虚作假、截留、挪用项目资金，妨碍相关部门对项目进行检查的单位和个人，依法追究相关责任单位和责任人的责任。</w:t>
      </w:r>
    </w:p>
    <w:p w14:paraId="2C597BB2">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商务局负责加强对扶持资金的全过程管理，建立完善跟踪管理等各项工作机制和相关制度，及时向县政府报告扶持项目完成情况。</w:t>
      </w:r>
    </w:p>
    <w:p w14:paraId="174BA8F5">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县财政、审计、监察等部门负责加强对扶持资金的监督管理和绩效评估，监督管理和评价结果作为以后年度扶持资金安排的重要依据。</w:t>
      </w:r>
    </w:p>
    <w:p w14:paraId="1DCC48DB">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项目奖励资金列入县财政预算，按照国库集中支付管理办法相关规定执行。</w:t>
      </w:r>
    </w:p>
    <w:p w14:paraId="3FF751BE">
      <w:pPr>
        <w:autoSpaceDE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认真贯彻落实中央和省、市各项降低企业成本和各类税费减免优惠政策，深入挖掘政策潜力，对中央和省、市出台的各类税费优惠政策，凡认定条件有限制的，一律从宽认定；凡优惠标准有区间的，一律按上限执行。</w:t>
      </w:r>
    </w:p>
    <w:p w14:paraId="35A814CA">
      <w:pPr>
        <w:rPr>
          <w:rFonts w:hint="eastAsia" w:ascii="仿宋_GB2312" w:hAnsi="微软雅黑" w:eastAsia="仿宋_GB2312" w:cs="仿宋_GB2312"/>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A1013"/>
    <w:rsid w:val="1BAA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420" w:leftChars="200"/>
    </w:pPr>
    <w:rPr>
      <w:rFonts w:ascii="Times New Roman" w:hAnsi="Times New Roman" w:cs="Times New Roman"/>
    </w:rPr>
  </w:style>
  <w:style w:type="paragraph" w:styleId="3">
    <w:name w:val="Body Text"/>
    <w:basedOn w:val="1"/>
    <w:next w:val="1"/>
    <w:qFormat/>
    <w:uiPriority w:val="99"/>
    <w:pPr>
      <w:spacing w:after="120"/>
    </w:pPr>
    <w:rPr>
      <w:rFonts w:ascii="Times New Roman" w:hAnsi="Times New Roman" w:cs="Times New Roman"/>
    </w:rPr>
  </w:style>
  <w:style w:type="paragraph" w:styleId="4">
    <w:name w:val="index 6"/>
    <w:basedOn w:val="1"/>
    <w:next w:val="1"/>
    <w:semiHidden/>
    <w:qFormat/>
    <w:uiPriority w:val="99"/>
    <w:pPr>
      <w:spacing w:line="54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2025-10-28T06:39:00Z</dcterms:created>
  <dc:creator>既宅又腐前途未卜</dc:creator>
  <cp:lastModifiedBy>既宅又腐前途未卜</cp:lastModifiedBy>
  <dcterms:modified xsi:type="dcterms:W3CDTF">2025-10-28T06:40:29Z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66FFFFC3E195473CAC5B2E2E1ED114D2_11</vt:lpwstr>
  </property>
  <property fmtid="{D5CDD505-2E9C-101B-9397-08002B2CF9AE}" pid="4" name="KSOTemplateDocerSaveRecord">
    <vt:lpwstr>eyJoZGlkIjoiMWNlMGMxNTJhMjU1MjlmZTMwZjJhNzVhZjY0NDQzYjEiLCJ1c2VySWQiOiIyMzkyMDkyMTcifQ==</vt:lpwstr>
  </property>
</Properties>
</file>