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82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color w:val="0F1115"/>
          <w:sz w:val="36"/>
          <w:szCs w:val="36"/>
          <w:lang w:val="en-US" w:eastAsia="zh-CN"/>
        </w:rPr>
      </w:pPr>
    </w:p>
    <w:p w14:paraId="04B25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F1115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F1115"/>
          <w:sz w:val="44"/>
          <w:szCs w:val="44"/>
          <w:lang w:val="en-US" w:eastAsia="zh-CN"/>
        </w:rPr>
        <w:t>民乐</w:t>
      </w:r>
      <w:r>
        <w:rPr>
          <w:rFonts w:hint="default" w:ascii="Times New Roman" w:hAnsi="Times New Roman" w:eastAsia="方正小标宋简体" w:cs="Times New Roman"/>
          <w:b w:val="0"/>
          <w:bCs/>
          <w:color w:val="0F1115"/>
          <w:sz w:val="44"/>
          <w:szCs w:val="44"/>
        </w:rPr>
        <w:t>县暖气费收缴</w:t>
      </w:r>
      <w:r>
        <w:rPr>
          <w:rFonts w:hint="default" w:ascii="Times New Roman" w:hAnsi="Times New Roman" w:eastAsia="方正小标宋简体" w:cs="Times New Roman"/>
          <w:b w:val="0"/>
          <w:bCs/>
          <w:color w:val="0F1115"/>
          <w:sz w:val="44"/>
          <w:szCs w:val="44"/>
          <w:lang w:val="en-US" w:eastAsia="zh-CN"/>
        </w:rPr>
        <w:t>实施</w:t>
      </w:r>
      <w:r>
        <w:rPr>
          <w:rFonts w:hint="default" w:ascii="Times New Roman" w:hAnsi="Times New Roman" w:eastAsia="方正小标宋简体" w:cs="Times New Roman"/>
          <w:b w:val="0"/>
          <w:bCs/>
          <w:color w:val="0F1115"/>
          <w:sz w:val="44"/>
          <w:szCs w:val="44"/>
        </w:rPr>
        <w:t>方案</w:t>
      </w:r>
    </w:p>
    <w:p w14:paraId="27DF1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0F1115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F1115"/>
          <w:sz w:val="32"/>
          <w:szCs w:val="32"/>
          <w:lang w:eastAsia="zh-CN"/>
        </w:rPr>
        <w:t>（征求意见稿）</w:t>
      </w:r>
    </w:p>
    <w:p w14:paraId="2F988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color w:val="0F1115"/>
          <w:sz w:val="32"/>
          <w:szCs w:val="32"/>
        </w:rPr>
      </w:pPr>
    </w:p>
    <w:p w14:paraId="2DD24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为进一步规范全县暖气费收缴管理工作，规范供用热市场秩序，保障供热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eastAsia="zh-CN"/>
        </w:rPr>
        <w:t>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</w:rPr>
        <w:t>平稳有序运营，维护供用热双方合法权益，持续提升暖气费收缴工作质效，确保冬季供暖工作稳定开展，结合我县供热工作实际，特制定本实施方案。</w:t>
      </w:r>
    </w:p>
    <w:p w14:paraId="25A65A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F1115"/>
          <w:sz w:val="32"/>
          <w:szCs w:val="32"/>
          <w:lang w:val="en-US" w:eastAsia="zh-CN"/>
        </w:rPr>
        <w:t>一、工作目标</w:t>
      </w:r>
    </w:p>
    <w:p w14:paraId="2C541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聚焦年度暖气费收缴工作重点，压实工作责任、细化工作举措、强化服务保障，分阶段、分节点推进收费工作，稳步提升收缴率，确保完成各阶段既定目标：收费启动至10月底，整体收缴率达到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%；11月底，整体收缴率达到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%；12月底，整体收缴率达到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95%以上。</w:t>
      </w:r>
    </w:p>
    <w:p w14:paraId="63C231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F1115"/>
          <w:sz w:val="32"/>
          <w:szCs w:val="32"/>
          <w:lang w:val="en-US" w:eastAsia="zh-CN"/>
        </w:rPr>
        <w:t>二、工作措施</w:t>
      </w:r>
    </w:p>
    <w:p w14:paraId="40A7D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pacing w:val="-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（一）明确收费标准，规范计费认定</w:t>
      </w:r>
      <w:r>
        <w:rPr>
          <w:rFonts w:hint="eastAsia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严格执行全县统一供热收费标准，精准核定计费面积，确保收费工作公平、公正、公开。居民住宅供热收费标准为每采暖季每平方米28.3元；非居民用房供热收费标准为每采暖季每平方米33.2元。计费面积以用户不动产权证载明的建筑面积为唯一核定依据。非居民用户严格执行层高差异化收费政策，用户房屋层高超过3米的，每增加30厘米，供热费用在基</w:t>
      </w:r>
      <w:r>
        <w:rPr>
          <w:rFonts w:hint="default" w:ascii="Times New Roman" w:hAnsi="Times New Roman" w:eastAsia="仿宋_GB2312" w:cs="Times New Roman"/>
          <w:color w:val="0F1115"/>
          <w:spacing w:val="-11"/>
          <w:sz w:val="32"/>
          <w:szCs w:val="32"/>
          <w:lang w:val="en-US" w:eastAsia="zh-CN"/>
        </w:rPr>
        <w:t>础标准上加收10%，精准核算应收费用，杜绝漏收、少收、错收问题。</w:t>
      </w:r>
    </w:p>
    <w:p w14:paraId="026A7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（二）规范资金管理，严守财经纪律</w:t>
      </w:r>
      <w:r>
        <w:rPr>
          <w:rFonts w:hint="eastAsia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畅通线上、线下双向缴费渠道，同步开展费用收缴工作，全面规范暖气费资金收缴、对账、上缴全流程管理。收费人员每日做好收费明细统计，按时与银行进行账务核对，做到当日账款日清日结、账实相符、账款一致。严格执行财政“收支两条线”管理规定，所有暖气费收入全额上缴县财政非税收入管理局，纳入财政专户统一管理，严禁坐收坐支、截留、挪用收费资金，确保资金管理规范合规。</w:t>
      </w:r>
    </w:p>
    <w:p w14:paraId="42886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（三）强化宣传引导，营造良好氛围</w:t>
      </w:r>
      <w:r>
        <w:rPr>
          <w:rFonts w:hint="eastAsia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提前启动供热收费宣传工作，于供暖前两个月全面开展宣传工作，多渠道、全方位普及供热缴费相关政策。通过官方媒体平台、政务公众号、小区公告栏张贴通知、精准推送短信等方式，广泛宣传缴费标准、计费方式、缴费渠道、缴费时限、惠民政策及逾期缴费违约责任等关键内容，确保政策家喻户晓、人人知晓。开通并公开供热服务咨询热线，安排专人专职值守，及时解答群众关于缴费、用热、政策咨询等各类问题，主动回应群众诉求，引导群众主动、按时足额缴费。</w:t>
      </w:r>
    </w:p>
    <w:p w14:paraId="3DF95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（四）规范合同管理，压实用热权责</w:t>
      </w:r>
      <w:r>
        <w:rPr>
          <w:rFonts w:hint="eastAsia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严格依据《张掖市城市供热管理办法》相关规定，全面规范供用热合同签订、变更、履约全流程管理，明确供用热双方权利义务，细化供热时段、供热质量标准、收费计费标准、缴费时限、违规用热责任及违约金核算方式等核心内容，实现供用热服务契约化、规范化管理。严格执行新装用户用热审批制度，新增、新装用热用户须提前向供热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提交用热申请，依规办理开户、并网供热手续，足额缴清当期采暖费用后方可投入供热使用。针对房屋交易、产权过户等产生的用户信息变更情形，督促新旧用户及时对接供热单位，依规办理供用热合同变更、信息备案手续，厘清缴费主体与权责。对未签订正式供用热合同、未依规办理停热报备手续，实际正常占用、使用供热资源形成事实用热的用户，按照统一收费标准足额追缴采暖费用，杜绝无合同用热、无偿用热、私接用热等违规行为，维护供热收费公平秩序。</w:t>
      </w:r>
    </w:p>
    <w:p w14:paraId="32A98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（五）优化服务举措，分级精准催缴</w:t>
      </w:r>
      <w:r>
        <w:rPr>
          <w:rFonts w:hint="eastAsia" w:ascii="Times New Roman" w:hAnsi="Times New Roman" w:eastAsia="楷体_GB2312" w:cs="Times New Roman"/>
          <w:b/>
          <w:color w:val="0F1115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坚持“服务前置、分类施策、依法催缴”原则，优化供热便民服务，实行阶梯分级催缴，规范催缴流程、留存完整凭证，全面提升欠费清缴质效。</w:t>
      </w:r>
    </w:p>
    <w:p w14:paraId="5C5E6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F1115"/>
          <w:sz w:val="32"/>
          <w:szCs w:val="32"/>
          <w:lang w:eastAsia="zh-CN"/>
        </w:rPr>
        <w:t>1.日常常态化催缴。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供暖启动后，建立分片分户缴费台账，动态更新用户缴费及欠费情况。工作人员下沉小区楼栋，通过电话、短信、上门提醒等方式常态化开展催缴工作，每日梳理收费数据，按时完成账款核对、台账更新，引导用户及时缴费。针对鳏寡孤独、行动不便老人、残疾人等特殊群体，主动提供上门代办缴费便民服务。</w:t>
      </w:r>
    </w:p>
    <w:p w14:paraId="6344C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F1115"/>
          <w:sz w:val="32"/>
          <w:szCs w:val="32"/>
          <w:lang w:eastAsia="zh-CN"/>
        </w:rPr>
        <w:t>2.阶梯式分级催缴。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对供暖后未缴费用户实行分阶段、规范化阶梯催缴，全程留存通话录音、短信截图、书面回执等佐证资料，确保流程合法、证据完备。第一阶段（供暖后30天）：通过电话、短信开展温馨提醒，告知欠费金额及缴费渠道；第二阶段（供暖后60天）：送达首次书面催缴通知，明确缴费时限及逾期责任；第三阶段（供暖后90天）：二次书面催告，明确将依规计收违约金及限热、停热相关后果；第四阶段（供暖后120天）：完成第三次书面催缴。用户收悉催缴通知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超过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15日仍未缴费的，在保障其他用户正常用热前提下，依法对其实施限热或停热处理。</w:t>
      </w:r>
    </w:p>
    <w:p w14:paraId="190D7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F1115"/>
          <w:sz w:val="32"/>
          <w:szCs w:val="32"/>
          <w:lang w:eastAsia="zh-CN"/>
        </w:rPr>
        <w:t>3.攻坚联动催缴。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聚焦收费攻坚关键节点，实行干部划片包干、任务分解到人，组织专项队伍上门攻坚催缴。同步开展“访民问暖”活动，排查处置供暖问题、化解群众诉求，以优质服务推动主动缴费。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供热中心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加强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社管委联动</w:t>
      </w:r>
      <w:r>
        <w:rPr>
          <w:rFonts w:hint="eastAsia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配合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，依托社区网格化管理优势，开展点对点精准催缴，提升欠费清缴效率。</w:t>
      </w:r>
    </w:p>
    <w:p w14:paraId="0703EC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F1115"/>
          <w:sz w:val="32"/>
          <w:szCs w:val="32"/>
          <w:lang w:eastAsia="zh-CN"/>
        </w:rPr>
        <w:t>4.欠费刚性追缴。</w:t>
      </w:r>
      <w:r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  <w:t>对多次催告仍拒不缴费、长期恶意欠费及存在伪造停暖证明、隐瞒用热事实等违规行为的用户，建立专项欠费台账，严格依据供用热合同追缴违约金，依法采取停暖措施。对逾期超90日、恶意拖欠拒不整改的，启动司法诉讼程序依法追缴欠费。</w:t>
      </w:r>
    </w:p>
    <w:p w14:paraId="5E55BE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F1115"/>
          <w:sz w:val="32"/>
          <w:szCs w:val="32"/>
          <w:lang w:val="en-US" w:eastAsia="zh-CN"/>
        </w:rPr>
        <w:t>三、保障措施</w:t>
      </w:r>
    </w:p>
    <w:p w14:paraId="344279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F11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F1115"/>
          <w:sz w:val="32"/>
          <w:szCs w:val="32"/>
          <w:lang w:val="en-US" w:eastAsia="zh-CN"/>
        </w:rPr>
        <w:t>充分发挥县供暖工作专班统筹牵头、综合协调作用，统筹调度全县暖气费收缴工作。县供热管理中心切实履行主体责任，紧盯各阶段收缴目标任务，主动加强法院与社区、物业服务企业等相关单位沟通对接、协同联动，凝聚工作合力，高效破解收费工作难点堵点问题。将年度暖气费收缴总目标细化分解至各收费班组、具体工作人员，明确岗位职责、工作任务和完成时限，构建“层层抓落实、人人有责任”的工作格局。建立健全绩效考核机制，将收费任务完成情况与个人工资薪酬、年度考核、评优评先直接挂钩，压实工作责任，充分调动工作人员积极性和主动性。工业园区、集镇供热区域暖气费收缴工作，可参照本方案标准及要求执行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4971C">
    <w:pPr>
      <w:pStyle w:val="5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D6B8C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7D6B8C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770D64"/>
    <w:rsid w:val="04BC3FEE"/>
    <w:rsid w:val="05243941"/>
    <w:rsid w:val="059705B7"/>
    <w:rsid w:val="069D7E4F"/>
    <w:rsid w:val="072D11D3"/>
    <w:rsid w:val="0CFD1647"/>
    <w:rsid w:val="0F923BB7"/>
    <w:rsid w:val="100920B1"/>
    <w:rsid w:val="111B6540"/>
    <w:rsid w:val="146B333A"/>
    <w:rsid w:val="149D708F"/>
    <w:rsid w:val="155F3EED"/>
    <w:rsid w:val="165C24F7"/>
    <w:rsid w:val="178963E1"/>
    <w:rsid w:val="18BD1C8B"/>
    <w:rsid w:val="1C4B6BE5"/>
    <w:rsid w:val="1F29007A"/>
    <w:rsid w:val="2265761B"/>
    <w:rsid w:val="23502079"/>
    <w:rsid w:val="26E734B9"/>
    <w:rsid w:val="28384615"/>
    <w:rsid w:val="297E0FC2"/>
    <w:rsid w:val="317E24A7"/>
    <w:rsid w:val="3402116D"/>
    <w:rsid w:val="3BD22C88"/>
    <w:rsid w:val="3C355E58"/>
    <w:rsid w:val="3DE16DCB"/>
    <w:rsid w:val="3DF95052"/>
    <w:rsid w:val="3F572FAD"/>
    <w:rsid w:val="420267DC"/>
    <w:rsid w:val="426221DE"/>
    <w:rsid w:val="4C1415E6"/>
    <w:rsid w:val="4E730C35"/>
    <w:rsid w:val="4EF42303"/>
    <w:rsid w:val="4F820F5D"/>
    <w:rsid w:val="521E31BF"/>
    <w:rsid w:val="523C53F3"/>
    <w:rsid w:val="52E00FF3"/>
    <w:rsid w:val="557D01FC"/>
    <w:rsid w:val="55DB7EE4"/>
    <w:rsid w:val="56611ACF"/>
    <w:rsid w:val="56D54068"/>
    <w:rsid w:val="5DD24E5D"/>
    <w:rsid w:val="649D2C0B"/>
    <w:rsid w:val="64D8544F"/>
    <w:rsid w:val="677A0A3F"/>
    <w:rsid w:val="68863414"/>
    <w:rsid w:val="692C47C8"/>
    <w:rsid w:val="6DCC7B1B"/>
    <w:rsid w:val="6F411E43"/>
    <w:rsid w:val="7318735E"/>
    <w:rsid w:val="74C0380A"/>
    <w:rsid w:val="75AB270C"/>
    <w:rsid w:val="78853F32"/>
    <w:rsid w:val="7AAB4333"/>
    <w:rsid w:val="7B332F70"/>
    <w:rsid w:val="7DA95783"/>
    <w:rsid w:val="7EBE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5"/>
    <w:qFormat/>
    <w:uiPriority w:val="0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2"/>
    </w:pPr>
    <w:rPr>
      <w:rFonts w:ascii="宋体" w:eastAsia="宋体"/>
      <w:b/>
      <w:snapToGrid/>
      <w:color w:val="auto"/>
      <w:spacing w:val="0"/>
      <w:w w:val="100"/>
      <w:kern w:val="0"/>
      <w:position w:val="0"/>
      <w:sz w:val="27"/>
      <w:u w:val="none" w:color="auto"/>
      <w:shd w:val="clear" w:color="auto" w:fill="auto"/>
      <w:vertAlign w:val="baseline"/>
      <w:lang w:val="en-US" w:eastAsia="zh-CN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character" w:customStyle="1" w:styleId="13">
    <w:name w:val="heading 1 Char"/>
    <w:basedOn w:val="9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4">
    <w:name w:val="heading 2 Char"/>
    <w:basedOn w:val="9"/>
    <w:link w:val="3"/>
    <w:qFormat/>
    <w:uiPriority w:val="0"/>
    <w:rPr>
      <w:rFonts w:ascii="Times New Roman" w:hAnsi="Times New Roman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5">
    <w:name w:val="heading 3 Char"/>
    <w:basedOn w:val="9"/>
    <w:link w:val="4"/>
    <w:qFormat/>
    <w:uiPriority w:val="0"/>
    <w:rPr>
      <w:rFonts w:ascii="宋体" w:hAnsi="Calibri" w:eastAsia="宋体" w:cs="Arial"/>
      <w:b/>
      <w:snapToGrid/>
      <w:color w:val="auto"/>
      <w:spacing w:val="0"/>
      <w:w w:val="100"/>
      <w:kern w:val="0"/>
      <w:position w:val="0"/>
      <w:sz w:val="27"/>
      <w:szCs w:val="24"/>
      <w:u w:val="none" w:color="auto"/>
      <w:shd w:val="clear" w:color="auto" w:fill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26650 1 1 1 1 1"/>
    <sectPr pgNumType="\* ArabicDash2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116366-4519-4CBD-9834-A3D671952D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5</Pages>
  <Words>2275</Words>
  <Characters>2306</Characters>
  <Lines>0</Lines>
  <Paragraphs>162</Paragraphs>
  <TotalTime>3</TotalTime>
  <ScaleCrop>false</ScaleCrop>
  <LinksUpToDate>false</LinksUpToDate>
  <CharactersWithSpaces>2306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2026-10-06T01:38:00Z</dcterms:created>
  <dc:creator>Administrator</dc:creator>
  <cp:lastModifiedBy>安好</cp:lastModifiedBy>
  <cp:lastPrinted>2026-10-07T17:02:00Z</cp:lastPrinted>
  <dcterms:modified xsi:type="dcterms:W3CDTF">2026-10-21T07:55:40Z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eyJoZGlkIjoiMWEyMjQ3MWYzOTE2YzA4OTMzMTFhM2E2ZTVkNWM3ODQiLCJ1c2VySWQiOiI5OTQ1NjgxMDMifQ==</vt:lpwstr>
  </property>
  <property fmtid="{D5CDD505-2E9C-101B-9397-08002B2CF9AE}" pid="4" name="ICV">
    <vt:lpwstr>4151E093A78340B58D498F66C6C50CDA_12</vt:lpwstr>
  </property>
</Properties>
</file>