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F93E7">
      <w:pPr>
        <w:spacing w:before="101" w:line="226" w:lineRule="auto"/>
        <w:ind w:left="147"/>
        <w:rPr>
          <w:rFonts w:hint="eastAsia" w:ascii="黑体" w:hAnsi="黑体" w:eastAsia="黑体" w:cs="黑体"/>
          <w:sz w:val="31"/>
          <w:szCs w:val="31"/>
          <w:lang w:val="en-US" w:eastAsia="zh-CN"/>
        </w:rPr>
      </w:pPr>
      <w:r>
        <w:rPr>
          <w:rFonts w:ascii="黑体" w:hAnsi="黑体" w:eastAsia="黑体" w:cs="黑体"/>
          <w:spacing w:val="-9"/>
          <w:sz w:val="31"/>
          <w:szCs w:val="31"/>
        </w:rPr>
        <w:t>附件</w:t>
      </w:r>
      <w:r>
        <w:rPr>
          <w:rFonts w:hint="eastAsia" w:ascii="黑体" w:hAnsi="黑体" w:eastAsia="黑体" w:cs="黑体"/>
          <w:spacing w:val="-9"/>
          <w:sz w:val="31"/>
          <w:szCs w:val="31"/>
          <w:lang w:val="en-US" w:eastAsia="zh-CN"/>
        </w:rPr>
        <w:t>1</w:t>
      </w:r>
      <w:bookmarkStart w:id="0" w:name="_GoBack"/>
      <w:bookmarkEnd w:id="0"/>
    </w:p>
    <w:p w14:paraId="67D688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
          <w:sz w:val="44"/>
          <w:szCs w:val="44"/>
        </w:rPr>
      </w:pPr>
      <w:r>
        <w:rPr>
          <w:rFonts w:hint="eastAsia" w:ascii="方正小标宋简体" w:hAnsi="方正小标宋简体" w:eastAsia="方正小标宋简体" w:cs="方正小标宋简体"/>
          <w:b w:val="0"/>
          <w:bCs w:val="0"/>
          <w:spacing w:val="1"/>
          <w:sz w:val="44"/>
          <w:szCs w:val="44"/>
        </w:rPr>
        <w:t>行政执法事项目录清单 (行政处罚 )</w:t>
      </w:r>
    </w:p>
    <w:p w14:paraId="7242FA7F">
      <w:pPr>
        <w:spacing w:line="44" w:lineRule="exact"/>
      </w:pPr>
    </w:p>
    <w:tbl>
      <w:tblPr>
        <w:tblStyle w:val="7"/>
        <w:tblW w:w="137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2"/>
        <w:gridCol w:w="1605"/>
        <w:gridCol w:w="795"/>
        <w:gridCol w:w="1005"/>
        <w:gridCol w:w="975"/>
        <w:gridCol w:w="737"/>
        <w:gridCol w:w="2833"/>
        <w:gridCol w:w="765"/>
        <w:gridCol w:w="2085"/>
        <w:gridCol w:w="885"/>
        <w:gridCol w:w="870"/>
        <w:gridCol w:w="780"/>
      </w:tblGrid>
      <w:tr w14:paraId="4E053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452" w:type="dxa"/>
            <w:vMerge w:val="restart"/>
            <w:tcBorders>
              <w:bottom w:val="nil"/>
            </w:tcBorders>
            <w:textDirection w:val="tbRlV"/>
            <w:vAlign w:val="top"/>
          </w:tcPr>
          <w:p w14:paraId="707BF930">
            <w:pPr>
              <w:spacing w:before="127" w:line="214" w:lineRule="auto"/>
              <w:ind w:left="69"/>
              <w:jc w:val="center"/>
              <w:rPr>
                <w:rFonts w:ascii="黑体" w:hAnsi="黑体" w:eastAsia="黑体" w:cs="黑体"/>
                <w:sz w:val="19"/>
                <w:szCs w:val="19"/>
              </w:rPr>
            </w:pPr>
            <w:r>
              <w:rPr>
                <w:rFonts w:ascii="黑体" w:hAnsi="黑体" w:eastAsia="黑体" w:cs="黑体"/>
                <w:spacing w:val="8"/>
                <w:sz w:val="19"/>
                <w:szCs w:val="19"/>
              </w:rPr>
              <w:t>序</w:t>
            </w:r>
            <w:r>
              <w:rPr>
                <w:rFonts w:ascii="黑体" w:hAnsi="黑体" w:eastAsia="黑体" w:cs="黑体"/>
                <w:spacing w:val="-15"/>
                <w:sz w:val="19"/>
                <w:szCs w:val="19"/>
              </w:rPr>
              <w:t xml:space="preserve"> </w:t>
            </w:r>
            <w:r>
              <w:rPr>
                <w:rFonts w:ascii="黑体" w:hAnsi="黑体" w:eastAsia="黑体" w:cs="黑体"/>
                <w:spacing w:val="8"/>
                <w:sz w:val="19"/>
                <w:szCs w:val="19"/>
              </w:rPr>
              <w:t>号</w:t>
            </w:r>
          </w:p>
        </w:tc>
        <w:tc>
          <w:tcPr>
            <w:tcW w:w="1605" w:type="dxa"/>
            <w:vMerge w:val="restart"/>
            <w:tcBorders>
              <w:bottom w:val="nil"/>
            </w:tcBorders>
            <w:vAlign w:val="top"/>
          </w:tcPr>
          <w:p w14:paraId="250AED12">
            <w:pPr>
              <w:spacing w:before="69" w:line="247" w:lineRule="auto"/>
              <w:ind w:left="141" w:right="135"/>
              <w:jc w:val="center"/>
              <w:rPr>
                <w:rFonts w:ascii="黑体" w:hAnsi="黑体" w:eastAsia="黑体" w:cs="黑体"/>
                <w:sz w:val="19"/>
                <w:szCs w:val="19"/>
              </w:rPr>
            </w:pPr>
            <w:r>
              <w:rPr>
                <w:rFonts w:ascii="黑体" w:hAnsi="黑体" w:eastAsia="黑体" w:cs="黑体"/>
                <w:spacing w:val="5"/>
                <w:sz w:val="19"/>
                <w:szCs w:val="19"/>
              </w:rPr>
              <w:t>执法事项名称</w:t>
            </w:r>
          </w:p>
        </w:tc>
        <w:tc>
          <w:tcPr>
            <w:tcW w:w="795" w:type="dxa"/>
            <w:vMerge w:val="restart"/>
            <w:tcBorders>
              <w:bottom w:val="nil"/>
            </w:tcBorders>
            <w:vAlign w:val="top"/>
          </w:tcPr>
          <w:p w14:paraId="4225BC60">
            <w:pPr>
              <w:spacing w:before="69" w:line="247" w:lineRule="auto"/>
              <w:ind w:right="185"/>
              <w:jc w:val="center"/>
              <w:rPr>
                <w:rFonts w:ascii="黑体" w:hAnsi="黑体" w:eastAsia="黑体" w:cs="黑体"/>
                <w:sz w:val="19"/>
                <w:szCs w:val="19"/>
              </w:rPr>
            </w:pPr>
            <w:r>
              <w:rPr>
                <w:rFonts w:ascii="黑体" w:hAnsi="黑体" w:eastAsia="黑体" w:cs="黑体"/>
                <w:spacing w:val="5"/>
                <w:sz w:val="19"/>
                <w:szCs w:val="19"/>
              </w:rPr>
              <w:t>执法事</w:t>
            </w:r>
            <w:r>
              <w:rPr>
                <w:rFonts w:ascii="黑体" w:hAnsi="黑体" w:eastAsia="黑体" w:cs="黑体"/>
                <w:sz w:val="19"/>
                <w:szCs w:val="19"/>
              </w:rPr>
              <w:t xml:space="preserve"> </w:t>
            </w:r>
            <w:r>
              <w:rPr>
                <w:rFonts w:ascii="黑体" w:hAnsi="黑体" w:eastAsia="黑体" w:cs="黑体"/>
                <w:spacing w:val="5"/>
                <w:sz w:val="19"/>
                <w:szCs w:val="19"/>
              </w:rPr>
              <w:t>项类型</w:t>
            </w:r>
          </w:p>
        </w:tc>
        <w:tc>
          <w:tcPr>
            <w:tcW w:w="1005" w:type="dxa"/>
            <w:vMerge w:val="restart"/>
            <w:tcBorders>
              <w:bottom w:val="nil"/>
            </w:tcBorders>
            <w:vAlign w:val="top"/>
          </w:tcPr>
          <w:p w14:paraId="440159B1">
            <w:pPr>
              <w:spacing w:before="209" w:line="224" w:lineRule="auto"/>
              <w:ind w:left="166"/>
              <w:jc w:val="center"/>
              <w:rPr>
                <w:rFonts w:ascii="黑体" w:hAnsi="黑体" w:eastAsia="黑体" w:cs="黑体"/>
                <w:sz w:val="19"/>
                <w:szCs w:val="19"/>
              </w:rPr>
            </w:pPr>
            <w:r>
              <w:rPr>
                <w:rFonts w:ascii="黑体" w:hAnsi="黑体" w:eastAsia="黑体" w:cs="黑体"/>
                <w:spacing w:val="14"/>
                <w:sz w:val="19"/>
                <w:szCs w:val="19"/>
              </w:rPr>
              <w:t>执法部门</w:t>
            </w:r>
          </w:p>
        </w:tc>
        <w:tc>
          <w:tcPr>
            <w:tcW w:w="975" w:type="dxa"/>
            <w:vMerge w:val="restart"/>
            <w:tcBorders>
              <w:bottom w:val="nil"/>
            </w:tcBorders>
            <w:vAlign w:val="top"/>
          </w:tcPr>
          <w:p w14:paraId="49A733CF">
            <w:pPr>
              <w:spacing w:before="209" w:line="224" w:lineRule="auto"/>
              <w:ind w:left="135"/>
              <w:jc w:val="center"/>
              <w:rPr>
                <w:rFonts w:ascii="黑体" w:hAnsi="黑体" w:eastAsia="黑体" w:cs="黑体"/>
                <w:sz w:val="19"/>
                <w:szCs w:val="19"/>
              </w:rPr>
            </w:pPr>
            <w:r>
              <w:rPr>
                <w:rFonts w:ascii="黑体" w:hAnsi="黑体" w:eastAsia="黑体" w:cs="黑体"/>
                <w:spacing w:val="4"/>
                <w:sz w:val="19"/>
                <w:szCs w:val="19"/>
              </w:rPr>
              <w:t>执法领域</w:t>
            </w:r>
          </w:p>
        </w:tc>
        <w:tc>
          <w:tcPr>
            <w:tcW w:w="737" w:type="dxa"/>
            <w:vMerge w:val="restart"/>
            <w:tcBorders>
              <w:bottom w:val="nil"/>
            </w:tcBorders>
            <w:vAlign w:val="top"/>
          </w:tcPr>
          <w:p w14:paraId="2B13C06E">
            <w:pPr>
              <w:spacing w:before="208" w:line="226" w:lineRule="auto"/>
              <w:ind w:left="138"/>
              <w:jc w:val="center"/>
              <w:rPr>
                <w:rFonts w:ascii="黑体" w:hAnsi="黑体" w:eastAsia="黑体" w:cs="黑体"/>
                <w:sz w:val="19"/>
                <w:szCs w:val="19"/>
              </w:rPr>
            </w:pPr>
            <w:r>
              <w:rPr>
                <w:rFonts w:ascii="黑体" w:hAnsi="黑体" w:eastAsia="黑体" w:cs="黑体"/>
                <w:spacing w:val="8"/>
                <w:sz w:val="19"/>
                <w:szCs w:val="19"/>
              </w:rPr>
              <w:t>实施层级</w:t>
            </w:r>
          </w:p>
        </w:tc>
        <w:tc>
          <w:tcPr>
            <w:tcW w:w="7438" w:type="dxa"/>
            <w:gridSpan w:val="5"/>
            <w:vAlign w:val="top"/>
          </w:tcPr>
          <w:p w14:paraId="40063924">
            <w:pPr>
              <w:spacing w:before="62" w:line="219" w:lineRule="auto"/>
              <w:ind w:left="3500"/>
              <w:jc w:val="center"/>
              <w:rPr>
                <w:rFonts w:ascii="黑体" w:hAnsi="黑体" w:eastAsia="黑体" w:cs="黑体"/>
                <w:sz w:val="19"/>
                <w:szCs w:val="19"/>
              </w:rPr>
            </w:pPr>
            <w:r>
              <w:rPr>
                <w:rFonts w:ascii="黑体" w:hAnsi="黑体" w:eastAsia="黑体" w:cs="黑体"/>
                <w:spacing w:val="4"/>
                <w:sz w:val="19"/>
                <w:szCs w:val="19"/>
              </w:rPr>
              <w:t>执法依据</w:t>
            </w:r>
          </w:p>
        </w:tc>
        <w:tc>
          <w:tcPr>
            <w:tcW w:w="780" w:type="dxa"/>
            <w:vMerge w:val="restart"/>
            <w:tcBorders>
              <w:bottom w:val="nil"/>
            </w:tcBorders>
            <w:vAlign w:val="top"/>
          </w:tcPr>
          <w:p w14:paraId="647CB681">
            <w:pPr>
              <w:spacing w:before="208" w:line="227" w:lineRule="auto"/>
              <w:ind w:left="218"/>
              <w:jc w:val="center"/>
              <w:rPr>
                <w:rFonts w:ascii="黑体" w:hAnsi="黑体" w:eastAsia="黑体" w:cs="黑体"/>
                <w:sz w:val="19"/>
                <w:szCs w:val="19"/>
              </w:rPr>
            </w:pPr>
            <w:r>
              <w:rPr>
                <w:rFonts w:ascii="黑体" w:hAnsi="黑体" w:eastAsia="黑体" w:cs="黑体"/>
                <w:spacing w:val="2"/>
                <w:sz w:val="19"/>
                <w:szCs w:val="19"/>
              </w:rPr>
              <w:t>备注</w:t>
            </w:r>
          </w:p>
        </w:tc>
      </w:tr>
      <w:tr w14:paraId="7920B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52" w:type="dxa"/>
            <w:vMerge w:val="continue"/>
            <w:tcBorders>
              <w:top w:val="nil"/>
            </w:tcBorders>
            <w:textDirection w:val="tbRlV"/>
            <w:vAlign w:val="top"/>
          </w:tcPr>
          <w:p w14:paraId="00107935">
            <w:pPr>
              <w:rPr>
                <w:rFonts w:ascii="Arial"/>
                <w:sz w:val="21"/>
              </w:rPr>
            </w:pPr>
          </w:p>
        </w:tc>
        <w:tc>
          <w:tcPr>
            <w:tcW w:w="1605" w:type="dxa"/>
            <w:vMerge w:val="continue"/>
            <w:tcBorders>
              <w:top w:val="nil"/>
            </w:tcBorders>
            <w:vAlign w:val="top"/>
          </w:tcPr>
          <w:p w14:paraId="39557190">
            <w:pPr>
              <w:rPr>
                <w:rFonts w:ascii="Arial"/>
                <w:sz w:val="21"/>
              </w:rPr>
            </w:pPr>
          </w:p>
        </w:tc>
        <w:tc>
          <w:tcPr>
            <w:tcW w:w="795" w:type="dxa"/>
            <w:vMerge w:val="continue"/>
            <w:tcBorders>
              <w:top w:val="nil"/>
            </w:tcBorders>
            <w:vAlign w:val="top"/>
          </w:tcPr>
          <w:p w14:paraId="32D47EC0">
            <w:pPr>
              <w:rPr>
                <w:rFonts w:ascii="Arial"/>
                <w:sz w:val="21"/>
              </w:rPr>
            </w:pPr>
          </w:p>
        </w:tc>
        <w:tc>
          <w:tcPr>
            <w:tcW w:w="1005" w:type="dxa"/>
            <w:vMerge w:val="continue"/>
            <w:tcBorders>
              <w:top w:val="nil"/>
            </w:tcBorders>
            <w:vAlign w:val="top"/>
          </w:tcPr>
          <w:p w14:paraId="3F38A971">
            <w:pPr>
              <w:rPr>
                <w:rFonts w:ascii="Arial"/>
                <w:sz w:val="21"/>
              </w:rPr>
            </w:pPr>
          </w:p>
        </w:tc>
        <w:tc>
          <w:tcPr>
            <w:tcW w:w="975" w:type="dxa"/>
            <w:vMerge w:val="continue"/>
            <w:tcBorders>
              <w:top w:val="nil"/>
            </w:tcBorders>
            <w:vAlign w:val="top"/>
          </w:tcPr>
          <w:p w14:paraId="42C40489">
            <w:pPr>
              <w:rPr>
                <w:rFonts w:ascii="Arial"/>
                <w:sz w:val="21"/>
              </w:rPr>
            </w:pPr>
          </w:p>
        </w:tc>
        <w:tc>
          <w:tcPr>
            <w:tcW w:w="737" w:type="dxa"/>
            <w:vMerge w:val="continue"/>
            <w:tcBorders>
              <w:top w:val="nil"/>
            </w:tcBorders>
            <w:vAlign w:val="top"/>
          </w:tcPr>
          <w:p w14:paraId="3854D801">
            <w:pPr>
              <w:rPr>
                <w:rFonts w:ascii="Arial"/>
                <w:sz w:val="21"/>
              </w:rPr>
            </w:pPr>
          </w:p>
        </w:tc>
        <w:tc>
          <w:tcPr>
            <w:tcW w:w="2833" w:type="dxa"/>
            <w:vAlign w:val="top"/>
          </w:tcPr>
          <w:p w14:paraId="04CABACB">
            <w:pPr>
              <w:spacing w:before="54" w:line="214" w:lineRule="auto"/>
              <w:ind w:left="805"/>
              <w:rPr>
                <w:rFonts w:ascii="黑体" w:hAnsi="黑体" w:eastAsia="黑体" w:cs="黑体"/>
                <w:sz w:val="19"/>
                <w:szCs w:val="19"/>
              </w:rPr>
            </w:pPr>
            <w:r>
              <w:rPr>
                <w:rFonts w:ascii="黑体" w:hAnsi="黑体" w:eastAsia="黑体" w:cs="黑体"/>
                <w:spacing w:val="2"/>
                <w:sz w:val="19"/>
                <w:szCs w:val="19"/>
              </w:rPr>
              <w:t>法律</w:t>
            </w:r>
          </w:p>
        </w:tc>
        <w:tc>
          <w:tcPr>
            <w:tcW w:w="765" w:type="dxa"/>
            <w:vAlign w:val="top"/>
          </w:tcPr>
          <w:p w14:paraId="7D788653">
            <w:pPr>
              <w:spacing w:before="54" w:line="214" w:lineRule="auto"/>
              <w:ind w:left="197"/>
              <w:rPr>
                <w:rFonts w:ascii="黑体" w:hAnsi="黑体" w:eastAsia="黑体" w:cs="黑体"/>
                <w:sz w:val="19"/>
                <w:szCs w:val="19"/>
              </w:rPr>
            </w:pPr>
            <w:r>
              <w:rPr>
                <w:rFonts w:ascii="黑体" w:hAnsi="黑体" w:eastAsia="黑体" w:cs="黑体"/>
                <w:spacing w:val="4"/>
                <w:sz w:val="19"/>
                <w:szCs w:val="19"/>
              </w:rPr>
              <w:t>行政法规</w:t>
            </w:r>
          </w:p>
        </w:tc>
        <w:tc>
          <w:tcPr>
            <w:tcW w:w="2085" w:type="dxa"/>
            <w:vAlign w:val="top"/>
          </w:tcPr>
          <w:p w14:paraId="3D5601F8">
            <w:pPr>
              <w:spacing w:before="54" w:line="214" w:lineRule="auto"/>
              <w:ind w:firstLine="594" w:firstLineChars="300"/>
              <w:rPr>
                <w:rFonts w:ascii="黑体" w:hAnsi="黑体" w:eastAsia="黑体" w:cs="黑体"/>
                <w:sz w:val="19"/>
                <w:szCs w:val="19"/>
              </w:rPr>
            </w:pPr>
            <w:r>
              <w:rPr>
                <w:rFonts w:ascii="黑体" w:hAnsi="黑体" w:eastAsia="黑体" w:cs="黑体"/>
                <w:spacing w:val="4"/>
                <w:sz w:val="19"/>
                <w:szCs w:val="19"/>
              </w:rPr>
              <w:t>地方性法规</w:t>
            </w:r>
          </w:p>
        </w:tc>
        <w:tc>
          <w:tcPr>
            <w:tcW w:w="885" w:type="dxa"/>
            <w:vAlign w:val="top"/>
          </w:tcPr>
          <w:p w14:paraId="48003CAB">
            <w:pPr>
              <w:spacing w:before="54" w:line="214" w:lineRule="auto"/>
              <w:rPr>
                <w:rFonts w:ascii="黑体" w:hAnsi="黑体" w:eastAsia="黑体" w:cs="黑体"/>
                <w:sz w:val="19"/>
                <w:szCs w:val="19"/>
              </w:rPr>
            </w:pPr>
            <w:r>
              <w:rPr>
                <w:rFonts w:ascii="黑体" w:hAnsi="黑体" w:eastAsia="黑体" w:cs="黑体"/>
                <w:spacing w:val="11"/>
                <w:sz w:val="19"/>
                <w:szCs w:val="19"/>
              </w:rPr>
              <w:t>部门规章</w:t>
            </w:r>
          </w:p>
        </w:tc>
        <w:tc>
          <w:tcPr>
            <w:tcW w:w="870" w:type="dxa"/>
            <w:vAlign w:val="top"/>
          </w:tcPr>
          <w:p w14:paraId="0A6EFCD2">
            <w:pPr>
              <w:spacing w:before="54" w:line="214" w:lineRule="auto"/>
              <w:rPr>
                <w:rFonts w:ascii="黑体" w:hAnsi="黑体" w:eastAsia="黑体" w:cs="黑体"/>
                <w:sz w:val="19"/>
                <w:szCs w:val="19"/>
              </w:rPr>
            </w:pPr>
            <w:r>
              <w:rPr>
                <w:rFonts w:ascii="黑体" w:hAnsi="黑体" w:eastAsia="黑体" w:cs="黑体"/>
                <w:spacing w:val="4"/>
                <w:sz w:val="19"/>
                <w:szCs w:val="19"/>
              </w:rPr>
              <w:t>政府</w:t>
            </w:r>
            <w:r>
              <w:rPr>
                <w:rFonts w:hint="eastAsia" w:ascii="黑体" w:hAnsi="黑体" w:eastAsia="黑体" w:cs="黑体"/>
                <w:spacing w:val="4"/>
                <w:sz w:val="19"/>
                <w:szCs w:val="19"/>
                <w:lang w:eastAsia="zh-CN"/>
              </w:rPr>
              <w:t>规</w:t>
            </w:r>
            <w:r>
              <w:rPr>
                <w:rFonts w:ascii="黑体" w:hAnsi="黑体" w:eastAsia="黑体" w:cs="黑体"/>
                <w:spacing w:val="4"/>
                <w:sz w:val="19"/>
                <w:szCs w:val="19"/>
              </w:rPr>
              <w:t>章</w:t>
            </w:r>
          </w:p>
        </w:tc>
        <w:tc>
          <w:tcPr>
            <w:tcW w:w="780" w:type="dxa"/>
            <w:vMerge w:val="continue"/>
            <w:tcBorders>
              <w:top w:val="nil"/>
            </w:tcBorders>
            <w:vAlign w:val="top"/>
          </w:tcPr>
          <w:p w14:paraId="0EC649C9">
            <w:pPr>
              <w:rPr>
                <w:rFonts w:ascii="Arial"/>
                <w:sz w:val="21"/>
              </w:rPr>
            </w:pPr>
          </w:p>
        </w:tc>
      </w:tr>
      <w:tr w14:paraId="487FB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5" w:hRule="atLeast"/>
        </w:trPr>
        <w:tc>
          <w:tcPr>
            <w:tcW w:w="452" w:type="dxa"/>
            <w:vAlign w:val="center"/>
          </w:tcPr>
          <w:p w14:paraId="215854AA">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asciiTheme="minorEastAsia" w:hAnsiTheme="minorEastAsia" w:eastAsiaTheme="minorEastAsia" w:cstheme="minorEastAsia"/>
                <w:b w:val="0"/>
                <w:bCs w:val="0"/>
                <w:spacing w:val="1"/>
                <w:sz w:val="15"/>
                <w:szCs w:val="15"/>
                <w:vertAlign w:val="baseline"/>
                <w:lang w:val="en-US" w:eastAsia="zh-CN"/>
              </w:rPr>
              <w:t>1</w:t>
            </w:r>
          </w:p>
        </w:tc>
        <w:tc>
          <w:tcPr>
            <w:tcW w:w="1605" w:type="dxa"/>
            <w:shd w:val="clear" w:color="auto" w:fill="auto"/>
            <w:vAlign w:val="center"/>
          </w:tcPr>
          <w:p w14:paraId="468498F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en-US"/>
              </w:rPr>
            </w:pPr>
            <w:r>
              <w:rPr>
                <w:rFonts w:hint="eastAsia" w:asciiTheme="minorEastAsia" w:hAnsiTheme="minorEastAsia" w:eastAsiaTheme="minorEastAsia" w:cstheme="minorEastAsia"/>
                <w:spacing w:val="5"/>
                <w:sz w:val="16"/>
                <w:szCs w:val="16"/>
                <w:lang w:val="en-US" w:eastAsia="zh-CN"/>
              </w:rPr>
              <w:t>对在城市道路及其他公共场所的交通、电力、邮政、电信、环境卫生等各类设施，未按照有关规定和规范的要求设置，未保持完好和整洁美观。出现破旧、污损或者丢失的，所有权人或者维护管理单位不及时维修、更换、清洗或者补设的处罚</w:t>
            </w:r>
          </w:p>
        </w:tc>
        <w:tc>
          <w:tcPr>
            <w:tcW w:w="795" w:type="dxa"/>
            <w:vAlign w:val="center"/>
          </w:tcPr>
          <w:p w14:paraId="6987848D">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asciiTheme="minorEastAsia" w:hAnsiTheme="minorEastAsia" w:eastAsiaTheme="minorEastAsia" w:cstheme="minorEastAsia"/>
                <w:spacing w:val="5"/>
                <w:sz w:val="15"/>
                <w:szCs w:val="15"/>
              </w:rPr>
              <w:t>行政处罚</w:t>
            </w:r>
          </w:p>
        </w:tc>
        <w:tc>
          <w:tcPr>
            <w:tcW w:w="1005" w:type="dxa"/>
            <w:vAlign w:val="center"/>
          </w:tcPr>
          <w:p w14:paraId="435724D6">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asciiTheme="minorEastAsia" w:hAnsiTheme="minorEastAsia" w:eastAsiaTheme="minorEastAsia" w:cstheme="minorEastAsia"/>
                <w:spacing w:val="4"/>
                <w:sz w:val="15"/>
                <w:szCs w:val="15"/>
                <w:lang w:val="en-US" w:eastAsia="zh-CN"/>
              </w:rPr>
              <w:t>民乐县城市管理局</w:t>
            </w:r>
          </w:p>
        </w:tc>
        <w:tc>
          <w:tcPr>
            <w:tcW w:w="975" w:type="dxa"/>
            <w:vAlign w:val="center"/>
          </w:tcPr>
          <w:p w14:paraId="5C6D20DF">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asciiTheme="minorEastAsia" w:hAnsiTheme="minorEastAsia" w:eastAsiaTheme="minorEastAsia" w:cstheme="minorEastAsia"/>
                <w:spacing w:val="1"/>
                <w:sz w:val="15"/>
                <w:szCs w:val="15"/>
              </w:rPr>
              <w:t>城市管理</w:t>
            </w:r>
          </w:p>
        </w:tc>
        <w:tc>
          <w:tcPr>
            <w:tcW w:w="737" w:type="dxa"/>
            <w:vAlign w:val="center"/>
          </w:tcPr>
          <w:p w14:paraId="47522D87">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5D76782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《甘肃省城市市容和环境卫生管理办法》省政府令第12号2004年3月22日</w:t>
            </w:r>
          </w:p>
          <w:p w14:paraId="15454CD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第九条  在城市道路及其他公共场所的交通、电力、邮政、电信、环境卫生等各类设施，应当按照有关规定和规范的要求设置，保持完好和整洁美观。出现破旧、污损或者丢失的，所有权人或者维护管理单位应当及时维修、更换、清洗或者补设；</w:t>
            </w:r>
          </w:p>
          <w:p w14:paraId="787FF61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第三十三条 违反本办法第九条、第十条、第十五条第二款规定的，责令改正；拒不改正的，可处以1000元以上5000元以下罚款。</w:t>
            </w:r>
          </w:p>
        </w:tc>
        <w:tc>
          <w:tcPr>
            <w:tcW w:w="765" w:type="dxa"/>
            <w:vAlign w:val="center"/>
          </w:tcPr>
          <w:p w14:paraId="7E22BFC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2085" w:type="dxa"/>
            <w:vAlign w:val="center"/>
          </w:tcPr>
          <w:p w14:paraId="6DAAF2F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85" w:type="dxa"/>
            <w:vAlign w:val="center"/>
          </w:tcPr>
          <w:p w14:paraId="21078F3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25B8D674">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387CBAE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3199D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5" w:hRule="atLeast"/>
        </w:trPr>
        <w:tc>
          <w:tcPr>
            <w:tcW w:w="452" w:type="dxa"/>
            <w:vAlign w:val="center"/>
          </w:tcPr>
          <w:p w14:paraId="62B2A1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2</w:t>
            </w:r>
          </w:p>
        </w:tc>
        <w:tc>
          <w:tcPr>
            <w:tcW w:w="1605" w:type="dxa"/>
            <w:vAlign w:val="center"/>
          </w:tcPr>
          <w:p w14:paraId="79312C3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擅自在城市道路及其两侧、公共场所和设施用地范围内堆放物料、搭建建（构）筑物和其他设施、清洗机动车辆、进行屠宰加工和摆摊设点。经批准临时堆放物料、搭建临时性建（构）筑物和其他设施的，未保持周围环境整洁，不在规定期限内清理和拆除的处罚</w:t>
            </w:r>
          </w:p>
        </w:tc>
        <w:tc>
          <w:tcPr>
            <w:tcW w:w="795" w:type="dxa"/>
            <w:shd w:val="clear" w:color="auto" w:fill="auto"/>
            <w:vAlign w:val="center"/>
          </w:tcPr>
          <w:p w14:paraId="706EFB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07D329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416A0B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56DD6E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65C7352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《甘肃省城市市容和环境卫生管理办法》省政府令第12号2004年3月22日</w:t>
            </w:r>
          </w:p>
          <w:p w14:paraId="1EA540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第十条  任何单位和个人不得擅自在城市道路及其两侧、公共场所和设施用地范围内堆放物料、搭建建（构）筑物和其他设施、清洗机动车辆、进行屠宰加工和摆摊设点。确因建设等特殊需要，经批准临时堆放物料、搭建临时性建（构）筑物和其他设施的，应当保持周围环境整洁，并在规定期限内清理和拆除；</w:t>
            </w:r>
          </w:p>
          <w:p w14:paraId="4FBEF55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第三十三条 违反本办法第九条、第十条、第十五条第二款规定的，责令改正；拒不改正的，可处以1000元以上5000元以下罚款。</w:t>
            </w:r>
          </w:p>
        </w:tc>
        <w:tc>
          <w:tcPr>
            <w:tcW w:w="765" w:type="dxa"/>
            <w:vAlign w:val="center"/>
          </w:tcPr>
          <w:p w14:paraId="34553B2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2085" w:type="dxa"/>
            <w:vAlign w:val="center"/>
          </w:tcPr>
          <w:p w14:paraId="6BB6170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85" w:type="dxa"/>
            <w:vAlign w:val="center"/>
          </w:tcPr>
          <w:p w14:paraId="16793A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1B0BAB47">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4B40FF6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3029E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5" w:hRule="atLeast"/>
        </w:trPr>
        <w:tc>
          <w:tcPr>
            <w:tcW w:w="452" w:type="dxa"/>
            <w:vAlign w:val="center"/>
          </w:tcPr>
          <w:p w14:paraId="7C792E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3</w:t>
            </w:r>
          </w:p>
        </w:tc>
        <w:tc>
          <w:tcPr>
            <w:tcW w:w="1605" w:type="dxa"/>
            <w:vAlign w:val="center"/>
          </w:tcPr>
          <w:p w14:paraId="17505A8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对户外广告以及非广告的霓虹灯、标语、招牌、标牌、电子显示牌、灯箱、画廊、实物造型等户外设施，没有按照批准的要求设置，不符合城市容貌标准的处罚</w:t>
            </w:r>
          </w:p>
        </w:tc>
        <w:tc>
          <w:tcPr>
            <w:tcW w:w="795" w:type="dxa"/>
            <w:shd w:val="clear" w:color="auto" w:fill="auto"/>
            <w:vAlign w:val="center"/>
          </w:tcPr>
          <w:p w14:paraId="61BFA5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349214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168503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00B36C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166DF17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《甘肃省城市市容和环境卫生管理办法》省政府令第12号2004年3月22日</w:t>
            </w:r>
          </w:p>
          <w:p w14:paraId="273EB2A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第十五条 在城市中设置户外广告、标语牌、画廊、橱窗等，应当内容健康、外型美观，并定期维修、油饰或者拆除。</w:t>
            </w:r>
          </w:p>
          <w:p w14:paraId="06A6638D">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大型户外广告的设置必须征得城市人民政府市容环境卫生主管部门同意后，按照有关规定办理审批手续</w:t>
            </w:r>
          </w:p>
          <w:p w14:paraId="0EFF22C9">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第三十三条 违反本办法第九条、第十条、第十五条第二款规定的，责令改正；拒不改正的，可处以1000元以上5000元以下罚款。</w:t>
            </w:r>
          </w:p>
        </w:tc>
        <w:tc>
          <w:tcPr>
            <w:tcW w:w="765" w:type="dxa"/>
            <w:vAlign w:val="center"/>
          </w:tcPr>
          <w:p w14:paraId="3C86675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2085" w:type="dxa"/>
            <w:vAlign w:val="center"/>
          </w:tcPr>
          <w:p w14:paraId="0B4D9B5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85" w:type="dxa"/>
            <w:vAlign w:val="center"/>
          </w:tcPr>
          <w:p w14:paraId="3B8E99A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49189678">
            <w:pPr>
              <w:keepNext w:val="0"/>
              <w:keepLines w:val="0"/>
              <w:pageBreakBefore w:val="0"/>
              <w:widowControl w:val="0"/>
              <w:kinsoku/>
              <w:wordWrap/>
              <w:overflowPunct/>
              <w:topLinePunct w:val="0"/>
              <w:autoSpaceDE/>
              <w:autoSpaceDN/>
              <w:bidi w:val="0"/>
              <w:adjustRightInd/>
              <w:snapToGrid/>
              <w:spacing w:line="240" w:lineRule="exact"/>
              <w:jc w:val="left"/>
              <w:textAlignment w:val="auto"/>
            </w:pPr>
          </w:p>
        </w:tc>
        <w:tc>
          <w:tcPr>
            <w:tcW w:w="780" w:type="dxa"/>
            <w:vAlign w:val="center"/>
          </w:tcPr>
          <w:p w14:paraId="2A28DAE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Arial"/>
                <w:sz w:val="21"/>
              </w:rPr>
            </w:pPr>
          </w:p>
        </w:tc>
      </w:tr>
      <w:tr w14:paraId="60F9F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0" w:hRule="atLeast"/>
        </w:trPr>
        <w:tc>
          <w:tcPr>
            <w:tcW w:w="452" w:type="dxa"/>
            <w:vAlign w:val="center"/>
          </w:tcPr>
          <w:p w14:paraId="428F3C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4</w:t>
            </w:r>
          </w:p>
        </w:tc>
        <w:tc>
          <w:tcPr>
            <w:tcW w:w="1605" w:type="dxa"/>
            <w:vAlign w:val="center"/>
          </w:tcPr>
          <w:p w14:paraId="20A4A7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道路及其他公共场所的专业清扫保洁责任单位未按照作业规范和环境卫生标准，不推行机械化作业，不定时清扫，不及时保洁。城区主干道、广场和繁华地区未定期进行水洗除尘，清扫作业和垃圾清运应未在夜间进行的处罚</w:t>
            </w:r>
          </w:p>
        </w:tc>
        <w:tc>
          <w:tcPr>
            <w:tcW w:w="795" w:type="dxa"/>
            <w:shd w:val="clear" w:color="auto" w:fill="auto"/>
            <w:vAlign w:val="center"/>
          </w:tcPr>
          <w:p w14:paraId="1C48E25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8"/>
                <w:szCs w:val="18"/>
                <w:lang w:val="en-US" w:eastAsia="en-US"/>
              </w:rPr>
            </w:pPr>
            <w:r>
              <w:rPr>
                <w:rFonts w:hint="eastAsia" w:asciiTheme="minorEastAsia" w:hAnsiTheme="minorEastAsia" w:eastAsiaTheme="minorEastAsia" w:cstheme="minorEastAsia"/>
                <w:spacing w:val="5"/>
                <w:sz w:val="15"/>
                <w:szCs w:val="15"/>
                <w:lang w:val="en-US" w:eastAsia="zh-CN"/>
              </w:rPr>
              <w:t>行政处罚</w:t>
            </w:r>
          </w:p>
        </w:tc>
        <w:tc>
          <w:tcPr>
            <w:tcW w:w="1005" w:type="dxa"/>
            <w:shd w:val="clear" w:color="auto" w:fill="auto"/>
            <w:vAlign w:val="center"/>
          </w:tcPr>
          <w:p w14:paraId="74E9FE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6C950F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4C0948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241FC89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《甘肃省城市市容和环境卫生管理办法》省政府令第12号2004年3月22日</w:t>
            </w:r>
          </w:p>
          <w:p w14:paraId="4752C94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第二十二条  城市环境卫生设施应保持完好洁净，道路及其他公共场所的专业清扫保洁责任单位应当按照作业规范和环境卫生标准，逐步推行机械化作业，定时清扫，及时保洁。城区主干道、广场和繁华地区应定期进行水洗除尘，清扫作业和垃圾清运应在夜间进行；</w:t>
            </w:r>
          </w:p>
          <w:p w14:paraId="76E8D5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w:t>
            </w:r>
          </w:p>
        </w:tc>
        <w:tc>
          <w:tcPr>
            <w:tcW w:w="765" w:type="dxa"/>
            <w:vAlign w:val="center"/>
          </w:tcPr>
          <w:p w14:paraId="375ED7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2085" w:type="dxa"/>
            <w:vAlign w:val="center"/>
          </w:tcPr>
          <w:p w14:paraId="48F3937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85" w:type="dxa"/>
            <w:vAlign w:val="center"/>
          </w:tcPr>
          <w:p w14:paraId="1234C2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599F0F4E">
            <w:pPr>
              <w:keepNext w:val="0"/>
              <w:keepLines w:val="0"/>
              <w:pageBreakBefore w:val="0"/>
              <w:widowControl w:val="0"/>
              <w:kinsoku/>
              <w:wordWrap/>
              <w:overflowPunct/>
              <w:topLinePunct w:val="0"/>
              <w:autoSpaceDE/>
              <w:autoSpaceDN/>
              <w:bidi w:val="0"/>
              <w:adjustRightInd/>
              <w:snapToGrid/>
              <w:spacing w:line="240" w:lineRule="exact"/>
              <w:jc w:val="left"/>
              <w:textAlignment w:val="auto"/>
            </w:pPr>
          </w:p>
        </w:tc>
        <w:tc>
          <w:tcPr>
            <w:tcW w:w="780" w:type="dxa"/>
            <w:vAlign w:val="center"/>
          </w:tcPr>
          <w:p w14:paraId="32C6689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Arial"/>
                <w:sz w:val="21"/>
              </w:rPr>
            </w:pPr>
          </w:p>
        </w:tc>
      </w:tr>
      <w:tr w14:paraId="09ACB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0" w:hRule="atLeast"/>
        </w:trPr>
        <w:tc>
          <w:tcPr>
            <w:tcW w:w="452" w:type="dxa"/>
            <w:vAlign w:val="center"/>
          </w:tcPr>
          <w:p w14:paraId="49B0DA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5</w:t>
            </w:r>
          </w:p>
        </w:tc>
        <w:tc>
          <w:tcPr>
            <w:tcW w:w="1605" w:type="dxa"/>
            <w:vAlign w:val="center"/>
          </w:tcPr>
          <w:p w14:paraId="755C22E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对从事车辆清洗、修理，以及废品收购和废弃物接纳作业的，未保持经营场所周围环境卫生整洁，不采取措施防止污水外流或者废弃物向外散落的处罚</w:t>
            </w:r>
          </w:p>
        </w:tc>
        <w:tc>
          <w:tcPr>
            <w:tcW w:w="795" w:type="dxa"/>
            <w:shd w:val="clear" w:color="auto" w:fill="auto"/>
            <w:vAlign w:val="center"/>
          </w:tcPr>
          <w:p w14:paraId="0100EE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0731A0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195AE4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75A997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27B5C12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《甘肃省城市市容和环境卫生管理办法》省政府令第12号2004年3月22日 </w:t>
            </w:r>
          </w:p>
          <w:p w14:paraId="4C70903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第二十四条  从事车辆清洗、修理，以及废品收购和废弃物接纳作业的，应当保持经营场所周围环境卫生整洁，采取措施防止污水外流或者废弃物向外散落；</w:t>
            </w:r>
          </w:p>
          <w:p w14:paraId="3A252BC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w:t>
            </w:r>
          </w:p>
        </w:tc>
        <w:tc>
          <w:tcPr>
            <w:tcW w:w="765" w:type="dxa"/>
            <w:vAlign w:val="center"/>
          </w:tcPr>
          <w:p w14:paraId="6936DA8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2085" w:type="dxa"/>
            <w:vAlign w:val="center"/>
          </w:tcPr>
          <w:p w14:paraId="0CB474C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85" w:type="dxa"/>
            <w:vAlign w:val="center"/>
          </w:tcPr>
          <w:p w14:paraId="335591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23CCD510">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2C59909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4F5FD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5" w:hRule="atLeast"/>
        </w:trPr>
        <w:tc>
          <w:tcPr>
            <w:tcW w:w="452" w:type="dxa"/>
            <w:vAlign w:val="center"/>
          </w:tcPr>
          <w:p w14:paraId="102381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6</w:t>
            </w:r>
          </w:p>
        </w:tc>
        <w:tc>
          <w:tcPr>
            <w:tcW w:w="1605" w:type="dxa"/>
            <w:vAlign w:val="center"/>
          </w:tcPr>
          <w:p w14:paraId="2F9C7AC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单位和个体工商户不配置密闭式垃圾收集容器。集贸市场的开办单位未保持场内和周围环境整洁，不根据垃圾日产生量设置垃圾收集容器，未做到日产日清的处罚；单位和饮食业经营者产生的餐厨垃圾，不按照有关规定，自行单独收集和处置，或者委托有关作业单位收集和处置，随意排入下水道的、车站未配备与垃圾、粪便收集量或者产生量相适应且符合标准的收集容器，或收集容器未保持正常使用的处罚；居民产生的生活垃圾和未接入污水处理系统的粪便，未按要求收集、运输的处罚</w:t>
            </w:r>
          </w:p>
        </w:tc>
        <w:tc>
          <w:tcPr>
            <w:tcW w:w="795" w:type="dxa"/>
            <w:shd w:val="clear" w:color="auto" w:fill="auto"/>
            <w:vAlign w:val="center"/>
          </w:tcPr>
          <w:p w14:paraId="508D53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174CC0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25637D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475A19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719CA22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p w14:paraId="547FE33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en-US"/>
              </w:rPr>
            </w:pPr>
          </w:p>
          <w:p w14:paraId="0DE105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《甘肃省城市市容和环境卫生管理办法》省政府令第12号2004年3月22日</w:t>
            </w:r>
          </w:p>
          <w:p w14:paraId="6B782A0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第二十九条　居民产生的生活垃圾和未接入污水处理系统的粪便，由市或者区(县)市容环境卫生管理部门组织收集、运输。</w:t>
            </w:r>
          </w:p>
          <w:p w14:paraId="5A3DBC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单位和个体工商户应当配置密闭式垃圾收集容器。集贸市场的开办单位应当保持场内和周围环境整洁，根据垃圾日产生量设置垃圾收集容器，并做到日产日清。</w:t>
            </w:r>
          </w:p>
          <w:p w14:paraId="6A77E3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单位和饮食业经营者产生的餐厨垃圾，应当按照有关规定，自行单独收集和处置，或者委托有关作业单位收集和处置，不得排入下水道。</w:t>
            </w:r>
          </w:p>
        </w:tc>
        <w:tc>
          <w:tcPr>
            <w:tcW w:w="765" w:type="dxa"/>
            <w:vAlign w:val="center"/>
          </w:tcPr>
          <w:p w14:paraId="1761571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2085" w:type="dxa"/>
            <w:vAlign w:val="center"/>
          </w:tcPr>
          <w:p w14:paraId="51A334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85" w:type="dxa"/>
            <w:vAlign w:val="center"/>
          </w:tcPr>
          <w:p w14:paraId="72384F2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4E76BAB3">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7A51319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207A6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5" w:hRule="atLeast"/>
        </w:trPr>
        <w:tc>
          <w:tcPr>
            <w:tcW w:w="452" w:type="dxa"/>
            <w:vAlign w:val="center"/>
          </w:tcPr>
          <w:p w14:paraId="1A82AD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7</w:t>
            </w:r>
          </w:p>
        </w:tc>
        <w:tc>
          <w:tcPr>
            <w:tcW w:w="1605" w:type="dxa"/>
            <w:vAlign w:val="center"/>
          </w:tcPr>
          <w:p w14:paraId="3D40B87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随地吐痰、便溺的、乱丢瓜皮、果核、烟头、纸屑、口香糖、饮料罐、塑料袋、包装物等废弃物的处罚；随意乱倒垃圾、污水、粪便，焚烧树叶、垃圾或者其他废弃物、乱丢废电池等实行单独收集的特殊废弃物、携带宠物进入商场、宾馆、饭店、影剧院、公交车辆等公共场所的处罚</w:t>
            </w:r>
          </w:p>
        </w:tc>
        <w:tc>
          <w:tcPr>
            <w:tcW w:w="795" w:type="dxa"/>
            <w:shd w:val="clear" w:color="auto" w:fill="auto"/>
            <w:vAlign w:val="center"/>
          </w:tcPr>
          <w:p w14:paraId="5616A8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478A68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40AB2F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2AA68F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7E7BF0E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《甘肃省城市市容和环境卫生管理办法》省政府令第12号2004年3月22日</w:t>
            </w:r>
          </w:p>
          <w:p w14:paraId="31B249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第三十一条　在公共场所禁止下列影响市容和环境卫生的行为：</w:t>
            </w:r>
          </w:p>
          <w:p w14:paraId="4614951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(一)随地吐痰、便溺；</w:t>
            </w:r>
          </w:p>
          <w:p w14:paraId="162A4F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(二)乱丢瓜皮、果核、烟头、纸屑、口香糖、饮料罐、塑料袋、包装物等废弃物；</w:t>
            </w:r>
          </w:p>
          <w:p w14:paraId="417F3D8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(三)乱倒垃圾、污水、粪便，焚烧树叶、垃圾或者其他废弃物；</w:t>
            </w:r>
          </w:p>
          <w:p w14:paraId="720F187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(四)乱丢废电池等实行单独收集的特殊废弃物；</w:t>
            </w:r>
          </w:p>
          <w:p w14:paraId="2922F16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(五)携带宠物进入商场、宾馆、饭店、影剧院、公交车辆等公共场所。</w:t>
            </w:r>
          </w:p>
        </w:tc>
        <w:tc>
          <w:tcPr>
            <w:tcW w:w="765" w:type="dxa"/>
            <w:vAlign w:val="center"/>
          </w:tcPr>
          <w:p w14:paraId="5602876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2085" w:type="dxa"/>
            <w:vAlign w:val="center"/>
          </w:tcPr>
          <w:p w14:paraId="673D0F4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85" w:type="dxa"/>
            <w:vAlign w:val="center"/>
          </w:tcPr>
          <w:p w14:paraId="11146B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53C63303">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29355B3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700D2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5" w:hRule="atLeast"/>
        </w:trPr>
        <w:tc>
          <w:tcPr>
            <w:tcW w:w="452" w:type="dxa"/>
            <w:vAlign w:val="center"/>
          </w:tcPr>
          <w:p w14:paraId="4B1165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8</w:t>
            </w:r>
          </w:p>
        </w:tc>
        <w:tc>
          <w:tcPr>
            <w:tcW w:w="1605" w:type="dxa"/>
            <w:vAlign w:val="center"/>
          </w:tcPr>
          <w:p w14:paraId="1BBA32A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城市主要道路两侧和景观区域临街建筑物的阳台、门窗、屋面不保持整洁、美观，随意在阳台和窗外吊挂、晾晒和堆放影响市容的物品。在临街建筑物外墙上安装空调外机、遮阳棚的，未保持其安全、整洁、完好、随意在城市道路及其他公共场所的护栏、电线杆、树木、绿篱等处晾晒衣物或者吊挂物品的处罚、城市道路两侧和广场周围建(构)筑物内的经营者超出门、窗设摊经营的处罚</w:t>
            </w:r>
          </w:p>
        </w:tc>
        <w:tc>
          <w:tcPr>
            <w:tcW w:w="795" w:type="dxa"/>
            <w:shd w:val="clear" w:color="auto" w:fill="auto"/>
            <w:vAlign w:val="center"/>
          </w:tcPr>
          <w:p w14:paraId="7530A5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7F4B66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4339AB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43EAAC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3D79886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《甘肃省城市市容和环境卫生管理办法》省政府令第12号2004年3月22日</w:t>
            </w:r>
          </w:p>
          <w:p w14:paraId="1EED745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第十一条　城市主要道路两侧和景观区域临街建筑物的阳台、门窗、屋面应当保持整洁、美观，不得在阳台和窗外吊挂、晾晒和堆放影响市容的物品。在临街建筑物外墙上安装空调外机、遮阳棚的，应当保持其安全、整洁、完好。</w:t>
            </w:r>
          </w:p>
          <w:p w14:paraId="7B9DB6F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城市道路两侧和广场周围建(构)筑物内的经营者不得超出门、窗设摊经营。</w:t>
            </w:r>
          </w:p>
          <w:p w14:paraId="0C6FBA1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禁止在城市道路及其他公共场所的护栏、电线杆、树木、绿篱等处晾晒衣物或者吊挂物品。</w:t>
            </w:r>
          </w:p>
          <w:p w14:paraId="3C2996C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第三十四条 违反本办法第十一条第一款规定的，责令改正；拒不改正的，可处以50元以上200元以下罚款。</w:t>
            </w:r>
          </w:p>
        </w:tc>
        <w:tc>
          <w:tcPr>
            <w:tcW w:w="765" w:type="dxa"/>
            <w:vAlign w:val="center"/>
          </w:tcPr>
          <w:p w14:paraId="2527B2C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56A596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《张掖市城市道路交通管理条例》(2019年2月26日张掖市第四届人民代表大会第三次会议通过 2019年5月31日甘肃省第十三届人民代表大会常务委员会第十次会议批准)</w:t>
            </w:r>
          </w:p>
          <w:p w14:paraId="68D8119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未经城市管理综合执法部门许可，任何单位和个人不得擅自占用城市道路摆摊设点、店外经营、商品推销、广告宣传、堆放杂物或从事生产、维修、加工等非交通活动。</w:t>
            </w:r>
          </w:p>
          <w:p w14:paraId="5335827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第五十五条 违反本条例第十九条规定的，由城市管理综合执法部门责令限期改正，可以对单位处二万元罚款;对个人处五百元罚款。</w:t>
            </w:r>
          </w:p>
        </w:tc>
        <w:tc>
          <w:tcPr>
            <w:tcW w:w="885" w:type="dxa"/>
            <w:vAlign w:val="center"/>
          </w:tcPr>
          <w:p w14:paraId="3D42E82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57DDA28A">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3CDF905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2672C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5" w:hRule="atLeast"/>
        </w:trPr>
        <w:tc>
          <w:tcPr>
            <w:tcW w:w="452" w:type="dxa"/>
            <w:vAlign w:val="center"/>
          </w:tcPr>
          <w:p w14:paraId="37F5B4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9</w:t>
            </w:r>
          </w:p>
        </w:tc>
        <w:tc>
          <w:tcPr>
            <w:tcW w:w="1605" w:type="dxa"/>
            <w:vAlign w:val="center"/>
          </w:tcPr>
          <w:p w14:paraId="40A6F3F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对擅自挖掘城市道路。批准挖掘城市道路的，未按规定的时间和要求施工，擅自延长工期，竣工后不及时清理现场，恢复原状，未通知市政工程行政主管部门验收的处罚</w:t>
            </w:r>
          </w:p>
        </w:tc>
        <w:tc>
          <w:tcPr>
            <w:tcW w:w="795" w:type="dxa"/>
            <w:shd w:val="clear" w:color="auto" w:fill="auto"/>
            <w:vAlign w:val="center"/>
          </w:tcPr>
          <w:p w14:paraId="55D1BA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524BC0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2F45F5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0E51D7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2179838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《甘肃省城市市容和环境卫生管理办法》省政府令第12号2004年3月22日</w:t>
            </w:r>
          </w:p>
          <w:p w14:paraId="23731E0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第十二条  禁止擅自挖掘城市道路。经批准挖掘城市道路的，应当按规定的时间和要求施工，不得擅自延长工期，竣工后应当及时清理现场，恢复原状，并通知市政工程行政主管部门验收；</w:t>
            </w:r>
          </w:p>
          <w:p w14:paraId="62C07ED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《城市道路管理条路》根据2019年3月24日中华人民共和国国务院令第710号《国务院关于修改部分行政法规的决定》第三次修订</w:t>
            </w:r>
          </w:p>
          <w:p w14:paraId="6FD57725">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第二十七条 城市道路范围内禁止下列行为：</w:t>
            </w:r>
          </w:p>
          <w:p w14:paraId="208FB3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（一）擅自占用或者挖掘城市道路；</w:t>
            </w:r>
          </w:p>
          <w:p w14:paraId="000315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（二）履带车、铁轮车或者超重、超高、超长车辆擅自在城市道路上行驶；</w:t>
            </w:r>
          </w:p>
          <w:p w14:paraId="14A1AF9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（三）机动车在桥梁或者非指定的城市道路上试刹车；</w:t>
            </w:r>
          </w:p>
          <w:p w14:paraId="70F3E90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（四）擅自在城市道路上建设建筑物、构筑物；</w:t>
            </w:r>
          </w:p>
          <w:p w14:paraId="103797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（五）在桥梁上架设压力在4公斤/平方厘米（0.4兆帕）以上的煤气管道、10千伏以上的高压电力线和其他易燃易爆管线；</w:t>
            </w:r>
          </w:p>
          <w:p w14:paraId="73BBC8B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（六）擅自在桥梁或者路灯设施上设置广告牌或者其他挂浮物；</w:t>
            </w:r>
          </w:p>
          <w:p w14:paraId="0EE49D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（七）其他损害、侵占城市道路的行为。</w:t>
            </w:r>
          </w:p>
          <w:p w14:paraId="5C4D581C">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第四十二条 违反本条例第二十七条规定，或者有下列行为之一的，由市政工程行政主管部门或者其他有关部门责令限期改正，可以处以2万元以下的罚款；造成损失的，应当依法承担赔偿责任：</w:t>
            </w:r>
          </w:p>
          <w:p w14:paraId="71349C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765" w:type="dxa"/>
            <w:vAlign w:val="center"/>
          </w:tcPr>
          <w:p w14:paraId="76DB332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1BDD7AC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552EF05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5B99B743">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5FE4BAD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37B36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5" w:hRule="atLeast"/>
        </w:trPr>
        <w:tc>
          <w:tcPr>
            <w:tcW w:w="452" w:type="dxa"/>
            <w:vAlign w:val="center"/>
          </w:tcPr>
          <w:p w14:paraId="185F26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10</w:t>
            </w:r>
          </w:p>
        </w:tc>
        <w:tc>
          <w:tcPr>
            <w:tcW w:w="1605" w:type="dxa"/>
            <w:vAlign w:val="center"/>
          </w:tcPr>
          <w:p w14:paraId="621E92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对擅自变更和阻碍规划部门批准设置的环境卫生设施的处罚</w:t>
            </w:r>
          </w:p>
        </w:tc>
        <w:tc>
          <w:tcPr>
            <w:tcW w:w="795" w:type="dxa"/>
            <w:shd w:val="clear" w:color="auto" w:fill="auto"/>
            <w:vAlign w:val="center"/>
          </w:tcPr>
          <w:p w14:paraId="039ACE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72B154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1C5B5A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4A9A47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5D770BB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《甘肃省城市市容和环境卫生管理办法》省政府令第12号2004年3月22日</w:t>
            </w:r>
          </w:p>
          <w:p w14:paraId="02555D2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第十七条  城市环境卫生设施的设置，应当符合城市总体规划和国家城市环境卫生设施设置标准。经规划部门批准设置的环境卫生设施，任何单位和个人不得变更和阻碍;</w:t>
            </w:r>
          </w:p>
        </w:tc>
        <w:tc>
          <w:tcPr>
            <w:tcW w:w="765" w:type="dxa"/>
            <w:vAlign w:val="center"/>
          </w:tcPr>
          <w:p w14:paraId="0827CEB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2486D81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2A29619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2CAB7995">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429F648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70525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5" w:hRule="atLeast"/>
        </w:trPr>
        <w:tc>
          <w:tcPr>
            <w:tcW w:w="452" w:type="dxa"/>
            <w:vAlign w:val="center"/>
          </w:tcPr>
          <w:p w14:paraId="18BDAB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11</w:t>
            </w:r>
          </w:p>
        </w:tc>
        <w:tc>
          <w:tcPr>
            <w:tcW w:w="1605" w:type="dxa"/>
            <w:vAlign w:val="center"/>
          </w:tcPr>
          <w:p w14:paraId="4062847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对在进行城市新区开发或者旧区改造时，建设单位未依照国家有关规定和城市环境卫生专项规划的实际需要，配建生活废弃物的清扫、收集、运输和处理等环境卫生设施的处罚</w:t>
            </w:r>
          </w:p>
        </w:tc>
        <w:tc>
          <w:tcPr>
            <w:tcW w:w="795" w:type="dxa"/>
            <w:shd w:val="clear" w:color="auto" w:fill="auto"/>
            <w:vAlign w:val="center"/>
          </w:tcPr>
          <w:p w14:paraId="6A61D1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55FE14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624975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6003BB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7D548AA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《甘肃省城市市容和环境卫生管理办法》省政府令第12号2004年3月22日</w:t>
            </w:r>
          </w:p>
          <w:p w14:paraId="0AEECD0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第十八条 城市人民政府在进行城市新区开发或者旧区改造时，应当依照国家有关规定和城市环境卫生专项规划的实际需要，配建生活废弃物的清扫、收集、运输和处理等环境卫生设施，并与主体工程同时设计、同时施工、同时验收，所需经费纳入建设工程概算。环境卫生设施建成后，应当由城市人民政府市容和环境卫生主管部门参加验收，不合格的，不得交付使用。</w:t>
            </w:r>
          </w:p>
        </w:tc>
        <w:tc>
          <w:tcPr>
            <w:tcW w:w="765" w:type="dxa"/>
            <w:vAlign w:val="center"/>
          </w:tcPr>
          <w:p w14:paraId="0CFC1A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2E8DF96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47DA79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7CD81D46">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345037C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5412F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0" w:hRule="atLeast"/>
        </w:trPr>
        <w:tc>
          <w:tcPr>
            <w:tcW w:w="452" w:type="dxa"/>
            <w:vAlign w:val="center"/>
          </w:tcPr>
          <w:p w14:paraId="4A0C92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12</w:t>
            </w:r>
          </w:p>
        </w:tc>
        <w:tc>
          <w:tcPr>
            <w:tcW w:w="1605" w:type="dxa"/>
            <w:vAlign w:val="center"/>
          </w:tcPr>
          <w:p w14:paraId="43AC58A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对商业、文化、体育、医疗、交通等公共建筑，以及旅游景点和其他人流集散场所，未按照环境卫生设施设置规定和设置标准，配套建设公共厕所和其他环境卫生设施，没有设置垃圾收集容器的处罚</w:t>
            </w:r>
          </w:p>
        </w:tc>
        <w:tc>
          <w:tcPr>
            <w:tcW w:w="795" w:type="dxa"/>
            <w:shd w:val="clear" w:color="auto" w:fill="auto"/>
            <w:vAlign w:val="center"/>
          </w:tcPr>
          <w:p w14:paraId="5A04FA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2E6965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0EFD49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5E592C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64A64D5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《甘肃省城市市容和环境卫生管理办法》省政府令第12号2004年3月22日</w:t>
            </w:r>
          </w:p>
          <w:p w14:paraId="589B441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第十九条  城市人民政府应当按照国土空间规划和环境卫生设施设置规定，统一规划、配套建设公共厕所和其他环境卫生设施。</w:t>
            </w:r>
          </w:p>
          <w:p w14:paraId="6E87CE15">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商业、文化、体育、医疗、交通等公共建筑，以及旅游景点和其他人流集散场所，应当按照环境卫生设施设置规定和设置标准，配套建设公共厕所和其他环境卫生设施，并设置垃圾收集容器。</w:t>
            </w:r>
          </w:p>
          <w:p w14:paraId="2A0E28F5">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城乡接合部的公共厕所、密闭式垃圾收集站和其他环境卫生设施，由市或者区（县）人民政府组织建设。</w:t>
            </w:r>
          </w:p>
        </w:tc>
        <w:tc>
          <w:tcPr>
            <w:tcW w:w="765" w:type="dxa"/>
            <w:vAlign w:val="center"/>
          </w:tcPr>
          <w:p w14:paraId="0CD3B8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65C098A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7D78934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1FA70326">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32C0233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4E11A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5" w:hRule="atLeast"/>
        </w:trPr>
        <w:tc>
          <w:tcPr>
            <w:tcW w:w="452" w:type="dxa"/>
            <w:vAlign w:val="center"/>
          </w:tcPr>
          <w:p w14:paraId="273A46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13</w:t>
            </w:r>
          </w:p>
        </w:tc>
        <w:tc>
          <w:tcPr>
            <w:tcW w:w="1605" w:type="dxa"/>
            <w:vAlign w:val="center"/>
          </w:tcPr>
          <w:p w14:paraId="7B83BB3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新建、改建、扩建建设工程未按照规定设置围挡、临时厕所和垃圾收集设施。建设工程施工期间，未及时清运施工产生的垃圾、渣土，未采取措施防止尘土飞扬、污水流溢。建设工程竣工后，施工单位或者建设单位未及时清除弃物弃料和围挡、临时厕所、垃圾收集等设施的处罚</w:t>
            </w:r>
          </w:p>
        </w:tc>
        <w:tc>
          <w:tcPr>
            <w:tcW w:w="795" w:type="dxa"/>
            <w:shd w:val="clear" w:color="auto" w:fill="auto"/>
            <w:vAlign w:val="center"/>
          </w:tcPr>
          <w:p w14:paraId="161568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31931A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7CB561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680278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5E662A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《甘肃省城市市容和环境卫生管理办法》省政府令第12号2004年3月22日</w:t>
            </w:r>
          </w:p>
          <w:p w14:paraId="5B79263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第二十条  新建、改建、扩建建设工程应当按照规定设置围挡、临时厕所和垃圾收集设施。建设工程施工期间，应当及时清运施工产生的垃圾、渣土，采取措施防止尘土飞扬、污水流溢。建设工程竣工后，施工单位或者建设单位应当及时清除弃物弃料和围挡、临时厕所、垃圾收集等设施;</w:t>
            </w:r>
          </w:p>
        </w:tc>
        <w:tc>
          <w:tcPr>
            <w:tcW w:w="765" w:type="dxa"/>
            <w:vAlign w:val="center"/>
          </w:tcPr>
          <w:p w14:paraId="4EBE372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7F73EB9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7A54DF2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590D8472">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76AECE3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5B515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0" w:hRule="atLeast"/>
        </w:trPr>
        <w:tc>
          <w:tcPr>
            <w:tcW w:w="452" w:type="dxa"/>
            <w:vAlign w:val="center"/>
          </w:tcPr>
          <w:p w14:paraId="1F8F33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14</w:t>
            </w:r>
          </w:p>
        </w:tc>
        <w:tc>
          <w:tcPr>
            <w:tcW w:w="1605" w:type="dxa"/>
            <w:vAlign w:val="center"/>
          </w:tcPr>
          <w:p w14:paraId="3E8FD83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对擅自拆除、迁移、改建、停用环境卫生设施和改变环境卫生设施用途的处罚</w:t>
            </w:r>
          </w:p>
        </w:tc>
        <w:tc>
          <w:tcPr>
            <w:tcW w:w="795" w:type="dxa"/>
            <w:shd w:val="clear" w:color="auto" w:fill="auto"/>
            <w:vAlign w:val="center"/>
          </w:tcPr>
          <w:p w14:paraId="7F1C1F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4BEE99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7FFAD9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0274D4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07D6901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《甘肃省城市市容和环境卫生管理办法》省政府令第12号2004年3月22日</w:t>
            </w:r>
          </w:p>
          <w:p w14:paraId="50F15FE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第二十一条  任何单位和个人不得擅自拆除、迁移、改建、停用环境卫生设施和改变环境卫生设施用途。因市政工程、房屋拆迁等确需拆除、迁移或者停用环境卫生设施的，建设单位或者其他有关单位应当提前报市容环境卫生管理部门批准；拆除、封闭环境卫生设施的，应当按照‘先建后拆’的原则重建或者补建;</w:t>
            </w:r>
          </w:p>
        </w:tc>
        <w:tc>
          <w:tcPr>
            <w:tcW w:w="765" w:type="dxa"/>
            <w:vAlign w:val="center"/>
          </w:tcPr>
          <w:p w14:paraId="2E1165C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788B4CF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1423D13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62736D70">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190344F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66B48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52" w:type="dxa"/>
            <w:vAlign w:val="center"/>
          </w:tcPr>
          <w:p w14:paraId="6BFA9E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15</w:t>
            </w:r>
          </w:p>
        </w:tc>
        <w:tc>
          <w:tcPr>
            <w:tcW w:w="1605" w:type="dxa"/>
            <w:vAlign w:val="center"/>
          </w:tcPr>
          <w:p w14:paraId="068330D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对建设施工、拆除建筑物产生的建筑垃圾、渣土等废弃物没有单独堆放，倒入生活垃圾收集站的处罚</w:t>
            </w:r>
          </w:p>
        </w:tc>
        <w:tc>
          <w:tcPr>
            <w:tcW w:w="795" w:type="dxa"/>
            <w:shd w:val="clear" w:color="auto" w:fill="auto"/>
            <w:vAlign w:val="center"/>
          </w:tcPr>
          <w:p w14:paraId="1CE797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77C7C0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2EF3A1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085138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626F5B5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《甘肃省城市市容和环境卫生管理办法》省政府令第12号2004年3月22日</w:t>
            </w:r>
          </w:p>
          <w:p w14:paraId="6482A23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第二十七条  因建设施工、拆除建筑物产生的建筑垃圾、渣土等废弃物应当单独堆放，不得倒入生活垃圾收集站。工程施工单位应当编制建筑垃圾处理方案，采取污染防治措施，并报县级以上人民政府环境卫生主管部门备案。工程施工单位应当及时清运工程施工过程中产生的建筑垃圾等固体废物，并按照环境卫生主管部门的规定进行利用或者处置。</w:t>
            </w:r>
          </w:p>
        </w:tc>
        <w:tc>
          <w:tcPr>
            <w:tcW w:w="765" w:type="dxa"/>
            <w:vAlign w:val="center"/>
          </w:tcPr>
          <w:p w14:paraId="1C69DAB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4E0DD95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18302B7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598CAA16">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7ED94B9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67AB3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0" w:hRule="atLeast"/>
        </w:trPr>
        <w:tc>
          <w:tcPr>
            <w:tcW w:w="452" w:type="dxa"/>
            <w:vAlign w:val="center"/>
          </w:tcPr>
          <w:p w14:paraId="1C5B45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16</w:t>
            </w:r>
          </w:p>
        </w:tc>
        <w:tc>
          <w:tcPr>
            <w:tcW w:w="1605" w:type="dxa"/>
            <w:vAlign w:val="center"/>
          </w:tcPr>
          <w:p w14:paraId="72BBA8A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对运输垃圾、渣土、砂石、土方、泥浆等流体、散装货物的车辆没有采取密闭或者覆盖措施，泄漏、遗撒、飞扬的处罚</w:t>
            </w:r>
          </w:p>
        </w:tc>
        <w:tc>
          <w:tcPr>
            <w:tcW w:w="795" w:type="dxa"/>
            <w:shd w:val="clear" w:color="auto" w:fill="auto"/>
            <w:vAlign w:val="center"/>
          </w:tcPr>
          <w:p w14:paraId="3BBB41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4BDA92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535C78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19ECAE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16BCEF8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《甘肃省城市市容和环境卫生管理办法》省政府令第12号2004年3月22日</w:t>
            </w:r>
          </w:p>
          <w:p w14:paraId="54EA2376">
            <w:pPr>
              <w:keepNext w:val="0"/>
              <w:keepLines w:val="0"/>
              <w:pageBreakBefore w:val="0"/>
              <w:widowControl w:val="0"/>
              <w:kinsoku/>
              <w:wordWrap/>
              <w:overflowPunct/>
              <w:topLinePunct w:val="0"/>
              <w:autoSpaceDE/>
              <w:autoSpaceDN/>
              <w:bidi w:val="0"/>
              <w:adjustRightInd/>
              <w:snapToGrid/>
              <w:spacing w:line="240" w:lineRule="exact"/>
              <w:ind w:firstLine="36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第二十八条  运输垃圾、渣土、砂石、土方、泥浆等流体、散装货物的车辆应当采取密闭或者覆盖措施，不得泄漏、遗撒、飞扬;</w:t>
            </w:r>
          </w:p>
          <w:p w14:paraId="2AC7B58F">
            <w:pPr>
              <w:keepNext w:val="0"/>
              <w:keepLines w:val="0"/>
              <w:pageBreakBefore w:val="0"/>
              <w:widowControl w:val="0"/>
              <w:kinsoku/>
              <w:wordWrap/>
              <w:overflowPunct/>
              <w:topLinePunct w:val="0"/>
              <w:autoSpaceDE/>
              <w:autoSpaceDN/>
              <w:bidi w:val="0"/>
              <w:adjustRightInd/>
              <w:snapToGrid/>
              <w:spacing w:line="240" w:lineRule="exact"/>
              <w:ind w:firstLine="36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对在道路上泄漏、抛撒物品的，当事人应当负责及时清除。</w:t>
            </w:r>
          </w:p>
          <w:p w14:paraId="021D33BE">
            <w:pPr>
              <w:keepNext w:val="0"/>
              <w:keepLines w:val="0"/>
              <w:pageBreakBefore w:val="0"/>
              <w:widowControl w:val="0"/>
              <w:kinsoku/>
              <w:wordWrap/>
              <w:overflowPunct/>
              <w:topLinePunct w:val="0"/>
              <w:autoSpaceDE/>
              <w:autoSpaceDN/>
              <w:bidi w:val="0"/>
              <w:adjustRightInd/>
              <w:snapToGrid/>
              <w:spacing w:line="240" w:lineRule="exact"/>
              <w:ind w:firstLine="36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《中华人民共和国大气污染防治法》根据2018年10月26日第十三届全国人民代表大会常务委员会第六次会议《关于修改〈中华人民共和国野生动物保护法〉等十五部法律的决定》第二次修正）</w:t>
            </w:r>
          </w:p>
          <w:p w14:paraId="49523FA3">
            <w:pPr>
              <w:keepNext w:val="0"/>
              <w:keepLines w:val="0"/>
              <w:pageBreakBefore w:val="0"/>
              <w:widowControl w:val="0"/>
              <w:kinsoku/>
              <w:wordWrap/>
              <w:overflowPunct/>
              <w:topLinePunct w:val="0"/>
              <w:autoSpaceDE/>
              <w:autoSpaceDN/>
              <w:bidi w:val="0"/>
              <w:adjustRightInd/>
              <w:snapToGrid/>
              <w:spacing w:line="240" w:lineRule="exact"/>
              <w:ind w:firstLine="36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第七十条　运输煤炭、垃圾、渣土、砂石、土方、灰浆等散装、流体物料的车辆应当采取密闭或者其他措施防止物料遗撒造成扬尘污染，并按照规定路线行驶。</w:t>
            </w:r>
          </w:p>
          <w:p w14:paraId="3AE898E1">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装卸物料应当采取密闭或者喷淋等方式防治扬尘污染。</w:t>
            </w:r>
          </w:p>
          <w:p w14:paraId="3A6FAD94">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城市人民政府应当加强道路、广场、停车场和其他公共场所的清扫保洁管理，推行清洁动力机械化清扫等低尘作业方式，防治扬尘污染。</w:t>
            </w:r>
          </w:p>
          <w:p w14:paraId="4D5A7CBA">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c>
          <w:tcPr>
            <w:tcW w:w="765" w:type="dxa"/>
            <w:vAlign w:val="center"/>
          </w:tcPr>
          <w:p w14:paraId="45AC4AC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0A1C01A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297A7D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7D300762">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2A2B5E4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6A215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0" w:hRule="atLeast"/>
        </w:trPr>
        <w:tc>
          <w:tcPr>
            <w:tcW w:w="452" w:type="dxa"/>
            <w:vAlign w:val="center"/>
          </w:tcPr>
          <w:p w14:paraId="3C6C93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17</w:t>
            </w:r>
          </w:p>
        </w:tc>
        <w:tc>
          <w:tcPr>
            <w:tcW w:w="1605" w:type="dxa"/>
            <w:vAlign w:val="center"/>
          </w:tcPr>
          <w:p w14:paraId="3B8929D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对未经城市人民政府市容环境卫生行政主管部门同意，擅自设置大型户外广告，影响市容的处罚</w:t>
            </w:r>
          </w:p>
        </w:tc>
        <w:tc>
          <w:tcPr>
            <w:tcW w:w="795" w:type="dxa"/>
            <w:shd w:val="clear" w:color="auto" w:fill="auto"/>
            <w:vAlign w:val="center"/>
          </w:tcPr>
          <w:p w14:paraId="230F2A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53281A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7B924D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2D7289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402B9B4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《城市市容和环境卫生管理条例》国务院令第101号1992年6月28日</w:t>
            </w:r>
          </w:p>
          <w:p w14:paraId="7307DB94">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第三十六条  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w:t>
            </w:r>
          </w:p>
        </w:tc>
        <w:tc>
          <w:tcPr>
            <w:tcW w:w="765" w:type="dxa"/>
            <w:vAlign w:val="center"/>
          </w:tcPr>
          <w:p w14:paraId="34D8061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300A23F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576848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0347DB1D">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09635A5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563E2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0" w:hRule="atLeast"/>
        </w:trPr>
        <w:tc>
          <w:tcPr>
            <w:tcW w:w="452" w:type="dxa"/>
            <w:vAlign w:val="center"/>
          </w:tcPr>
          <w:p w14:paraId="6672EF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18</w:t>
            </w:r>
          </w:p>
        </w:tc>
        <w:tc>
          <w:tcPr>
            <w:tcW w:w="1605" w:type="dxa"/>
            <w:vAlign w:val="center"/>
          </w:tcPr>
          <w:p w14:paraId="771AA75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对在城市建筑物、设施以及树木上涂写、刻画或者未经批准张挂、张贴宣传品等的处罚</w:t>
            </w:r>
          </w:p>
        </w:tc>
        <w:tc>
          <w:tcPr>
            <w:tcW w:w="795" w:type="dxa"/>
            <w:shd w:val="clear" w:color="auto" w:fill="auto"/>
            <w:vAlign w:val="center"/>
          </w:tcPr>
          <w:p w14:paraId="7833DA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4DC30F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65B8A3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3B3C98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11A7DBA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《城市市容和环境卫生管理条例》国务院令第101号1992年6月28日</w:t>
            </w:r>
          </w:p>
          <w:p w14:paraId="33F4FF50">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第三十四条  有下列行为这一者，城市人民政府市容环境卫生行政主管部门或者其委托的单位除责令其纠正违法行为、采取补救措施外，可以并处警告、罚款：（二）在城市建筑物、设施以及树木上涂写、刻画或者未经批准张挂、张贴宣传品等的。</w:t>
            </w:r>
          </w:p>
        </w:tc>
        <w:tc>
          <w:tcPr>
            <w:tcW w:w="765" w:type="dxa"/>
            <w:vAlign w:val="center"/>
          </w:tcPr>
          <w:p w14:paraId="581FB1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04F1958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4AE0E6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771E6237">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3CD7D4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6942F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5" w:hRule="atLeast"/>
        </w:trPr>
        <w:tc>
          <w:tcPr>
            <w:tcW w:w="452" w:type="dxa"/>
            <w:vAlign w:val="center"/>
          </w:tcPr>
          <w:p w14:paraId="681C70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19</w:t>
            </w:r>
          </w:p>
        </w:tc>
        <w:tc>
          <w:tcPr>
            <w:tcW w:w="1605" w:type="dxa"/>
            <w:vAlign w:val="center"/>
          </w:tcPr>
          <w:p w14:paraId="21E9B40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对建筑物或者设施不符合城市容貌标准、环境卫生标准的处罚</w:t>
            </w:r>
          </w:p>
        </w:tc>
        <w:tc>
          <w:tcPr>
            <w:tcW w:w="795" w:type="dxa"/>
            <w:shd w:val="clear" w:color="auto" w:fill="auto"/>
            <w:vAlign w:val="center"/>
          </w:tcPr>
          <w:p w14:paraId="08AD31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2CB12F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2AF809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6DE6D8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4D1180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《城市市容和环境卫生管理条例》国务院令第101号1992年6月28日</w:t>
            </w:r>
          </w:p>
          <w:p w14:paraId="4C00FED5">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第三十七条  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tc>
        <w:tc>
          <w:tcPr>
            <w:tcW w:w="765" w:type="dxa"/>
            <w:vAlign w:val="center"/>
          </w:tcPr>
          <w:p w14:paraId="47866D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4B9B569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608C5C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0F0A162D">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4E43AF8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6F1A1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5" w:hRule="atLeast"/>
        </w:trPr>
        <w:tc>
          <w:tcPr>
            <w:tcW w:w="452" w:type="dxa"/>
            <w:vAlign w:val="center"/>
          </w:tcPr>
          <w:p w14:paraId="34AD08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20</w:t>
            </w:r>
          </w:p>
        </w:tc>
        <w:tc>
          <w:tcPr>
            <w:tcW w:w="1605" w:type="dxa"/>
            <w:vAlign w:val="center"/>
          </w:tcPr>
          <w:p w14:paraId="23D7DB2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在城市规划区内，未取得建设工程规划许可证进行建设（包括新建、扩建、改建等），虽影响城市规划，尚可采取改正措施的处罚</w:t>
            </w:r>
          </w:p>
        </w:tc>
        <w:tc>
          <w:tcPr>
            <w:tcW w:w="795" w:type="dxa"/>
            <w:shd w:val="clear" w:color="auto" w:fill="auto"/>
            <w:vAlign w:val="center"/>
          </w:tcPr>
          <w:p w14:paraId="6D0D57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5B4293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48B4E5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5A255A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331BA167">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1.《中华人民共和国城市规划法》主席令第23号1989年12月26日</w:t>
            </w:r>
          </w:p>
          <w:p w14:paraId="73610CCC">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第四十条　在城市规划区内，未取得建设工程规划许可证件或者违反建设工程规划许可证件的规定进行建设，严重影响城市规划的，由县级以上地方人民政府城市规划行政主管部门责令停止建设，限期拆除或者没收违法建筑物、构筑物或者其他设施；影响城市规划，尚可采取改正措施的，由县级以上地方人民政府城市规划行政主管部门责令限期改正，并处罚款。</w:t>
            </w:r>
          </w:p>
          <w:p w14:paraId="17EA5B17">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2.《甘肃省实施〈中华人民共和国城市规划法〉办法》省第十一届人民代表大会常务委员会公告第20号2009年11月27日</w:t>
            </w:r>
          </w:p>
          <w:p w14:paraId="59E443D6">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第三十九条　下列违反建设工程规划许可证规定的行为，由县级以上人民政府城市规划行政主管部门予以处罚：</w:t>
            </w:r>
          </w:p>
          <w:p w14:paraId="6FB13B07">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一）未取得建设工程规划许可证或擅自改变建设工程规划许可证的规定进行建设的，责令立即停止建设。已经形成的各类违法建设工程，虽影响城市规划实施，但尚可采取改正措施的，限期改正，并处以罚款；严重影响城市规划实施、不能采取改正措施的，限期拆除。</w:t>
            </w:r>
          </w:p>
          <w:p w14:paraId="1B190A62">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（二）未经城市规划行政主管部门批准，擅自改变建筑物或构筑物使用性质的，限期改正，并处以罚款；严重影响城市规划实施，违法行为性质恶劣的，予以没收。</w:t>
            </w:r>
          </w:p>
          <w:p w14:paraId="32B8504B">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（三）批准临时建设而进行永久性、半永久性建设或者临时建设工程到期不拆除，又不办理延期使用手续的，限期拆除。</w:t>
            </w:r>
          </w:p>
          <w:p w14:paraId="25DA3C19">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前款规定的罚款按建设工程总造价5%－15%执行。</w:t>
            </w:r>
          </w:p>
        </w:tc>
        <w:tc>
          <w:tcPr>
            <w:tcW w:w="765" w:type="dxa"/>
            <w:vAlign w:val="center"/>
          </w:tcPr>
          <w:p w14:paraId="3E07B54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5F7DF9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6BF295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75254F7F">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76B4E3D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05DEA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0" w:hRule="atLeast"/>
        </w:trPr>
        <w:tc>
          <w:tcPr>
            <w:tcW w:w="452" w:type="dxa"/>
            <w:vAlign w:val="center"/>
          </w:tcPr>
          <w:p w14:paraId="7E8675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21</w:t>
            </w:r>
          </w:p>
        </w:tc>
        <w:tc>
          <w:tcPr>
            <w:tcW w:w="1605" w:type="dxa"/>
            <w:vAlign w:val="center"/>
          </w:tcPr>
          <w:p w14:paraId="31FFE5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未采取防燃、防尘措施，在城市人群集中地区存放煤炭、煤矸石、煤渣、煤灰、砂石、灰土等物料的处罚</w:t>
            </w:r>
          </w:p>
        </w:tc>
        <w:tc>
          <w:tcPr>
            <w:tcW w:w="795" w:type="dxa"/>
            <w:shd w:val="clear" w:color="auto" w:fill="auto"/>
            <w:vAlign w:val="center"/>
          </w:tcPr>
          <w:p w14:paraId="005481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5F7640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56CAC7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630794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112DA603">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《中华人民共和国大气污染防治法》中华人民共和国主席令第31号2016年1月1日起施行。</w:t>
            </w:r>
          </w:p>
          <w:p w14:paraId="4861AF2E">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第七十二条　贮存煤炭、煤矸石、煤渣、煤、水泥、石灰、石膏、砂土等易产生扬尘的物料应当密闭；不能密闭的，应当设置不低于堆放物高度的严密围挡，并采取有效覆盖措施防治扬尘污染。</w:t>
            </w:r>
          </w:p>
          <w:p w14:paraId="597DE3D5">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第一百一十七条　违反本法规定，有下列行为之一的，由县级以上人民政府环境保护等主管部门按照职责责令改正，处一万元以上十万元以下的罚款；拒不改正的，责令停工整治或者停业整治：</w:t>
            </w:r>
          </w:p>
          <w:p w14:paraId="34E316BB">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（一）未密闭煤炭、煤矸石、煤渣、煤灰、水泥、石灰、石膏、砂土等易产生扬尘的物料的；</w:t>
            </w:r>
          </w:p>
          <w:p w14:paraId="2945CB06">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（二）对不能密闭的易产生扬尘的物料，未设置不低于堆放物高度的严密围挡，或者未采取有效覆盖措施防治扬尘污染的；</w:t>
            </w:r>
          </w:p>
          <w:p w14:paraId="21CD2FEF">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（三）装卸物料未采取密闭或者喷淋等方式控制扬尘排放的；</w:t>
            </w:r>
          </w:p>
          <w:p w14:paraId="3169FF58">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（四）存放煤炭、煤矸石、煤渣、煤灰等物料，未采取防燃措施的；</w:t>
            </w:r>
          </w:p>
          <w:p w14:paraId="02E4BE13">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（八）未采取措施防止排放恶臭气体的。</w:t>
            </w:r>
          </w:p>
        </w:tc>
        <w:tc>
          <w:tcPr>
            <w:tcW w:w="765" w:type="dxa"/>
            <w:vAlign w:val="center"/>
          </w:tcPr>
          <w:p w14:paraId="676E4D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0348765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7175E86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3282E787">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0B48501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4B2B6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5" w:hRule="atLeast"/>
        </w:trPr>
        <w:tc>
          <w:tcPr>
            <w:tcW w:w="452" w:type="dxa"/>
            <w:vAlign w:val="center"/>
          </w:tcPr>
          <w:p w14:paraId="216EB3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22</w:t>
            </w:r>
          </w:p>
        </w:tc>
        <w:tc>
          <w:tcPr>
            <w:tcW w:w="1605" w:type="dxa"/>
            <w:vAlign w:val="center"/>
          </w:tcPr>
          <w:p w14:paraId="5C040A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在城市人口集中地区焚烧沥青、油毡、橡胶、塑料、皮革、垃圾以及其他产生有毒有害烟尘和恶臭气体物质、在城市人口集中地区露天焚烧秸秆、落叶等产生烟尘污染的物质的处罚</w:t>
            </w:r>
          </w:p>
        </w:tc>
        <w:tc>
          <w:tcPr>
            <w:tcW w:w="795" w:type="dxa"/>
            <w:shd w:val="clear" w:color="auto" w:fill="auto"/>
            <w:vAlign w:val="center"/>
          </w:tcPr>
          <w:p w14:paraId="5AA8BB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091C89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6E81E3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44F298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36CF997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《中华人民共和国大气污染防治法》主席令第32号2000年04月29日</w:t>
            </w:r>
          </w:p>
          <w:p w14:paraId="005F6074">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第八十二条禁止在人口集中地区和其他依法需要特殊保护的区域内焚烧沥青、油毡、橡胶、塑料、皮革、垃圾以及其他产生有毒有害烟尘和恶臭气体的物质；</w:t>
            </w:r>
          </w:p>
          <w:p w14:paraId="5694D7C3">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第一百一十九条第二款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r>
              <w:rPr>
                <w:rFonts w:hint="eastAsia" w:ascii="仿宋" w:hAnsi="仿宋" w:eastAsia="仿宋" w:cs="仿宋"/>
                <w:i w:val="0"/>
                <w:iCs w:val="0"/>
                <w:caps w:val="0"/>
                <w:spacing w:val="0"/>
                <w:sz w:val="31"/>
                <w:szCs w:val="31"/>
                <w:shd w:val="clear" w:fill="FFFFFF"/>
              </w:rPr>
              <w:t>。</w:t>
            </w:r>
          </w:p>
        </w:tc>
        <w:tc>
          <w:tcPr>
            <w:tcW w:w="765" w:type="dxa"/>
            <w:vAlign w:val="center"/>
          </w:tcPr>
          <w:p w14:paraId="3419D03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3F88A72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618D7E2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3CB809CC">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3E2C619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12C8B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452" w:type="dxa"/>
            <w:vAlign w:val="center"/>
          </w:tcPr>
          <w:p w14:paraId="64EEF8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23</w:t>
            </w:r>
          </w:p>
        </w:tc>
        <w:tc>
          <w:tcPr>
            <w:tcW w:w="1605" w:type="dxa"/>
            <w:vAlign w:val="center"/>
          </w:tcPr>
          <w:p w14:paraId="515A025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违反当地公安机关的规定，在城市市区街道、广场、公园等公共场所组织娱乐、集会等活动，使用音响器材，产生干扰周围生活环境的过大音量的处罚</w:t>
            </w:r>
          </w:p>
        </w:tc>
        <w:tc>
          <w:tcPr>
            <w:tcW w:w="795" w:type="dxa"/>
            <w:shd w:val="clear" w:color="auto" w:fill="auto"/>
            <w:vAlign w:val="center"/>
          </w:tcPr>
          <w:p w14:paraId="30DEC1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78A51F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4E15E9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66144E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2631E492">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《中华人民共和国环境噪声污染防治法》主席令第77号1996年10月29日</w:t>
            </w:r>
          </w:p>
          <w:p w14:paraId="29C03718">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第五十八条  违反本法规定，有下列行为之一的，由公安机关给予警告，可以并处罚款：（二）违反当地公安机关的规定，在城市市区街道、广场、公园等公共场所组织娱乐、集会等活动，使用音响器材，产生干扰周围生活环境的过大音量的。</w:t>
            </w:r>
          </w:p>
        </w:tc>
        <w:tc>
          <w:tcPr>
            <w:tcW w:w="765" w:type="dxa"/>
            <w:vAlign w:val="center"/>
          </w:tcPr>
          <w:p w14:paraId="33B53C1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161C511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22BDB6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7612AC9C">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13494B6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7E4D2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5" w:hRule="atLeast"/>
        </w:trPr>
        <w:tc>
          <w:tcPr>
            <w:tcW w:w="452" w:type="dxa"/>
            <w:vAlign w:val="center"/>
          </w:tcPr>
          <w:p w14:paraId="1486A0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24</w:t>
            </w:r>
          </w:p>
        </w:tc>
        <w:tc>
          <w:tcPr>
            <w:tcW w:w="1605" w:type="dxa"/>
            <w:vAlign w:val="center"/>
          </w:tcPr>
          <w:p w14:paraId="6B2AF4B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在商业经营活动中使用高音喇叭或者通过其他发出高噪声的方法招揽顾客的处罚</w:t>
            </w:r>
          </w:p>
        </w:tc>
        <w:tc>
          <w:tcPr>
            <w:tcW w:w="795" w:type="dxa"/>
            <w:shd w:val="clear" w:color="auto" w:fill="auto"/>
            <w:vAlign w:val="center"/>
          </w:tcPr>
          <w:p w14:paraId="699DFA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666153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687BA5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66202C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7D4C240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《中华人民共和国环境噪声污染防治法》主席令第77号1996年10月29日</w:t>
            </w:r>
          </w:p>
          <w:p w14:paraId="6F8A7850">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第四十四条第一款  禁止在商业经营活动中使用高声广播喇叭或者采用其他发出高噪声的方法招揽顾客。</w:t>
            </w:r>
          </w:p>
          <w:p w14:paraId="4BF82EA2">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第六十条第一款 违反本法第四十四条第一款的规定，造成环境噪声污染的，由公安机关责令改正，可以并处罚款； </w:t>
            </w:r>
          </w:p>
          <w:p w14:paraId="396163EC">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w:t>
            </w:r>
          </w:p>
        </w:tc>
        <w:tc>
          <w:tcPr>
            <w:tcW w:w="765" w:type="dxa"/>
            <w:vAlign w:val="center"/>
          </w:tcPr>
          <w:p w14:paraId="6946259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2BB45E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07C409A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179A2535">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59660D3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20EE6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5" w:hRule="atLeast"/>
        </w:trPr>
        <w:tc>
          <w:tcPr>
            <w:tcW w:w="452" w:type="dxa"/>
            <w:vAlign w:val="center"/>
          </w:tcPr>
          <w:p w14:paraId="279744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25</w:t>
            </w:r>
          </w:p>
        </w:tc>
        <w:tc>
          <w:tcPr>
            <w:tcW w:w="1605" w:type="dxa"/>
            <w:vAlign w:val="center"/>
          </w:tcPr>
          <w:p w14:paraId="5B38D6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对未经城市规划行政主管部门同意，在城市规划区内挖沙取土、堆弃废渣垃圾、围填水面以及其他改变地貌活动的处罚</w:t>
            </w:r>
          </w:p>
        </w:tc>
        <w:tc>
          <w:tcPr>
            <w:tcW w:w="795" w:type="dxa"/>
            <w:shd w:val="clear" w:color="auto" w:fill="auto"/>
            <w:vAlign w:val="center"/>
          </w:tcPr>
          <w:p w14:paraId="43CA0C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6B18BC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523596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6172EA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16CC54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《关于修改〈甘肃省实施城市规划法办法〉的决定》省第十一届人民代表大会常务委员会公告第20号2009年11月27日</w:t>
            </w:r>
          </w:p>
          <w:p w14:paraId="7D899A00">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第三十九条  未经城市规划行政主管部门同意，在城市规划区内挖砂取土、堆弃废渣垃圾、围填水面以及进行其他改变地貌活动，影响城市规划实施情节轻微的，由城市规划行政主管部门责令有关单位或个人停止违法活动，并限期恢复地貌；情节严重的，并处以500—2000元罚款。</w:t>
            </w:r>
          </w:p>
        </w:tc>
        <w:tc>
          <w:tcPr>
            <w:tcW w:w="765" w:type="dxa"/>
            <w:vAlign w:val="center"/>
          </w:tcPr>
          <w:p w14:paraId="4CC848B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4CC865B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190F844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7B483E5D">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181D223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2BFD1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5" w:hRule="atLeast"/>
        </w:trPr>
        <w:tc>
          <w:tcPr>
            <w:tcW w:w="452" w:type="dxa"/>
            <w:vAlign w:val="center"/>
          </w:tcPr>
          <w:p w14:paraId="18CF7F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26</w:t>
            </w:r>
          </w:p>
        </w:tc>
        <w:tc>
          <w:tcPr>
            <w:tcW w:w="1605" w:type="dxa"/>
            <w:vAlign w:val="center"/>
          </w:tcPr>
          <w:p w14:paraId="6A4BAD3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对非法占用道路、广场、绿地、高压供电走廊、微波通道和压占地下管线等进行建设的处罚</w:t>
            </w:r>
          </w:p>
        </w:tc>
        <w:tc>
          <w:tcPr>
            <w:tcW w:w="795" w:type="dxa"/>
            <w:shd w:val="clear" w:color="auto" w:fill="auto"/>
            <w:vAlign w:val="center"/>
          </w:tcPr>
          <w:p w14:paraId="7D6921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4C78DD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0C44DA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4C2320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4D13EAEA">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《关于修改〈甘肃省实施城市规划法办法〉的决定》省第十一届人民代表大会常务委员会公告第20号2009年11月27日</w:t>
            </w:r>
          </w:p>
          <w:p w14:paraId="7CC3E074">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第四十条  非法占用道路、广场、绿地、高压供电走廊、微波通道和压占地下管线等进行建设的，由城市规划行政主管部门责令立即停止违法建设活动，限期拆除违法建设工程。</w:t>
            </w:r>
          </w:p>
        </w:tc>
        <w:tc>
          <w:tcPr>
            <w:tcW w:w="765" w:type="dxa"/>
            <w:vAlign w:val="center"/>
          </w:tcPr>
          <w:p w14:paraId="525718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26B1EE4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7033925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346DFBC8">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39CC348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2A9FA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5" w:hRule="atLeast"/>
        </w:trPr>
        <w:tc>
          <w:tcPr>
            <w:tcW w:w="452" w:type="dxa"/>
            <w:vAlign w:val="center"/>
          </w:tcPr>
          <w:p w14:paraId="293745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27</w:t>
            </w:r>
          </w:p>
        </w:tc>
        <w:tc>
          <w:tcPr>
            <w:tcW w:w="1605" w:type="dxa"/>
            <w:vAlign w:val="center"/>
          </w:tcPr>
          <w:p w14:paraId="734A2CB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对未经批准或者未按照批准的设计方案施工的处罚</w:t>
            </w:r>
          </w:p>
        </w:tc>
        <w:tc>
          <w:tcPr>
            <w:tcW w:w="795" w:type="dxa"/>
            <w:shd w:val="clear" w:color="auto" w:fill="auto"/>
            <w:vAlign w:val="center"/>
          </w:tcPr>
          <w:p w14:paraId="4D591B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314C04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20C50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442A33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Arial" w:hAnsi="Arial" w:eastAsia="Arial" w:cs="Arial"/>
                <w:snapToGrid w:val="0"/>
                <w:color w:val="000000"/>
                <w:kern w:val="0"/>
                <w:sz w:val="15"/>
                <w:szCs w:val="15"/>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57A68B2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《城市绿化条例》国务院令第100号1992年6月22日</w:t>
            </w:r>
          </w:p>
          <w:p w14:paraId="726B7698">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第二十五条 工程建设项目的附属绿化工程设计方案，未经批准或者未按照批准的设计方案施工的，由城市人民政府城市绿化行政主管部门责令停止施工、限期改正或者采取其他补救措施。</w:t>
            </w:r>
          </w:p>
        </w:tc>
        <w:tc>
          <w:tcPr>
            <w:tcW w:w="765" w:type="dxa"/>
            <w:vAlign w:val="center"/>
          </w:tcPr>
          <w:p w14:paraId="6EA5E7C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6111FE2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39BDAA4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16C7B764">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5E47640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0A8EA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5" w:hRule="atLeast"/>
        </w:trPr>
        <w:tc>
          <w:tcPr>
            <w:tcW w:w="452" w:type="dxa"/>
            <w:vAlign w:val="center"/>
          </w:tcPr>
          <w:p w14:paraId="764EC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28</w:t>
            </w:r>
          </w:p>
        </w:tc>
        <w:tc>
          <w:tcPr>
            <w:tcW w:w="1605" w:type="dxa"/>
            <w:vAlign w:val="center"/>
          </w:tcPr>
          <w:p w14:paraId="6F9AA68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对损坏城市树木花草、擅自修剪或者砍伐城市树木、砍伐、擅自迁移古树名木或者因养护不善致使古树名木受到损伤或者死亡、损坏城市绿化设施的处罚</w:t>
            </w:r>
          </w:p>
        </w:tc>
        <w:tc>
          <w:tcPr>
            <w:tcW w:w="795" w:type="dxa"/>
            <w:shd w:val="clear" w:color="auto" w:fill="auto"/>
            <w:vAlign w:val="center"/>
          </w:tcPr>
          <w:p w14:paraId="5628BF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pacing w:val="5"/>
                <w:sz w:val="15"/>
                <w:szCs w:val="15"/>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766B83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pacing w:val="4"/>
                <w:sz w:val="15"/>
                <w:szCs w:val="15"/>
                <w:lang w:val="en-US" w:eastAsia="zh-CN"/>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1FC0E5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407C37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062DE62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《城市绿化条例》国务院令第100号1992年6月22日</w:t>
            </w:r>
          </w:p>
          <w:p w14:paraId="5E511D64">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第二十六条 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w:t>
            </w:r>
          </w:p>
          <w:p w14:paraId="2ADF622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（一）损坏城市树木花草的；</w:t>
            </w:r>
          </w:p>
          <w:p w14:paraId="467E7DE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（二）擅自砍伐城市树木的；</w:t>
            </w:r>
          </w:p>
          <w:p w14:paraId="38AABCD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（三）砍伐、擅自迁移古树名木或者因养护不善致使古树名木受到损伤或者死亡的；</w:t>
            </w:r>
          </w:p>
          <w:p w14:paraId="7845C12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default" w:asciiTheme="minorEastAsia" w:hAnsiTheme="minorEastAsia" w:eastAsiaTheme="minorEastAsia" w:cstheme="minorEastAsia"/>
                <w:spacing w:val="5"/>
                <w:sz w:val="16"/>
                <w:szCs w:val="16"/>
                <w:lang w:val="en-US" w:eastAsia="zh-CN"/>
              </w:rPr>
              <w:t>(</w:t>
            </w:r>
            <w:r>
              <w:rPr>
                <w:rFonts w:hint="eastAsia" w:asciiTheme="minorEastAsia" w:hAnsiTheme="minorEastAsia" w:eastAsiaTheme="minorEastAsia" w:cstheme="minorEastAsia"/>
                <w:spacing w:val="5"/>
                <w:sz w:val="16"/>
                <w:szCs w:val="16"/>
                <w:lang w:val="en-US" w:eastAsia="zh-CN"/>
              </w:rPr>
              <w:t>四</w:t>
            </w:r>
            <w:r>
              <w:rPr>
                <w:rFonts w:hint="default" w:asciiTheme="minorEastAsia" w:hAnsiTheme="minorEastAsia" w:eastAsiaTheme="minorEastAsia" w:cstheme="minorEastAsia"/>
                <w:spacing w:val="5"/>
                <w:sz w:val="16"/>
                <w:szCs w:val="16"/>
                <w:lang w:val="en-US" w:eastAsia="zh-CN"/>
              </w:rPr>
              <w:t>)</w:t>
            </w:r>
            <w:r>
              <w:rPr>
                <w:rFonts w:hint="eastAsia" w:asciiTheme="minorEastAsia" w:hAnsiTheme="minorEastAsia" w:eastAsiaTheme="minorEastAsia" w:cstheme="minorEastAsia"/>
                <w:spacing w:val="5"/>
                <w:sz w:val="16"/>
                <w:szCs w:val="16"/>
                <w:lang w:val="en-US" w:eastAsia="zh-CN"/>
              </w:rPr>
              <w:t>损坏城市绿化设施的。</w:t>
            </w:r>
          </w:p>
        </w:tc>
        <w:tc>
          <w:tcPr>
            <w:tcW w:w="765" w:type="dxa"/>
            <w:vAlign w:val="center"/>
          </w:tcPr>
          <w:p w14:paraId="3B0402E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533EA97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051FBF7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43B876F5">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4FE144D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6B3BC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5" w:hRule="atLeast"/>
        </w:trPr>
        <w:tc>
          <w:tcPr>
            <w:tcW w:w="452" w:type="dxa"/>
            <w:vAlign w:val="center"/>
          </w:tcPr>
          <w:p w14:paraId="73F07A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29</w:t>
            </w:r>
          </w:p>
        </w:tc>
        <w:tc>
          <w:tcPr>
            <w:tcW w:w="1605" w:type="dxa"/>
            <w:vAlign w:val="center"/>
          </w:tcPr>
          <w:p w14:paraId="7ABC71F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对未经同意擅自占用城市绿化用地的处罚</w:t>
            </w:r>
          </w:p>
        </w:tc>
        <w:tc>
          <w:tcPr>
            <w:tcW w:w="795" w:type="dxa"/>
            <w:shd w:val="clear" w:color="auto" w:fill="auto"/>
            <w:vAlign w:val="center"/>
          </w:tcPr>
          <w:p w14:paraId="57156C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3E5DC6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4"/>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09A5AE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2677FC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23ABE05D">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《城市绿化条例》国务院令第100号1992年6月22日</w:t>
            </w:r>
          </w:p>
          <w:p w14:paraId="5DB1D666">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第十九条第一款 任何单位和个人都不得擅自占用城市绿化用地；占用的城市绿化用地，应当限期归还。</w:t>
            </w:r>
          </w:p>
          <w:p w14:paraId="0995B69A">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第二十七条 未经同意擅自占用城市绿化用地的，由城市人民政府城市绿化行政主管部门责令限期退还、恢复原状，可以并处罚款；造成损失的，应当负赔偿责任。</w:t>
            </w:r>
          </w:p>
        </w:tc>
        <w:tc>
          <w:tcPr>
            <w:tcW w:w="765" w:type="dxa"/>
            <w:vAlign w:val="center"/>
          </w:tcPr>
          <w:p w14:paraId="199A201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3EE6BF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213C028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19FCBDCF">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4B167D0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4A94B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452" w:type="dxa"/>
            <w:vAlign w:val="center"/>
          </w:tcPr>
          <w:p w14:paraId="70679C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30</w:t>
            </w:r>
          </w:p>
        </w:tc>
        <w:tc>
          <w:tcPr>
            <w:tcW w:w="1605" w:type="dxa"/>
            <w:vAlign w:val="center"/>
          </w:tcPr>
          <w:p w14:paraId="17DAD37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对未经同意擅自在城市公共绿地内开设商业、服务摊点的处罚</w:t>
            </w:r>
          </w:p>
        </w:tc>
        <w:tc>
          <w:tcPr>
            <w:tcW w:w="795" w:type="dxa"/>
            <w:shd w:val="clear" w:color="auto" w:fill="auto"/>
            <w:vAlign w:val="center"/>
          </w:tcPr>
          <w:p w14:paraId="6726C8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500318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4"/>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05578D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67CD68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533BD6B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《城市绿化条例》国务院令第100号1992年6月22日</w:t>
            </w:r>
          </w:p>
          <w:p w14:paraId="64CC019C">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第二十一条 在城市的公共绿地内开设商业、服务摊点的，应当持工商行政管理部门批准的营业执照，在公共绿地管理单位指定的地点从事经营活动，并遵守公共绿地和工商行政管理的规定。</w:t>
            </w:r>
          </w:p>
        </w:tc>
        <w:tc>
          <w:tcPr>
            <w:tcW w:w="765" w:type="dxa"/>
            <w:vAlign w:val="center"/>
          </w:tcPr>
          <w:p w14:paraId="0542EDB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59AF2DB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37E1B8E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0E2D6D6E">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0232468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4B70E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5" w:hRule="atLeast"/>
        </w:trPr>
        <w:tc>
          <w:tcPr>
            <w:tcW w:w="452" w:type="dxa"/>
            <w:vAlign w:val="center"/>
          </w:tcPr>
          <w:p w14:paraId="55DD5B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31</w:t>
            </w:r>
          </w:p>
        </w:tc>
        <w:tc>
          <w:tcPr>
            <w:tcW w:w="1605" w:type="dxa"/>
            <w:vAlign w:val="center"/>
          </w:tcPr>
          <w:p w14:paraId="4BBEB52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对不服从公共绿地管理单位管理的处罚</w:t>
            </w:r>
          </w:p>
        </w:tc>
        <w:tc>
          <w:tcPr>
            <w:tcW w:w="795" w:type="dxa"/>
            <w:shd w:val="clear" w:color="auto" w:fill="auto"/>
            <w:vAlign w:val="center"/>
          </w:tcPr>
          <w:p w14:paraId="167780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2661B4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4"/>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47BD4E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5A2070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5EFA97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《城市绿化条例》国务院令第100号1992年6月22日</w:t>
            </w:r>
          </w:p>
          <w:p w14:paraId="5D870421">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default"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第二十八条 对不服从公共绿地管理单位管理的商业、服务摊点，由城市人民政府城市绿化行政主管部门或者其授权的单位给予警告，可以并处罚款；情节严重的，可以提请工商行政管理部门吊销营业执照.</w:t>
            </w:r>
          </w:p>
        </w:tc>
        <w:tc>
          <w:tcPr>
            <w:tcW w:w="765" w:type="dxa"/>
            <w:vAlign w:val="center"/>
          </w:tcPr>
          <w:p w14:paraId="014CA31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45AEFC6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350484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7530D6C9">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4A13CBF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1AFD7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5" w:hRule="atLeast"/>
        </w:trPr>
        <w:tc>
          <w:tcPr>
            <w:tcW w:w="452" w:type="dxa"/>
            <w:vAlign w:val="center"/>
          </w:tcPr>
          <w:p w14:paraId="17EC1C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32</w:t>
            </w:r>
          </w:p>
        </w:tc>
        <w:tc>
          <w:tcPr>
            <w:tcW w:w="1605" w:type="dxa"/>
            <w:vAlign w:val="center"/>
          </w:tcPr>
          <w:p w14:paraId="656E08E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对履带车、铁轮车或者超重、超高、超长车辆擅自在城市道路上行驶、擅自在城市道路上建设建筑物、构筑物、擅自在桥梁或者路灯设施上设置广告牌或者其他挂浮物的处罚</w:t>
            </w:r>
          </w:p>
        </w:tc>
        <w:tc>
          <w:tcPr>
            <w:tcW w:w="795" w:type="dxa"/>
            <w:shd w:val="clear" w:color="auto" w:fill="auto"/>
            <w:vAlign w:val="center"/>
          </w:tcPr>
          <w:p w14:paraId="40D085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5B0B00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4"/>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45BE24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33C266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42A20C5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《城市道路管理条例》国务院令第198号1996年6月4日</w:t>
            </w:r>
          </w:p>
          <w:p w14:paraId="5CF38B7C">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第二十七条 城市道路范围内禁止下列行为：</w:t>
            </w:r>
          </w:p>
          <w:p w14:paraId="2887FC4C">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（二）履带车、铁轮车或者超重、超高、超长车辆擅自在城市道路上行驶；</w:t>
            </w:r>
          </w:p>
          <w:p w14:paraId="6A7282D9">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（四）擅自在城市道路上建设建筑物、构筑物； </w:t>
            </w:r>
          </w:p>
          <w:p w14:paraId="3DA8E3DC">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（六）擅自在桥梁或者路灯设施上设置广告牌或者其他挂浮物。 </w:t>
            </w:r>
          </w:p>
          <w:p w14:paraId="03CE61EF">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第四十二条  违反本条例第二十七条规定，或者有下列行为之一的，由市政工程行政主管部门或者其他有关部门责令限期改正，可以处以2万元以下的罚款；造成损失的，应当依法承担赔偿责任;</w:t>
            </w:r>
          </w:p>
          <w:p w14:paraId="1CA5D676">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w:t>
            </w:r>
          </w:p>
        </w:tc>
        <w:tc>
          <w:tcPr>
            <w:tcW w:w="765" w:type="dxa"/>
            <w:vAlign w:val="center"/>
          </w:tcPr>
          <w:p w14:paraId="1C51273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1AE7571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23DA72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6B9B60EF">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752B072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746B0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0" w:hRule="atLeast"/>
        </w:trPr>
        <w:tc>
          <w:tcPr>
            <w:tcW w:w="452" w:type="dxa"/>
            <w:vAlign w:val="center"/>
          </w:tcPr>
          <w:p w14:paraId="4991B5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33</w:t>
            </w:r>
          </w:p>
        </w:tc>
        <w:tc>
          <w:tcPr>
            <w:tcW w:w="1605" w:type="dxa"/>
            <w:vAlign w:val="center"/>
          </w:tcPr>
          <w:p w14:paraId="47AB3A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未对设在城市道路上的各种管线的检查井、箱盖或者城市道路附属设施的缺损及时补缺或者修复、未在城市道路施工现场设置明显标志和安全防围设施、占用城市道路期满或者挖掘城市道路后，不及时清理现场、依附于城市道路建设各种管线、杆线等设施，不按照规定办理批准手续、紧急抢修埋设在城市道路下的管线，不按照规定补办批准手续、未按照批准的位置、面积、期限占用或者挖掘城市道路，或者需要移动位置、扩大面积、延长时间，未提前办理变更审批手续的处罚</w:t>
            </w:r>
          </w:p>
        </w:tc>
        <w:tc>
          <w:tcPr>
            <w:tcW w:w="795" w:type="dxa"/>
            <w:shd w:val="clear" w:color="auto" w:fill="auto"/>
            <w:vAlign w:val="center"/>
          </w:tcPr>
          <w:p w14:paraId="3C3459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2D78E4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4"/>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013DB0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63CB37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3609DA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《城市道路管理条例》国务院令第198号1996年6月4日</w:t>
            </w:r>
          </w:p>
          <w:p w14:paraId="3302E27A">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第四十二条  违反本条例第二十七条规定，或者有下列行为之一的，由市政工程行政主管部门或者其他有关部门责令限期改正，可以处以2万元以下的罚款；造成损失的，应当依法承担赔偿责任。</w:t>
            </w:r>
          </w:p>
          <w:p w14:paraId="3B8DD384">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（一）未对设在城市道路上的各种管线的检查井、箱盖或者城市道路附属设施的缺损及时补缺或者修复的；</w:t>
            </w:r>
          </w:p>
          <w:p w14:paraId="379FD0DA">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（二）未在城市道路施工现场设置明显标志和安全防围设施的；</w:t>
            </w:r>
          </w:p>
          <w:p w14:paraId="1AF655D2">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（三）占用城市道路期满或者挖掘城市道路后，不及时清理现场的；</w:t>
            </w:r>
          </w:p>
          <w:p w14:paraId="6985E5F6">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（四）依附于城市道路建设各种管线、杆线等设施，不按照规定办理批准手续的；</w:t>
            </w:r>
          </w:p>
          <w:p w14:paraId="13E9DBD6">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（五）紧急抢修埋设在城市道路下的管线，不按照规定补办批准手续的；</w:t>
            </w:r>
          </w:p>
          <w:p w14:paraId="2C3AC803">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（六）未按照批准的位置、面积、期限占用或者挖掘城市道路，或者需要移动位置、扩大面积、延长时间，未提前办理变更审批手续的。</w:t>
            </w:r>
          </w:p>
        </w:tc>
        <w:tc>
          <w:tcPr>
            <w:tcW w:w="765" w:type="dxa"/>
            <w:vAlign w:val="center"/>
          </w:tcPr>
          <w:p w14:paraId="3DABCFF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0DC4AB1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7B6DF88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0513E04F">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4EF4300F">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674AD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452" w:type="dxa"/>
            <w:vAlign w:val="center"/>
          </w:tcPr>
          <w:p w14:paraId="50405C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34</w:t>
            </w:r>
          </w:p>
        </w:tc>
        <w:tc>
          <w:tcPr>
            <w:tcW w:w="1605" w:type="dxa"/>
            <w:vAlign w:val="center"/>
          </w:tcPr>
          <w:p w14:paraId="489550D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擅自拆除、迁移、改动城市道路照明设施；在城市道路设施附近堆放杂物、挖坑取土、兴建建筑物及有碍城市道路照明设施正常维护和安全运行活动；擅自在城市道路照明灯杆上架设通讯线（缆）或者安置其他设施；私自接用路灯电源；偷盗城市道路照明设施；故意打、砸城市道路照明设施；不听劝阻和制止，非法占用城市道路照明设施的处罚</w:t>
            </w:r>
          </w:p>
        </w:tc>
        <w:tc>
          <w:tcPr>
            <w:tcW w:w="795" w:type="dxa"/>
            <w:shd w:val="clear" w:color="auto" w:fill="auto"/>
            <w:vAlign w:val="center"/>
          </w:tcPr>
          <w:p w14:paraId="5884EC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7B9743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4"/>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49CBD9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15B14C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2B8AFB3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《城市照明管理规定》建设部令第4号2001年8月23日</w:t>
            </w:r>
          </w:p>
          <w:p w14:paraId="32F337E3">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第二十八条　任何单位和个人都应当保护城市照明设施，不得实施下列行为：</w:t>
            </w:r>
          </w:p>
          <w:p w14:paraId="631E465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(一)在城市照明设施上刻划、涂污;</w:t>
            </w:r>
          </w:p>
          <w:p w14:paraId="4EFB9D0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(二)在城市照明设施安全距离内，擅自植树、挖坑取土或者设置其他物体，或者倾倒含酸、碱、盐等腐蚀物或者具有腐蚀性的废渣、废液;</w:t>
            </w:r>
          </w:p>
          <w:p w14:paraId="1BCB9B9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(三)擅自在城市照明设施上张贴、悬挂、设置宣传品、广告; </w:t>
            </w:r>
          </w:p>
          <w:p w14:paraId="1E92208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(四)擅自在城市照明设施上架设线缆、安置其它设施或者接用电源;</w:t>
            </w:r>
          </w:p>
          <w:p w14:paraId="20885ED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(五)擅自迁移、拆除、利用城市照明设施;</w:t>
            </w:r>
          </w:p>
          <w:p w14:paraId="47461CE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aps w:val="0"/>
                <w:color w:val="333333"/>
                <w:spacing w:val="0"/>
                <w:sz w:val="24"/>
                <w:szCs w:val="24"/>
              </w:rPr>
            </w:pPr>
            <w:r>
              <w:rPr>
                <w:rFonts w:hint="eastAsia" w:asciiTheme="minorEastAsia" w:hAnsiTheme="minorEastAsia" w:eastAsiaTheme="minorEastAsia" w:cstheme="minorEastAsia"/>
                <w:spacing w:val="5"/>
                <w:sz w:val="16"/>
                <w:szCs w:val="16"/>
                <w:lang w:val="en-US" w:eastAsia="zh-CN"/>
              </w:rPr>
              <w:t>(六)其他可能影响城市照明设施正常运行的行为。</w:t>
            </w:r>
          </w:p>
          <w:p w14:paraId="20119C2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第三十二条　违反本规定，有第二十八条规定行为之一的，由城市照明主管部门责令限期改正，对个人处以200元以上1000元以下的罚款;对单位处以1000元以上3万元以下的罚款;造成损失的，依法赔偿损失。</w:t>
            </w:r>
          </w:p>
          <w:p w14:paraId="66DA050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765" w:type="dxa"/>
            <w:vAlign w:val="center"/>
          </w:tcPr>
          <w:p w14:paraId="10313E9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7B4F652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48A396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290E3D3A">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7C5745C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5A082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5" w:hRule="atLeast"/>
        </w:trPr>
        <w:tc>
          <w:tcPr>
            <w:tcW w:w="452" w:type="dxa"/>
            <w:vAlign w:val="center"/>
          </w:tcPr>
          <w:p w14:paraId="747FAC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35</w:t>
            </w:r>
          </w:p>
        </w:tc>
        <w:tc>
          <w:tcPr>
            <w:tcW w:w="1605" w:type="dxa"/>
            <w:vAlign w:val="center"/>
          </w:tcPr>
          <w:p w14:paraId="2BE27CE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对向城市水体排放、倾倒工业废渣、城市生活垃圾和其他废弃物的处罚</w:t>
            </w:r>
          </w:p>
        </w:tc>
        <w:tc>
          <w:tcPr>
            <w:tcW w:w="795" w:type="dxa"/>
            <w:shd w:val="clear" w:color="auto" w:fill="auto"/>
            <w:vAlign w:val="center"/>
          </w:tcPr>
          <w:p w14:paraId="3E7B93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679776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4"/>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3F70EE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7CE50A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61B876E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《中华人民共和国水污染防治法》（1984年5月11日第六届全国人民代表大会常务委员会第五次会议通过）。</w:t>
            </w:r>
          </w:p>
          <w:p w14:paraId="3B81A1C8">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第三十七条第一款 禁止向水体排放、倾倒工业废渣、城镇垃圾和其他废弃物。</w:t>
            </w:r>
          </w:p>
          <w:p w14:paraId="0019861A">
            <w:pPr>
              <w:keepNext w:val="0"/>
              <w:keepLines w:val="0"/>
              <w:pageBreakBefore w:val="0"/>
              <w:widowControl w:val="0"/>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八十五条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14:paraId="508AC10A">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向水体排放、倾倒工业废渣、城镇垃圾或者其他废弃物，或者在江河、湖泊、运河、渠道、水库最高水位线以下的滩地、岸坡堆放、存贮固体废弃物或者其他污染物的；</w:t>
            </w:r>
          </w:p>
          <w:p w14:paraId="0772905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765" w:type="dxa"/>
            <w:vAlign w:val="center"/>
          </w:tcPr>
          <w:p w14:paraId="451B25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135B238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3F3DEF0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36BB0A1B">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4CC165E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6ED38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0" w:hRule="atLeast"/>
        </w:trPr>
        <w:tc>
          <w:tcPr>
            <w:tcW w:w="452" w:type="dxa"/>
            <w:vAlign w:val="center"/>
          </w:tcPr>
          <w:p w14:paraId="0DB07F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36</w:t>
            </w:r>
          </w:p>
        </w:tc>
        <w:tc>
          <w:tcPr>
            <w:tcW w:w="1605" w:type="dxa"/>
            <w:vAlign w:val="center"/>
          </w:tcPr>
          <w:p w14:paraId="681B82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对在人行道、楼群院落和店外无照经营的处罚</w:t>
            </w:r>
          </w:p>
        </w:tc>
        <w:tc>
          <w:tcPr>
            <w:tcW w:w="795" w:type="dxa"/>
            <w:shd w:val="clear" w:color="auto" w:fill="auto"/>
            <w:vAlign w:val="center"/>
          </w:tcPr>
          <w:p w14:paraId="235401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67B315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4"/>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352254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313910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5F10881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《无证无照经营查处办法》中华人民共和国国务院令</w:t>
            </w:r>
          </w:p>
          <w:p w14:paraId="116EEE1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第684号 现公布《无证无照经营查处办法》，自2017年10月1日起施行</w:t>
            </w:r>
          </w:p>
          <w:p w14:paraId="2EA17FB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第二条　任何单位或者个人不得违反法律、法规、国务院决定的规定，从事无证无照经营。</w:t>
            </w:r>
          </w:p>
          <w:p w14:paraId="715D52D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 xml:space="preserve">  第十三条　从事无照经营的，由工商行政管理部门依照相关法律、行政法规的规定予以处罚。法律、行政法规对无照经营的处罚没有明确规定的，由工商行政管理部门责令停止违法行为，没收违法所得，并处1万元以下的罚款</w:t>
            </w:r>
          </w:p>
        </w:tc>
        <w:tc>
          <w:tcPr>
            <w:tcW w:w="765" w:type="dxa"/>
            <w:vAlign w:val="center"/>
          </w:tcPr>
          <w:p w14:paraId="2C01686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5E29C8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61F1BCD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0B493EAC">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33BA4C3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r w14:paraId="6FBB3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0" w:hRule="atLeast"/>
        </w:trPr>
        <w:tc>
          <w:tcPr>
            <w:tcW w:w="452" w:type="dxa"/>
            <w:vAlign w:val="center"/>
          </w:tcPr>
          <w:p w14:paraId="2CEABB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b w:val="0"/>
                <w:bCs w:val="0"/>
                <w:spacing w:val="1"/>
                <w:sz w:val="15"/>
                <w:szCs w:val="15"/>
                <w:vertAlign w:val="baseline"/>
                <w:lang w:val="en-US" w:eastAsia="zh-CN"/>
              </w:rPr>
            </w:pPr>
            <w:r>
              <w:rPr>
                <w:rFonts w:hint="eastAsia" w:asciiTheme="minorEastAsia" w:hAnsiTheme="minorEastAsia" w:eastAsiaTheme="minorEastAsia" w:cstheme="minorEastAsia"/>
                <w:b w:val="0"/>
                <w:bCs w:val="0"/>
                <w:spacing w:val="1"/>
                <w:sz w:val="15"/>
                <w:szCs w:val="15"/>
                <w:vertAlign w:val="baseline"/>
                <w:lang w:val="en-US" w:eastAsia="zh-CN"/>
              </w:rPr>
              <w:t>37</w:t>
            </w:r>
          </w:p>
        </w:tc>
        <w:tc>
          <w:tcPr>
            <w:tcW w:w="1605" w:type="dxa"/>
            <w:vAlign w:val="center"/>
          </w:tcPr>
          <w:p w14:paraId="1E16585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对非机动车驾驶人在人行道及其外延部分违反道路交通安全法律、法规关于道路通行规定的处罚</w:t>
            </w:r>
          </w:p>
        </w:tc>
        <w:tc>
          <w:tcPr>
            <w:tcW w:w="795" w:type="dxa"/>
            <w:shd w:val="clear" w:color="auto" w:fill="auto"/>
            <w:vAlign w:val="center"/>
          </w:tcPr>
          <w:p w14:paraId="6DC388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5"/>
                <w:kern w:val="0"/>
                <w:sz w:val="15"/>
                <w:szCs w:val="15"/>
                <w:lang w:val="en-US" w:eastAsia="en-US" w:bidi="ar-SA"/>
              </w:rPr>
            </w:pPr>
            <w:r>
              <w:rPr>
                <w:rFonts w:hint="eastAsia" w:asciiTheme="minorEastAsia" w:hAnsiTheme="minorEastAsia" w:eastAsiaTheme="minorEastAsia" w:cstheme="minorEastAsia"/>
                <w:spacing w:val="5"/>
                <w:sz w:val="15"/>
                <w:szCs w:val="15"/>
              </w:rPr>
              <w:t>行政处罚</w:t>
            </w:r>
          </w:p>
        </w:tc>
        <w:tc>
          <w:tcPr>
            <w:tcW w:w="1005" w:type="dxa"/>
            <w:shd w:val="clear" w:color="auto" w:fill="auto"/>
            <w:vAlign w:val="center"/>
          </w:tcPr>
          <w:p w14:paraId="354CB0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4"/>
                <w:kern w:val="0"/>
                <w:sz w:val="15"/>
                <w:szCs w:val="15"/>
                <w:lang w:val="en-US" w:eastAsia="zh-CN" w:bidi="ar-SA"/>
              </w:rPr>
            </w:pPr>
            <w:r>
              <w:rPr>
                <w:rFonts w:hint="eastAsia" w:asciiTheme="minorEastAsia" w:hAnsiTheme="minorEastAsia" w:eastAsiaTheme="minorEastAsia" w:cstheme="minorEastAsia"/>
                <w:spacing w:val="4"/>
                <w:sz w:val="15"/>
                <w:szCs w:val="15"/>
                <w:lang w:val="en-US" w:eastAsia="zh-CN"/>
              </w:rPr>
              <w:t>民乐县城市管理局</w:t>
            </w:r>
          </w:p>
        </w:tc>
        <w:tc>
          <w:tcPr>
            <w:tcW w:w="975" w:type="dxa"/>
            <w:shd w:val="clear" w:color="auto" w:fill="auto"/>
            <w:vAlign w:val="center"/>
          </w:tcPr>
          <w:p w14:paraId="4127E2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napToGrid w:val="0"/>
                <w:color w:val="000000"/>
                <w:spacing w:val="1"/>
                <w:kern w:val="0"/>
                <w:sz w:val="15"/>
                <w:szCs w:val="15"/>
                <w:lang w:val="en-US" w:eastAsia="en-US" w:bidi="ar-SA"/>
              </w:rPr>
            </w:pPr>
            <w:r>
              <w:rPr>
                <w:rFonts w:hint="eastAsia" w:asciiTheme="minorEastAsia" w:hAnsiTheme="minorEastAsia" w:eastAsiaTheme="minorEastAsia" w:cstheme="minorEastAsia"/>
                <w:spacing w:val="1"/>
                <w:sz w:val="15"/>
                <w:szCs w:val="15"/>
              </w:rPr>
              <w:t>城市管理</w:t>
            </w:r>
          </w:p>
        </w:tc>
        <w:tc>
          <w:tcPr>
            <w:tcW w:w="737" w:type="dxa"/>
            <w:shd w:val="clear" w:color="auto" w:fill="auto"/>
            <w:vAlign w:val="center"/>
          </w:tcPr>
          <w:p w14:paraId="2236CD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snapToGrid w:val="0"/>
                <w:color w:val="000000"/>
                <w:spacing w:val="1"/>
                <w:kern w:val="0"/>
                <w:sz w:val="15"/>
                <w:szCs w:val="15"/>
                <w:vertAlign w:val="baseline"/>
                <w:lang w:val="en-US" w:eastAsia="zh-CN" w:bidi="ar-SA"/>
              </w:rPr>
            </w:pPr>
            <w:r>
              <w:rPr>
                <w:rFonts w:hint="eastAsia" w:asciiTheme="minorEastAsia" w:hAnsiTheme="minorEastAsia" w:eastAsiaTheme="minorEastAsia" w:cstheme="minorEastAsia"/>
                <w:b w:val="0"/>
                <w:bCs w:val="0"/>
                <w:spacing w:val="1"/>
                <w:sz w:val="15"/>
                <w:szCs w:val="15"/>
                <w:vertAlign w:val="baseline"/>
                <w:lang w:val="en-US" w:eastAsia="zh-CN"/>
              </w:rPr>
              <w:t>县级</w:t>
            </w:r>
          </w:p>
        </w:tc>
        <w:tc>
          <w:tcPr>
            <w:tcW w:w="2833" w:type="dxa"/>
            <w:vAlign w:val="center"/>
          </w:tcPr>
          <w:p w14:paraId="6EE83DF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《中华人民共和国道路交通安全法》主席令第47号2011年4月22日</w:t>
            </w:r>
          </w:p>
          <w:p w14:paraId="0B4B3B6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170" w:firstLineChars="100"/>
              <w:jc w:val="left"/>
              <w:textAlignment w:val="auto"/>
              <w:rPr>
                <w:rFonts w:hint="eastAsia" w:asciiTheme="minorEastAsia" w:hAnsiTheme="minorEastAsia" w:eastAsiaTheme="minorEastAsia" w:cstheme="minorEastAsia"/>
                <w:spacing w:val="5"/>
                <w:sz w:val="16"/>
                <w:szCs w:val="16"/>
                <w:lang w:val="en-US" w:eastAsia="zh-CN"/>
              </w:rPr>
            </w:pPr>
            <w:r>
              <w:rPr>
                <w:rFonts w:hint="eastAsia" w:asciiTheme="minorEastAsia" w:hAnsiTheme="minorEastAsia" w:eastAsiaTheme="minorEastAsia" w:cstheme="minorEastAsia"/>
                <w:spacing w:val="5"/>
                <w:sz w:val="16"/>
                <w:szCs w:val="16"/>
                <w:lang w:val="en-US" w:eastAsia="zh-CN"/>
              </w:rPr>
              <w:t>第八十九条 行人、乘车人、非机动车驾驶人违反道路交通安全法律、法规关于道路通行规定的，处警告或者五元以上五十元以下罚款;非机动车驾驶人拒绝接受罚款处罚的，可以扣留其非机动车。</w:t>
            </w:r>
          </w:p>
        </w:tc>
        <w:tc>
          <w:tcPr>
            <w:tcW w:w="765" w:type="dxa"/>
            <w:vAlign w:val="center"/>
          </w:tcPr>
          <w:p w14:paraId="345921B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2085" w:type="dxa"/>
            <w:vAlign w:val="center"/>
          </w:tcPr>
          <w:p w14:paraId="1D725E5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pacing w:val="5"/>
                <w:sz w:val="16"/>
                <w:szCs w:val="16"/>
                <w:lang w:val="en-US" w:eastAsia="zh-CN"/>
              </w:rPr>
            </w:pPr>
          </w:p>
        </w:tc>
        <w:tc>
          <w:tcPr>
            <w:tcW w:w="885" w:type="dxa"/>
            <w:vAlign w:val="center"/>
          </w:tcPr>
          <w:p w14:paraId="1A9B732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Arial"/>
                <w:sz w:val="21"/>
              </w:rPr>
            </w:pPr>
          </w:p>
        </w:tc>
        <w:tc>
          <w:tcPr>
            <w:tcW w:w="870" w:type="dxa"/>
            <w:vAlign w:val="center"/>
          </w:tcPr>
          <w:p w14:paraId="2AFC5C19">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tc>
        <w:tc>
          <w:tcPr>
            <w:tcW w:w="780" w:type="dxa"/>
            <w:vAlign w:val="center"/>
          </w:tcPr>
          <w:p w14:paraId="6FB02C3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Arial"/>
                <w:sz w:val="21"/>
              </w:rPr>
            </w:pPr>
          </w:p>
        </w:tc>
      </w:tr>
    </w:tbl>
    <w:p w14:paraId="005DCA5A">
      <w:pPr>
        <w:spacing w:before="40" w:line="217" w:lineRule="auto"/>
        <w:ind w:left="120"/>
        <w:rPr>
          <w:rFonts w:ascii="黑体" w:hAnsi="黑体" w:eastAsia="黑体" w:cs="黑体"/>
          <w:sz w:val="18"/>
          <w:szCs w:val="18"/>
        </w:rPr>
      </w:pPr>
      <w:r>
        <w:rPr>
          <w:rFonts w:ascii="黑体" w:hAnsi="黑体" w:eastAsia="黑体" w:cs="黑体"/>
          <w:spacing w:val="-1"/>
          <w:sz w:val="18"/>
          <w:szCs w:val="18"/>
        </w:rPr>
        <w:t>填表说明：</w:t>
      </w:r>
    </w:p>
    <w:p w14:paraId="612F0D9C">
      <w:pPr>
        <w:spacing w:before="27" w:line="233" w:lineRule="auto"/>
        <w:ind w:left="486" w:right="7527" w:firstLine="11"/>
        <w:rPr>
          <w:rFonts w:ascii="宋体" w:hAnsi="宋体" w:eastAsia="宋体" w:cs="宋体"/>
          <w:sz w:val="18"/>
          <w:szCs w:val="18"/>
        </w:rPr>
      </w:pPr>
      <w:r>
        <w:rPr>
          <w:rFonts w:ascii="宋体" w:hAnsi="宋体" w:eastAsia="宋体" w:cs="宋体"/>
          <w:sz w:val="18"/>
          <w:szCs w:val="18"/>
        </w:rPr>
        <w:t>1.事项名称，事项名称应与法律法规要求保持一致，确保科学、严谨、规范。</w:t>
      </w:r>
      <w:r>
        <w:rPr>
          <w:rFonts w:ascii="宋体" w:hAnsi="宋体" w:eastAsia="宋体" w:cs="宋体"/>
          <w:spacing w:val="12"/>
          <w:sz w:val="18"/>
          <w:szCs w:val="18"/>
        </w:rPr>
        <w:t xml:space="preserve"> </w:t>
      </w:r>
      <w:r>
        <w:rPr>
          <w:rFonts w:ascii="宋体" w:hAnsi="宋体" w:eastAsia="宋体" w:cs="宋体"/>
          <w:spacing w:val="1"/>
          <w:sz w:val="18"/>
          <w:szCs w:val="18"/>
        </w:rPr>
        <w:t>2.事项类型，行政执法事项类型为行政处罚、行政强制、行政检查。</w:t>
      </w:r>
    </w:p>
    <w:p w14:paraId="6D677EE0">
      <w:pPr>
        <w:spacing w:before="25" w:line="233" w:lineRule="auto"/>
        <w:ind w:left="484" w:right="3070" w:firstLine="4"/>
        <w:rPr>
          <w:rFonts w:ascii="宋体" w:hAnsi="宋体" w:eastAsia="宋体" w:cs="宋体"/>
          <w:sz w:val="18"/>
          <w:szCs w:val="18"/>
        </w:rPr>
      </w:pPr>
      <w:r>
        <w:rPr>
          <w:rFonts w:ascii="宋体" w:hAnsi="宋体" w:eastAsia="宋体" w:cs="宋体"/>
          <w:spacing w:val="-1"/>
          <w:sz w:val="18"/>
          <w:szCs w:val="18"/>
        </w:rPr>
        <w:t>3.执法部门，执法部门要与法律、法规和规章等明确的执法责任主体以及部门权责清单、“三定</w:t>
      </w:r>
      <w:r>
        <w:rPr>
          <w:rFonts w:ascii="宋体" w:hAnsi="宋体" w:eastAsia="宋体" w:cs="宋体"/>
          <w:spacing w:val="-51"/>
          <w:sz w:val="18"/>
          <w:szCs w:val="18"/>
        </w:rPr>
        <w:t xml:space="preserve"> </w:t>
      </w:r>
      <w:r>
        <w:rPr>
          <w:rFonts w:ascii="宋体" w:hAnsi="宋体" w:eastAsia="宋体" w:cs="宋体"/>
          <w:spacing w:val="-1"/>
          <w:sz w:val="18"/>
          <w:szCs w:val="18"/>
        </w:rPr>
        <w:t>”方案明确的执法责任主体保持一致。</w:t>
      </w:r>
      <w:r>
        <w:rPr>
          <w:rFonts w:ascii="宋体" w:hAnsi="宋体" w:eastAsia="宋体" w:cs="宋体"/>
          <w:sz w:val="18"/>
          <w:szCs w:val="18"/>
        </w:rPr>
        <w:t xml:space="preserve"> </w:t>
      </w:r>
      <w:r>
        <w:rPr>
          <w:rFonts w:ascii="宋体" w:hAnsi="宋体" w:eastAsia="宋体" w:cs="宋体"/>
          <w:spacing w:val="2"/>
          <w:sz w:val="18"/>
          <w:szCs w:val="18"/>
        </w:rPr>
        <w:t>4.执法领域，执法领域包括城市管理、市场监管、生态环境、文化市场、交通运输</w:t>
      </w:r>
      <w:r>
        <w:rPr>
          <w:rFonts w:ascii="宋体" w:hAnsi="宋体" w:eastAsia="宋体" w:cs="宋体"/>
          <w:spacing w:val="1"/>
          <w:sz w:val="18"/>
          <w:szCs w:val="18"/>
        </w:rPr>
        <w:t>、应急管理、农业农村等领域。</w:t>
      </w:r>
    </w:p>
    <w:p w14:paraId="13177D57">
      <w:pPr>
        <w:spacing w:before="27" w:line="233" w:lineRule="auto"/>
        <w:ind w:left="120" w:right="400" w:firstLine="367"/>
        <w:rPr>
          <w:rFonts w:ascii="宋体" w:hAnsi="宋体" w:eastAsia="宋体" w:cs="宋体"/>
          <w:sz w:val="18"/>
          <w:szCs w:val="18"/>
        </w:rPr>
      </w:pPr>
      <w:r>
        <w:rPr>
          <w:rFonts w:ascii="宋体" w:hAnsi="宋体" w:eastAsia="宋体" w:cs="宋体"/>
          <w:spacing w:val="2"/>
          <w:sz w:val="18"/>
          <w:szCs w:val="18"/>
        </w:rPr>
        <w:t>5.执法依据，按照现行有效法律、行政法规、地方性法规、部门规章、政府规章不同法律位阶分别填写，要完整填写所涉及</w:t>
      </w:r>
      <w:r>
        <w:rPr>
          <w:rFonts w:ascii="宋体" w:hAnsi="宋体" w:eastAsia="宋体" w:cs="宋体"/>
          <w:spacing w:val="1"/>
          <w:sz w:val="18"/>
          <w:szCs w:val="18"/>
        </w:rPr>
        <w:t>法律、法规、规章的全称并重点列明具体条</w:t>
      </w:r>
      <w:r>
        <w:rPr>
          <w:rFonts w:ascii="宋体" w:hAnsi="宋体" w:eastAsia="宋体" w:cs="宋体"/>
          <w:sz w:val="18"/>
          <w:szCs w:val="18"/>
        </w:rPr>
        <w:t xml:space="preserve"> </w:t>
      </w:r>
      <w:r>
        <w:rPr>
          <w:rFonts w:ascii="宋体" w:hAnsi="宋体" w:eastAsia="宋体" w:cs="宋体"/>
          <w:spacing w:val="-1"/>
          <w:sz w:val="18"/>
          <w:szCs w:val="18"/>
        </w:rPr>
        <w:t>款项目。</w:t>
      </w:r>
    </w:p>
    <w:p w14:paraId="4BF01498">
      <w:pPr>
        <w:spacing w:before="25" w:line="233" w:lineRule="auto"/>
        <w:ind w:left="121" w:right="400" w:firstLine="364"/>
        <w:rPr>
          <w:rFonts w:ascii="宋体" w:hAnsi="宋体" w:eastAsia="宋体" w:cs="宋体"/>
          <w:spacing w:val="-2"/>
          <w:sz w:val="18"/>
          <w:szCs w:val="18"/>
        </w:rPr>
      </w:pPr>
      <w:r>
        <w:rPr>
          <w:rFonts w:ascii="宋体" w:hAnsi="宋体" w:eastAsia="宋体" w:cs="宋体"/>
          <w:spacing w:val="2"/>
          <w:sz w:val="18"/>
          <w:szCs w:val="18"/>
        </w:rPr>
        <w:t>6.委托执法事项，对以委托形式的执法事项，应保留在委托部门的执法事项目录清单中，执法部门栏列明委托的单位名称，备注</w:t>
      </w:r>
      <w:r>
        <w:rPr>
          <w:rFonts w:ascii="宋体" w:hAnsi="宋体" w:eastAsia="宋体" w:cs="宋体"/>
          <w:spacing w:val="1"/>
          <w:sz w:val="18"/>
          <w:szCs w:val="18"/>
        </w:rPr>
        <w:t>栏填写具体行使该项行政权力的受委托</w:t>
      </w:r>
      <w:r>
        <w:rPr>
          <w:rFonts w:ascii="宋体" w:hAnsi="宋体" w:eastAsia="宋体" w:cs="宋体"/>
          <w:sz w:val="18"/>
          <w:szCs w:val="18"/>
        </w:rPr>
        <w:t xml:space="preserve"> </w:t>
      </w:r>
      <w:r>
        <w:rPr>
          <w:rFonts w:ascii="宋体" w:hAnsi="宋体" w:eastAsia="宋体" w:cs="宋体"/>
          <w:spacing w:val="-2"/>
          <w:sz w:val="18"/>
          <w:szCs w:val="18"/>
        </w:rPr>
        <w:t>单位，并注明“委托执法</w:t>
      </w:r>
      <w:r>
        <w:rPr>
          <w:rFonts w:ascii="宋体" w:hAnsi="宋体" w:eastAsia="宋体" w:cs="宋体"/>
          <w:spacing w:val="-52"/>
          <w:sz w:val="18"/>
          <w:szCs w:val="18"/>
        </w:rPr>
        <w:t xml:space="preserve"> </w:t>
      </w:r>
      <w:r>
        <w:rPr>
          <w:rFonts w:ascii="宋体" w:hAnsi="宋体" w:eastAsia="宋体" w:cs="宋体"/>
          <w:spacing w:val="-2"/>
          <w:sz w:val="18"/>
          <w:szCs w:val="18"/>
        </w:rPr>
        <w:t>”。</w:t>
      </w:r>
    </w:p>
    <w:p w14:paraId="0A966E2B"/>
    <w:sectPr>
      <w:footerReference r:id="rId5" w:type="default"/>
      <w:pgSz w:w="16839" w:h="11906"/>
      <w:pgMar w:top="1012" w:right="1260" w:bottom="1534" w:left="1418" w:header="0" w:footer="1256"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D5CB1">
    <w:pPr>
      <w:spacing w:before="1" w:line="176" w:lineRule="auto"/>
      <w:ind w:left="6601"/>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C1007">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1C1007">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EB90B">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CEB90B">
                    <w:pPr>
                      <w:pStyle w:val="2"/>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0BF6C"/>
    <w:multiLevelType w:val="singleLevel"/>
    <w:tmpl w:val="9200BF6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Y2YzZWM4ZjNmOGEyNzFlNDI5Zjc5MDcxMzhjZDUifQ=="/>
  </w:docVars>
  <w:rsids>
    <w:rsidRoot w:val="50D0478F"/>
    <w:rsid w:val="07284A00"/>
    <w:rsid w:val="1E8B3217"/>
    <w:rsid w:val="50D0478F"/>
    <w:rsid w:val="5EF32B94"/>
    <w:rsid w:val="6D611D5A"/>
    <w:rsid w:val="74A45B1A"/>
    <w:rsid w:val="7DD46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4"/>
      <w:szCs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11847</Words>
  <Characters>12146</Characters>
  <Lines>0</Lines>
  <Paragraphs>0</Paragraphs>
  <TotalTime>1</TotalTime>
  <ScaleCrop>false</ScaleCrop>
  <LinksUpToDate>false</LinksUpToDate>
  <CharactersWithSpaces>12362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2024-09-27T03:38:00Z</dcterms:created>
  <dc:creator>后来太好、</dc:creator>
  <cp:lastModifiedBy>爱赖床的好菇凉</cp:lastModifiedBy>
  <dcterms:modified xsi:type="dcterms:W3CDTF">2024-12-04T09:09:19Z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8869C9A58F25404583EA65543C9817C5_13</vt:lpwstr>
  </property>
</Properties>
</file>