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Style w:val="14"/>
          <w:rFonts w:hint="eastAsia" w:ascii="方正小标宋简体" w:hAnsi="方正小标宋简体" w:eastAsia="方正小标宋简体" w:cs="方正小标宋简体"/>
          <w:b w:val="0"/>
          <w:bCs w:val="0"/>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left="0"/>
        <w:jc w:val="left"/>
        <w:textAlignment w:val="auto"/>
        <w:rPr>
          <w:rFonts w:hint="eastAsia" w:ascii="方正小标宋简体" w:hAnsi="方正小标宋简体" w:eastAsia="方正小标宋简体" w:cs="方正小标宋简体"/>
          <w:b w:val="0"/>
          <w:bCs w:val="0"/>
          <w:color w:val="auto"/>
          <w:sz w:val="44"/>
          <w:szCs w:val="44"/>
          <w:lang w:val="en"/>
        </w:rPr>
      </w:pPr>
      <w:r>
        <w:rPr>
          <w:rFonts w:hint="eastAsia" w:ascii="方正小标宋简体" w:hAnsi="方正小标宋简体" w:eastAsia="方正小标宋简体" w:cs="方正小标宋简体"/>
          <w:b w:val="0"/>
          <w:bCs w:val="0"/>
          <w:color w:val="auto"/>
          <w:sz w:val="44"/>
          <w:szCs w:val="44"/>
          <w:lang w:val="en"/>
        </w:rPr>
        <w:t>202</w:t>
      </w:r>
      <w:r>
        <w:rPr>
          <w:rFonts w:hint="eastAsia" w:ascii="方正小标宋简体" w:hAnsi="方正小标宋简体" w:eastAsia="方正小标宋简体" w:cs="方正小标宋简体"/>
          <w:b w:val="0"/>
          <w:bCs w:val="0"/>
          <w:color w:val="auto"/>
          <w:sz w:val="44"/>
          <w:szCs w:val="44"/>
          <w:lang w:val="en-US" w:eastAsia="zh-CN"/>
        </w:rPr>
        <w:t>2</w:t>
      </w:r>
      <w:r>
        <w:rPr>
          <w:rFonts w:hint="eastAsia" w:ascii="方正小标宋简体" w:hAnsi="方正小标宋简体" w:eastAsia="方正小标宋简体" w:cs="方正小标宋简体"/>
          <w:b w:val="0"/>
          <w:bCs w:val="0"/>
          <w:color w:val="auto"/>
          <w:sz w:val="44"/>
          <w:szCs w:val="44"/>
          <w:lang w:val="en"/>
        </w:rPr>
        <w:t>年度</w:t>
      </w:r>
      <w:r>
        <w:rPr>
          <w:rFonts w:hint="eastAsia" w:ascii="方正小标宋简体" w:hAnsi="方正小标宋简体" w:eastAsia="方正小标宋简体" w:cs="方正小标宋简体"/>
          <w:b w:val="0"/>
          <w:bCs w:val="0"/>
          <w:color w:val="auto"/>
          <w:sz w:val="44"/>
          <w:szCs w:val="44"/>
          <w:lang w:val="en-US" w:eastAsia="zh-CN"/>
        </w:rPr>
        <w:t>县</w:t>
      </w:r>
      <w:r>
        <w:rPr>
          <w:rFonts w:hint="eastAsia" w:ascii="方正小标宋简体" w:hAnsi="方正小标宋简体" w:eastAsia="方正小标宋简体" w:cs="方正小标宋简体"/>
          <w:b w:val="0"/>
          <w:bCs w:val="0"/>
          <w:color w:val="auto"/>
          <w:sz w:val="44"/>
          <w:szCs w:val="44"/>
          <w:lang w:val="en"/>
        </w:rPr>
        <w:t>级预算执行情况</w:t>
      </w:r>
      <w:r>
        <w:rPr>
          <w:rFonts w:hint="eastAsia" w:ascii="方正小标宋简体" w:hAnsi="方正小标宋简体" w:eastAsia="方正小标宋简体" w:cs="方正小标宋简体"/>
          <w:b w:val="0"/>
          <w:bCs w:val="0"/>
          <w:color w:val="auto"/>
          <w:sz w:val="44"/>
          <w:szCs w:val="44"/>
          <w:lang w:val="en" w:eastAsia="zh-CN"/>
        </w:rPr>
        <w:t>绩效</w:t>
      </w:r>
      <w:r>
        <w:rPr>
          <w:rFonts w:hint="eastAsia" w:ascii="方正小标宋简体" w:hAnsi="方正小标宋简体" w:eastAsia="方正小标宋简体" w:cs="方正小标宋简体"/>
          <w:b w:val="0"/>
          <w:bCs w:val="0"/>
          <w:color w:val="auto"/>
          <w:sz w:val="44"/>
          <w:szCs w:val="44"/>
          <w:lang w:val="en"/>
        </w:rPr>
        <w:t>自评报告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宋体" w:eastAsia="黑体" w:cs="黑体"/>
          <w:i w:val="0"/>
          <w:iCs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t>（一）部门主要职能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负责全面贯彻习近平新时代中国特色社会主义思想，执行中央、省委、市委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县委</w:t>
      </w:r>
      <w:r>
        <w:rPr>
          <w:rFonts w:hint="eastAsia" w:ascii="仿宋_GB2312" w:hAnsi="仿宋_GB2312" w:eastAsia="仿宋_GB2312" w:cs="仿宋_GB2312"/>
          <w:color w:val="auto"/>
          <w:sz w:val="32"/>
          <w:szCs w:val="32"/>
        </w:rPr>
        <w:t>关于组织工作的路线、方针、政策和各项决策部署；定期向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委和</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委组织部报告工作。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抓好</w:t>
      </w:r>
      <w:r>
        <w:rPr>
          <w:rFonts w:hint="eastAsia" w:ascii="仿宋_GB2312" w:hAnsi="仿宋_GB2312" w:eastAsia="仿宋_GB2312" w:cs="仿宋_GB2312"/>
          <w:color w:val="auto"/>
          <w:sz w:val="32"/>
          <w:szCs w:val="32"/>
        </w:rPr>
        <w:t>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党的组织建设，研究提出加强党的组织建设、规范党内生活的意见建议和制度措施；指导抓好农村、机关、社区</w:t>
      </w:r>
      <w:r>
        <w:rPr>
          <w:rFonts w:hint="eastAsia" w:ascii="仿宋_GB2312" w:hAnsi="仿宋_GB2312" w:eastAsia="仿宋_GB2312" w:cs="仿宋_GB2312"/>
          <w:color w:val="auto"/>
          <w:sz w:val="32"/>
          <w:szCs w:val="32"/>
          <w:lang w:eastAsia="zh-CN"/>
        </w:rPr>
        <w:t>、非公</w:t>
      </w:r>
      <w:r>
        <w:rPr>
          <w:rFonts w:hint="eastAsia" w:ascii="仿宋_GB2312" w:hAnsi="仿宋_GB2312" w:eastAsia="仿宋_GB2312" w:cs="仿宋_GB2312"/>
          <w:color w:val="auto"/>
          <w:sz w:val="32"/>
          <w:szCs w:val="32"/>
          <w:lang w:val="en-US" w:eastAsia="zh-CN"/>
        </w:rPr>
        <w:t>企业、社会组织</w:t>
      </w:r>
      <w:r>
        <w:rPr>
          <w:rFonts w:hint="eastAsia" w:ascii="仿宋_GB2312" w:hAnsi="仿宋_GB2312" w:eastAsia="仿宋_GB2312" w:cs="仿宋_GB2312"/>
          <w:color w:val="auto"/>
          <w:sz w:val="32"/>
          <w:szCs w:val="32"/>
        </w:rPr>
        <w:t>等各领域基层党组织建设，加强新兴领域党建工作，研究提出组织设置、隶属关系、活动内容、工作方式等方面的意见和建议。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党员队伍建设，协调、规划、指导党员教育管理服务工作，牵头开展党内学习教育，指导做好发展党员、党员管理、党费管理、党内统计等工作，运用现代信息技术开展党员教育管理。负责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党代表的联络和服务工作。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委组织部做好</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人大、</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政协换届有关人事工作，负责组织换届选举工作；负责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党代会的组</w:t>
      </w:r>
      <w:r>
        <w:rPr>
          <w:rFonts w:hint="eastAsia" w:ascii="仿宋_GB2312" w:hAnsi="仿宋_GB2312" w:eastAsia="仿宋_GB2312" w:cs="仿宋_GB2312"/>
          <w:color w:val="auto"/>
          <w:spacing w:val="-2"/>
          <w:sz w:val="32"/>
          <w:szCs w:val="32"/>
        </w:rPr>
        <w:t>织筹备工作；负责</w:t>
      </w:r>
      <w:r>
        <w:rPr>
          <w:rFonts w:hint="eastAsia" w:ascii="仿宋_GB2312" w:hAnsi="仿宋_GB2312" w:eastAsia="仿宋_GB2312" w:cs="仿宋_GB2312"/>
          <w:color w:val="auto"/>
          <w:spacing w:val="-2"/>
          <w:sz w:val="32"/>
          <w:szCs w:val="32"/>
          <w:lang w:val="en-US" w:eastAsia="zh-CN"/>
        </w:rPr>
        <w:t>镇、村</w:t>
      </w:r>
      <w:r>
        <w:rPr>
          <w:rFonts w:hint="eastAsia" w:ascii="仿宋_GB2312" w:hAnsi="仿宋_GB2312" w:eastAsia="仿宋_GB2312" w:cs="仿宋_GB2312"/>
          <w:color w:val="auto"/>
          <w:spacing w:val="-2"/>
          <w:sz w:val="32"/>
          <w:szCs w:val="32"/>
        </w:rPr>
        <w:t>换届人事安排</w:t>
      </w:r>
      <w:r>
        <w:rPr>
          <w:rFonts w:hint="eastAsia" w:ascii="仿宋_GB2312" w:hAnsi="仿宋_GB2312" w:eastAsia="仿宋_GB2312" w:cs="仿宋_GB2312"/>
          <w:color w:val="auto"/>
          <w:spacing w:val="-2"/>
          <w:sz w:val="32"/>
          <w:szCs w:val="32"/>
          <w:lang w:val="en-US" w:eastAsia="zh-CN"/>
        </w:rPr>
        <w:t>部署</w:t>
      </w:r>
      <w:r>
        <w:rPr>
          <w:rFonts w:hint="eastAsia" w:ascii="仿宋_GB2312" w:hAnsi="仿宋_GB2312" w:eastAsia="仿宋_GB2312" w:cs="仿宋_GB2312"/>
          <w:color w:val="auto"/>
          <w:spacing w:val="-2"/>
          <w:sz w:val="32"/>
          <w:szCs w:val="32"/>
        </w:rPr>
        <w:t>及换届选举的</w:t>
      </w:r>
      <w:r>
        <w:rPr>
          <w:rFonts w:hint="eastAsia" w:ascii="仿宋_GB2312" w:hAnsi="仿宋_GB2312" w:eastAsia="仿宋_GB2312" w:cs="仿宋_GB2312"/>
          <w:color w:val="auto"/>
          <w:spacing w:val="-2"/>
          <w:sz w:val="32"/>
          <w:szCs w:val="32"/>
          <w:lang w:val="en-US" w:eastAsia="zh-CN"/>
        </w:rPr>
        <w:t>宏观</w:t>
      </w:r>
      <w:r>
        <w:rPr>
          <w:rFonts w:hint="eastAsia" w:ascii="仿宋_GB2312" w:hAnsi="仿宋_GB2312" w:eastAsia="仿宋_GB2312" w:cs="仿宋_GB2312"/>
          <w:color w:val="auto"/>
          <w:spacing w:val="-2"/>
          <w:sz w:val="32"/>
          <w:szCs w:val="32"/>
        </w:rPr>
        <w:t>指导。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管领导班子和干部队伍建设，研究、规划、指导政治思想建设、干部人事制度改革等工作；负责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管领导班子和领导干部的考核考察，对领导班子调整、配备和领导干部任免、待遇、退休等提出意见和建议；负责全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培养选拔年轻干部和后备干部队伍建设工作的宏观指导；统筹做好女干部、少数民族干部和非中共党员干部工作。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党员干部教育培训工作的整体规划、宏观指导、协调服务、督促检查，指导</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直部门单位</w:t>
      </w:r>
      <w:r>
        <w:rPr>
          <w:rFonts w:hint="eastAsia" w:ascii="仿宋_GB2312" w:hAnsi="仿宋_GB2312" w:eastAsia="仿宋_GB2312" w:cs="仿宋_GB2312"/>
          <w:color w:val="auto"/>
          <w:sz w:val="32"/>
          <w:szCs w:val="32"/>
          <w:lang w:val="en-US" w:eastAsia="zh-CN"/>
        </w:rPr>
        <w:t>和乡镇</w:t>
      </w:r>
      <w:r>
        <w:rPr>
          <w:rFonts w:hint="eastAsia" w:ascii="仿宋_GB2312" w:hAnsi="仿宋_GB2312" w:eastAsia="仿宋_GB2312" w:cs="仿宋_GB2312"/>
          <w:color w:val="auto"/>
          <w:sz w:val="32"/>
          <w:szCs w:val="32"/>
        </w:rPr>
        <w:t>开展干部教育培训；指导全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党员干部教育培训基地建设和师资队伍建设。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干部监督工作的宏观指导、综合协调、制度建设和督促检查；对</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管领导班子和领导干部进行日常监督。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负责指导协调《公务员法》的实施和配套制度建设，负责党委、人大、政协、监察、法院、检察院、民主党派和工商联及群团组织等单位公务员及参照管理人员综合管理工作。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人才工作和人才队伍建设的宏观指导、综合协调，贯彻落实中央、省委、市委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县委</w:t>
      </w:r>
      <w:r>
        <w:rPr>
          <w:rFonts w:hint="eastAsia" w:ascii="仿宋_GB2312" w:hAnsi="仿宋_GB2312" w:eastAsia="仿宋_GB2312" w:cs="仿宋_GB2312"/>
          <w:color w:val="auto"/>
          <w:sz w:val="32"/>
          <w:szCs w:val="32"/>
        </w:rPr>
        <w:t>有关人才工作的重大政策和部署要求;协调指导各类人才队伍建设的政策、规划制定等；</w:t>
      </w:r>
      <w:r>
        <w:rPr>
          <w:rFonts w:hint="eastAsia" w:ascii="仿宋_GB2312" w:hAnsi="仿宋_GB2312" w:eastAsia="仿宋_GB2312" w:cs="仿宋_GB2312"/>
          <w:color w:val="auto"/>
          <w:spacing w:val="-8"/>
          <w:sz w:val="32"/>
          <w:szCs w:val="32"/>
        </w:rPr>
        <w:t>协调指导</w:t>
      </w:r>
      <w:r>
        <w:rPr>
          <w:rFonts w:hint="eastAsia" w:ascii="仿宋_GB2312" w:hAnsi="仿宋_GB2312" w:eastAsia="仿宋_GB2312" w:cs="仿宋_GB2312"/>
          <w:color w:val="auto"/>
          <w:spacing w:val="-8"/>
          <w:sz w:val="32"/>
          <w:szCs w:val="32"/>
          <w:lang w:val="en-US" w:eastAsia="zh-CN"/>
        </w:rPr>
        <w:t>县</w:t>
      </w:r>
      <w:r>
        <w:rPr>
          <w:rFonts w:hint="eastAsia" w:ascii="仿宋_GB2312" w:hAnsi="仿宋_GB2312" w:eastAsia="仿宋_GB2312" w:cs="仿宋_GB2312"/>
          <w:color w:val="auto"/>
          <w:spacing w:val="-8"/>
          <w:sz w:val="32"/>
          <w:szCs w:val="32"/>
        </w:rPr>
        <w:t>人才培训中心工作；统筹做好高层次人才引进工作</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协助做好</w:t>
      </w:r>
      <w:r>
        <w:rPr>
          <w:rFonts w:hint="eastAsia" w:ascii="仿宋_GB2312" w:hAnsi="仿宋_GB2312" w:eastAsia="仿宋_GB2312" w:cs="仿宋_GB2312"/>
          <w:color w:val="auto"/>
          <w:spacing w:val="-8"/>
          <w:sz w:val="32"/>
          <w:szCs w:val="32"/>
          <w:lang w:val="en-US" w:eastAsia="zh-CN"/>
        </w:rPr>
        <w:t>县</w:t>
      </w:r>
      <w:r>
        <w:rPr>
          <w:rFonts w:hint="eastAsia" w:ascii="仿宋_GB2312" w:hAnsi="仿宋_GB2312" w:eastAsia="仿宋_GB2312" w:cs="仿宋_GB2312"/>
          <w:color w:val="auto"/>
          <w:spacing w:val="-8"/>
          <w:sz w:val="32"/>
          <w:szCs w:val="32"/>
        </w:rPr>
        <w:t>委联系服务专家等工作。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8"/>
          <w:sz w:val="32"/>
          <w:szCs w:val="32"/>
        </w:rPr>
        <w:t>负责全</w:t>
      </w:r>
      <w:r>
        <w:rPr>
          <w:rFonts w:hint="eastAsia" w:ascii="仿宋_GB2312" w:hAnsi="仿宋_GB2312" w:eastAsia="仿宋_GB2312" w:cs="仿宋_GB2312"/>
          <w:color w:val="auto"/>
          <w:spacing w:val="-8"/>
          <w:sz w:val="32"/>
          <w:szCs w:val="32"/>
          <w:lang w:val="en-US" w:eastAsia="zh-CN"/>
        </w:rPr>
        <w:t>县</w:t>
      </w:r>
      <w:r>
        <w:rPr>
          <w:rFonts w:hint="eastAsia" w:ascii="仿宋_GB2312" w:hAnsi="仿宋_GB2312" w:eastAsia="仿宋_GB2312" w:cs="仿宋_GB2312"/>
          <w:color w:val="auto"/>
          <w:spacing w:val="-8"/>
          <w:sz w:val="32"/>
          <w:szCs w:val="32"/>
        </w:rPr>
        <w:t>离退休干部工作的宏观管理，指导全</w:t>
      </w:r>
      <w:r>
        <w:rPr>
          <w:rFonts w:hint="eastAsia" w:ascii="仿宋_GB2312" w:hAnsi="仿宋_GB2312" w:eastAsia="仿宋_GB2312" w:cs="仿宋_GB2312"/>
          <w:color w:val="auto"/>
          <w:spacing w:val="-8"/>
          <w:sz w:val="32"/>
          <w:szCs w:val="32"/>
          <w:lang w:val="en-US" w:eastAsia="zh-CN"/>
        </w:rPr>
        <w:t>县</w:t>
      </w:r>
      <w:r>
        <w:rPr>
          <w:rFonts w:hint="eastAsia" w:ascii="仿宋_GB2312" w:hAnsi="仿宋_GB2312" w:eastAsia="仿宋_GB2312" w:cs="仿宋_GB2312"/>
          <w:color w:val="auto"/>
          <w:spacing w:val="-8"/>
          <w:sz w:val="32"/>
          <w:szCs w:val="32"/>
        </w:rPr>
        <w:t>老干部工作。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负责开展新时代党的组织工作和党建理论的综合研究。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委组织部和</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委交办的其他工作。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t>（二）内设机构及所属单位概况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单位概况：中共民乐县委组织部为县委工作机关，正科级建制，加挂县委老干部局、县公务员局的牌子，内设职能股室有6个，分别为办公室、干部组、组织组、公务员管理组、考核监督组、老干部工作组。核定行政编制12名，工勤编制2名。核定部领导职数4名（部长1名、副部长3名），实有人员11人（其中部长1人，副部长3人，公务员7人），工勤人员2人。部内人员平均年龄为35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Style w:val="17"/>
          <w:rFonts w:eastAsia="黑体"/>
          <w:lang w:val="en-US" w:eastAsia="zh-CN" w:bidi="ar"/>
        </w:rPr>
      </w:pPr>
      <w:r>
        <w:rPr>
          <w:rStyle w:val="16"/>
          <w:lang w:val="en-US" w:eastAsia="zh-CN" w:bidi="ar"/>
        </w:rPr>
        <w:t>二、</w:t>
      </w:r>
      <w:r>
        <w:rPr>
          <w:rStyle w:val="16"/>
          <w:rFonts w:hint="eastAsia"/>
          <w:lang w:val="en-US" w:eastAsia="zh-CN" w:bidi="ar"/>
        </w:rPr>
        <w:t>部门整体支出绩效目标申报工作</w:t>
      </w:r>
      <w:r>
        <w:rPr>
          <w:rStyle w:val="16"/>
          <w:lang w:val="en-US" w:eastAsia="zh-CN" w:bidi="ar"/>
        </w:rPr>
        <w:t>组织开展情况</w:t>
      </w:r>
      <w:r>
        <w:rPr>
          <w:rStyle w:val="17"/>
          <w:rFonts w:eastAsia="黑体"/>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一是高度重视，明确职责。</w:t>
      </w:r>
      <w:r>
        <w:rPr>
          <w:rFonts w:hint="eastAsia" w:ascii="仿宋_GB2312" w:hAnsi="仿宋_GB2312" w:eastAsia="仿宋_GB2312" w:cs="仿宋_GB2312"/>
          <w:i w:val="0"/>
          <w:iCs w:val="0"/>
          <w:color w:val="000000"/>
          <w:kern w:val="0"/>
          <w:sz w:val="32"/>
          <w:szCs w:val="32"/>
          <w:u w:val="none"/>
          <w:lang w:val="en-US" w:eastAsia="zh-CN" w:bidi="ar"/>
        </w:rPr>
        <w:t>我单位及时召开2022年部门整体支出绩效目标申报工作布置会议，由分管财务领导主持，各组室负责人参加，重点强调部门整体支出绩效目标申报工作的重要性和必要性，明确部门整体支出绩效目标申报的责任单位、股室，确保申报工作有序、有效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二是全面实施，有序开展。</w:t>
      </w:r>
      <w:r>
        <w:rPr>
          <w:rFonts w:hint="eastAsia" w:ascii="仿宋_GB2312" w:hAnsi="仿宋_GB2312" w:eastAsia="仿宋_GB2312" w:cs="仿宋_GB2312"/>
          <w:i w:val="0"/>
          <w:iCs w:val="0"/>
          <w:color w:val="000000"/>
          <w:kern w:val="0"/>
          <w:sz w:val="32"/>
          <w:szCs w:val="32"/>
          <w:u w:val="none"/>
          <w:lang w:val="en-US" w:eastAsia="zh-CN" w:bidi="ar"/>
        </w:rPr>
        <w:t>全年预算总金额627.19万元，实际执行数770.96万元，内容涉及人员工资、工作经费等方面。设定申报指标：部门管理指标、履职效果指标、能力建设指标、服务对象满意度指标。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黑体" w:hAnsi="宋体" w:eastAsia="黑体" w:cs="黑体"/>
          <w:i w:val="0"/>
          <w:iCs w:val="0"/>
          <w:color w:val="000000"/>
          <w:kern w:val="0"/>
          <w:sz w:val="32"/>
          <w:szCs w:val="32"/>
          <w:u w:val="none"/>
          <w:lang w:val="en-US" w:eastAsia="zh-CN" w:bidi="ar"/>
        </w:rPr>
        <w:t>三、部门整体支出绩效目标指标设置情况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楷体_GB2312" w:hAnsi="楷体_GB2312" w:eastAsia="楷体_GB2312" w:cs="楷体_GB2312"/>
          <w:b w:val="0"/>
          <w:bCs w:val="0"/>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 xml:space="preserve">   </w:t>
      </w:r>
      <w:r>
        <w:rPr>
          <w:rFonts w:hint="eastAsia" w:ascii="楷体_GB2312" w:hAnsi="楷体_GB2312" w:eastAsia="楷体_GB2312" w:cs="楷体_GB2312"/>
          <w:b w:val="0"/>
          <w:bCs w:val="0"/>
          <w:i w:val="0"/>
          <w:iCs w:val="0"/>
          <w:color w:val="000000"/>
          <w:kern w:val="0"/>
          <w:sz w:val="32"/>
          <w:szCs w:val="32"/>
          <w:u w:val="none"/>
          <w:lang w:val="en-US" w:eastAsia="zh-CN" w:bidi="ar"/>
        </w:rPr>
        <w:t xml:space="preserve"> （一）部门管理指标设置情况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 xml:space="preserve">1.资金投入。基本支出预算执行率是否100%；“三公经费”控制率是否10%以下；结转结余变动率是否为0。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2.财务管理。财务管理制度是否健全；资金使用是否规范。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3.采购管理。政府采购是否规范。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4.人员管理。在职人员控制率是否为100%。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5.重点工作管理。重点工作管理制度是否健全。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（二）履职效果指标设置情况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1.部门履职目标。实际完成工作率100%；完成工作及时率100%；工资发放及时性；社保等缴纳及时性。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2.部门履职效果目标。公用经费控制率90%；保障各组室工作顺利开展；持续提升单位工作效率及工作质量。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3.服务对象满意度。本单位工作人员及公务员满意度大于等于90%。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4.社会影响。单位获奖情况；单位违纪情况。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（三）能力建设指标设置情况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1.长效管理。单位中期规划建设是否完备。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2.组织建设。党建工作开展是否规律。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3.人力资源建设。人员培训机制是否完备。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4.档案管理。档案管理是否完备。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四、部门整体支出绩效目标申报公开情况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部门整体支出绩效目标申报，既是开展绩效评价工作的基本前提，又是加强财政支出管理、增强资金绩效理念、合理配置公共资源、优化财政支出结构、强化资金管理水平、提高资金使用效益的重要手段。为使绩效评价结果得到合理应用，将以此次部门整体支出绩效目标申报工作作为年度预算执行情况自评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五、其他需要说明的问题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840" w:firstLineChars="1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840" w:firstLineChars="12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0" w:firstLineChars="15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中共民乐县委组织部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120" w:firstLineChars="1600"/>
        <w:jc w:val="left"/>
        <w:textAlignment w:val="auto"/>
        <w:rPr>
          <w:rFonts w:hint="eastAsia" w:ascii="仿宋_GB2312" w:hAnsi="仿宋_GB2312" w:eastAsia="仿宋_GB2312" w:cs="仿宋_GB2312"/>
          <w:i w:val="0"/>
          <w:iCs w:val="0"/>
          <w:color w:val="000000"/>
          <w:kern w:val="0"/>
          <w:sz w:val="32"/>
          <w:szCs w:val="32"/>
          <w:u w:val="none"/>
          <w:lang w:val="en-US" w:eastAsia="zh-CN" w:bidi="ar"/>
        </w:rPr>
      </w:pPr>
      <w:bookmarkStart w:id="0" w:name="_GoBack"/>
      <w:bookmarkEnd w:id="0"/>
      <w:r>
        <w:rPr>
          <w:rFonts w:hint="eastAsia" w:ascii="仿宋_GB2312" w:hAnsi="仿宋_GB2312" w:eastAsia="仿宋_GB2312" w:cs="仿宋_GB2312"/>
          <w:i w:val="0"/>
          <w:iCs w:val="0"/>
          <w:color w:val="000000"/>
          <w:kern w:val="0"/>
          <w:sz w:val="32"/>
          <w:szCs w:val="32"/>
          <w:u w:val="none"/>
          <w:lang w:val="en-US" w:eastAsia="zh-CN" w:bidi="ar"/>
        </w:rPr>
        <w:t>2023年1月8日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olor w:val="000000"/>
          <w:kern w:val="0"/>
          <w:sz w:val="32"/>
          <w:szCs w:val="32"/>
          <w:u w:val="none"/>
          <w:lang w:val="en-US" w:eastAsia="zh-CN" w:bidi="ar"/>
        </w:rPr>
      </w:pPr>
    </w:p>
    <w:sectPr>
      <w:headerReference r:id="rId3" w:type="default"/>
      <w:footerReference r:id="rId4" w:type="default"/>
      <w:pgSz w:w="11906" w:h="16838"/>
      <w:pgMar w:top="1621" w:right="1633" w:bottom="1621"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YzM2JkZTFmMWRiY2U0OWFlMGNjMzY4MjFhZmEifQ=="/>
    <w:docVar w:name="KSO_WPS_MARK_KEY" w:val="dce816db-b8f9-43de-8b6d-c1fe78926d46"/>
  </w:docVars>
  <w:rsids>
    <w:rsidRoot w:val="37C67F62"/>
    <w:rsid w:val="006D1900"/>
    <w:rsid w:val="00A8347F"/>
    <w:rsid w:val="02136629"/>
    <w:rsid w:val="04B223DC"/>
    <w:rsid w:val="05B52CAA"/>
    <w:rsid w:val="0620235A"/>
    <w:rsid w:val="0BAD28E2"/>
    <w:rsid w:val="0BBC0D77"/>
    <w:rsid w:val="0C825B1D"/>
    <w:rsid w:val="0DFA7935"/>
    <w:rsid w:val="0FFB215A"/>
    <w:rsid w:val="12A165D1"/>
    <w:rsid w:val="12C0739F"/>
    <w:rsid w:val="12E101E6"/>
    <w:rsid w:val="131179E1"/>
    <w:rsid w:val="13B65995"/>
    <w:rsid w:val="16504596"/>
    <w:rsid w:val="16D231FD"/>
    <w:rsid w:val="16FC0555"/>
    <w:rsid w:val="17CA65CA"/>
    <w:rsid w:val="17F74351"/>
    <w:rsid w:val="18683089"/>
    <w:rsid w:val="18884C1A"/>
    <w:rsid w:val="1B0A464B"/>
    <w:rsid w:val="1B107B9F"/>
    <w:rsid w:val="1C0B78E0"/>
    <w:rsid w:val="1D1F17FB"/>
    <w:rsid w:val="1DC53ABB"/>
    <w:rsid w:val="1E1E766F"/>
    <w:rsid w:val="1E282BB1"/>
    <w:rsid w:val="1FA011F2"/>
    <w:rsid w:val="1FB35566"/>
    <w:rsid w:val="21345939"/>
    <w:rsid w:val="218F5DFA"/>
    <w:rsid w:val="22B475F9"/>
    <w:rsid w:val="233A0BA3"/>
    <w:rsid w:val="23916A02"/>
    <w:rsid w:val="25592D3B"/>
    <w:rsid w:val="26D83139"/>
    <w:rsid w:val="278B2AE6"/>
    <w:rsid w:val="27AA0B33"/>
    <w:rsid w:val="28E03E9F"/>
    <w:rsid w:val="290C1044"/>
    <w:rsid w:val="299D3B3E"/>
    <w:rsid w:val="2AC86999"/>
    <w:rsid w:val="2AE70333"/>
    <w:rsid w:val="2B65068C"/>
    <w:rsid w:val="2C4826E0"/>
    <w:rsid w:val="2D1A7FCD"/>
    <w:rsid w:val="2DAD00C8"/>
    <w:rsid w:val="2FE37DD1"/>
    <w:rsid w:val="3090041C"/>
    <w:rsid w:val="313E5C07"/>
    <w:rsid w:val="3150593A"/>
    <w:rsid w:val="334C68AE"/>
    <w:rsid w:val="33B70F37"/>
    <w:rsid w:val="34396A84"/>
    <w:rsid w:val="344A5F95"/>
    <w:rsid w:val="34DB551B"/>
    <w:rsid w:val="37C67F62"/>
    <w:rsid w:val="38BD5663"/>
    <w:rsid w:val="390B0AC4"/>
    <w:rsid w:val="39B36A66"/>
    <w:rsid w:val="3A1D1004"/>
    <w:rsid w:val="3DE8273D"/>
    <w:rsid w:val="3EB46EC5"/>
    <w:rsid w:val="3ED23D8D"/>
    <w:rsid w:val="4010076E"/>
    <w:rsid w:val="416C35EE"/>
    <w:rsid w:val="42295B17"/>
    <w:rsid w:val="43317379"/>
    <w:rsid w:val="4380288B"/>
    <w:rsid w:val="45321187"/>
    <w:rsid w:val="45DC10F2"/>
    <w:rsid w:val="47057F6B"/>
    <w:rsid w:val="481A7A35"/>
    <w:rsid w:val="48D15312"/>
    <w:rsid w:val="49940662"/>
    <w:rsid w:val="49A07220"/>
    <w:rsid w:val="4BE3430E"/>
    <w:rsid w:val="4D183358"/>
    <w:rsid w:val="4F912F4E"/>
    <w:rsid w:val="4FF909F7"/>
    <w:rsid w:val="504161E9"/>
    <w:rsid w:val="50AB794F"/>
    <w:rsid w:val="51E52A66"/>
    <w:rsid w:val="523D7780"/>
    <w:rsid w:val="52672203"/>
    <w:rsid w:val="535266B3"/>
    <w:rsid w:val="53E65255"/>
    <w:rsid w:val="54182FCB"/>
    <w:rsid w:val="55837A42"/>
    <w:rsid w:val="59352B9C"/>
    <w:rsid w:val="59543849"/>
    <w:rsid w:val="59D800F7"/>
    <w:rsid w:val="5C7E3B7E"/>
    <w:rsid w:val="5D347D3A"/>
    <w:rsid w:val="5FBD5702"/>
    <w:rsid w:val="602C355E"/>
    <w:rsid w:val="603C0FEF"/>
    <w:rsid w:val="60477D84"/>
    <w:rsid w:val="61AF0C95"/>
    <w:rsid w:val="63404148"/>
    <w:rsid w:val="6413668F"/>
    <w:rsid w:val="643F3DE8"/>
    <w:rsid w:val="65640A91"/>
    <w:rsid w:val="66833198"/>
    <w:rsid w:val="66C84968"/>
    <w:rsid w:val="67472418"/>
    <w:rsid w:val="67CE0F1A"/>
    <w:rsid w:val="67F85E08"/>
    <w:rsid w:val="6883710D"/>
    <w:rsid w:val="6A2E11DB"/>
    <w:rsid w:val="6A870860"/>
    <w:rsid w:val="6B691FF1"/>
    <w:rsid w:val="6BA918F3"/>
    <w:rsid w:val="6BEC5C84"/>
    <w:rsid w:val="6D8819DC"/>
    <w:rsid w:val="6E602011"/>
    <w:rsid w:val="6E990C47"/>
    <w:rsid w:val="6EB20ABF"/>
    <w:rsid w:val="6EE4257C"/>
    <w:rsid w:val="6F3A3E83"/>
    <w:rsid w:val="6F5F27A3"/>
    <w:rsid w:val="709B5B41"/>
    <w:rsid w:val="722B1FCC"/>
    <w:rsid w:val="724644A7"/>
    <w:rsid w:val="727D0062"/>
    <w:rsid w:val="73EA88E5"/>
    <w:rsid w:val="73EF19C8"/>
    <w:rsid w:val="74281823"/>
    <w:rsid w:val="76044755"/>
    <w:rsid w:val="76C84BF7"/>
    <w:rsid w:val="7731631C"/>
    <w:rsid w:val="774502E9"/>
    <w:rsid w:val="7AB530B6"/>
    <w:rsid w:val="7AD9749A"/>
    <w:rsid w:val="7BB96FE3"/>
    <w:rsid w:val="7D6D3728"/>
    <w:rsid w:val="7DB6DD19"/>
    <w:rsid w:val="7E1E12D9"/>
    <w:rsid w:val="7ECC04B4"/>
    <w:rsid w:val="7F7FBA07"/>
    <w:rsid w:val="7FAEE61B"/>
    <w:rsid w:val="7FE46C3C"/>
    <w:rsid w:val="CE7750AE"/>
    <w:rsid w:val="CFFF8514"/>
    <w:rsid w:val="D0FD1600"/>
    <w:rsid w:val="EF9F4465"/>
    <w:rsid w:val="F36722F8"/>
    <w:rsid w:val="FFEE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index 6"/>
    <w:basedOn w:val="1"/>
    <w:next w:val="1"/>
    <w:unhideWhenUsed/>
    <w:qFormat/>
    <w:uiPriority w:val="0"/>
    <w:pPr>
      <w:spacing w:line="540" w:lineRule="exact"/>
      <w:ind w:firstLine="640" w:firstLineChars="200"/>
    </w:pPr>
    <w:rPr>
      <w:rFonts w:ascii="仿宋_GB2312" w:hAnsi="仿宋_GB2312" w:eastAsia="仿宋_GB2312" w:cs="仿宋_GB2312"/>
      <w:sz w:val="32"/>
      <w:szCs w:val="32"/>
    </w:rPr>
  </w:style>
  <w:style w:type="paragraph" w:styleId="4">
    <w:name w:val="Body Text Indent 2"/>
    <w:basedOn w:val="1"/>
    <w:next w:val="5"/>
    <w:unhideWhenUsed/>
    <w:qFormat/>
    <w:uiPriority w:val="99"/>
    <w:pPr>
      <w:widowControl/>
      <w:topLinePunct/>
      <w:spacing w:after="120" w:line="600" w:lineRule="exact"/>
      <w:ind w:left="200" w:leftChars="200"/>
    </w:pPr>
    <w:rPr>
      <w:rFonts w:ascii="Calibri" w:hAnsi="Calibri"/>
    </w:rPr>
  </w:style>
  <w:style w:type="paragraph" w:styleId="5">
    <w:name w:val="Body Text First Indent 2"/>
    <w:basedOn w:val="1"/>
    <w:unhideWhenUsed/>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semiHidden/>
    <w:qFormat/>
    <w:uiPriority w:val="0"/>
    <w:pPr>
      <w:spacing w:line="280" w:lineRule="atLeast"/>
      <w:ind w:firstLine="567" w:firstLineChars="200"/>
      <w:jc w:val="left"/>
    </w:pPr>
    <w:rPr>
      <w:kern w:val="26"/>
      <w:sz w:val="2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unhideWhenUsed/>
    <w:qFormat/>
    <w:uiPriority w:val="99"/>
    <w:rPr>
      <w:rFonts w:hint="default"/>
      <w:b/>
      <w:sz w:val="24"/>
      <w:szCs w:val="24"/>
    </w:rPr>
  </w:style>
  <w:style w:type="character" w:customStyle="1" w:styleId="14">
    <w:name w:val="font11"/>
    <w:basedOn w:val="12"/>
    <w:qFormat/>
    <w:uiPriority w:val="0"/>
    <w:rPr>
      <w:rFonts w:hint="eastAsia" w:ascii="宋体" w:hAnsi="宋体" w:eastAsia="宋体" w:cs="宋体"/>
      <w:b/>
      <w:bCs/>
      <w:color w:val="000000"/>
      <w:sz w:val="44"/>
      <w:szCs w:val="44"/>
      <w:u w:val="none"/>
    </w:rPr>
  </w:style>
  <w:style w:type="character" w:customStyle="1" w:styleId="15">
    <w:name w:val="font01"/>
    <w:basedOn w:val="12"/>
    <w:qFormat/>
    <w:uiPriority w:val="0"/>
    <w:rPr>
      <w:rFonts w:ascii="仿宋_GB2312" w:eastAsia="仿宋_GB2312" w:cs="仿宋_GB2312"/>
      <w:color w:val="000000"/>
      <w:sz w:val="44"/>
      <w:szCs w:val="44"/>
      <w:u w:val="none"/>
    </w:rPr>
  </w:style>
  <w:style w:type="character" w:customStyle="1" w:styleId="16">
    <w:name w:val="font71"/>
    <w:basedOn w:val="12"/>
    <w:qFormat/>
    <w:uiPriority w:val="0"/>
    <w:rPr>
      <w:rFonts w:hint="eastAsia" w:ascii="黑体" w:hAnsi="宋体" w:eastAsia="黑体" w:cs="黑体"/>
      <w:color w:val="000000"/>
      <w:sz w:val="32"/>
      <w:szCs w:val="32"/>
      <w:u w:val="none"/>
    </w:rPr>
  </w:style>
  <w:style w:type="character" w:customStyle="1" w:styleId="17">
    <w:name w:val="font61"/>
    <w:basedOn w:val="12"/>
    <w:qFormat/>
    <w:uiPriority w:val="0"/>
    <w:rPr>
      <w:rFonts w:ascii="Arial" w:hAnsi="Arial" w:cs="Arial"/>
      <w:color w:val="000000"/>
      <w:sz w:val="32"/>
      <w:szCs w:val="32"/>
      <w:u w:val="none"/>
    </w:rPr>
  </w:style>
  <w:style w:type="character" w:customStyle="1" w:styleId="18">
    <w:name w:val="font31"/>
    <w:basedOn w:val="12"/>
    <w:qFormat/>
    <w:uiPriority w:val="0"/>
    <w:rPr>
      <w:rFonts w:hint="eastAsia" w:ascii="楷体" w:hAnsi="楷体" w:eastAsia="楷体" w:cs="楷体"/>
      <w:color w:val="000000"/>
      <w:sz w:val="32"/>
      <w:szCs w:val="32"/>
      <w:u w:val="none"/>
    </w:rPr>
  </w:style>
  <w:style w:type="character" w:customStyle="1" w:styleId="19">
    <w:name w:val="font51"/>
    <w:basedOn w:val="12"/>
    <w:qFormat/>
    <w:uiPriority w:val="0"/>
    <w:rPr>
      <w:rFonts w:hint="default"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1424</Words>
  <Characters>1480</Characters>
  <Lines>0</Lines>
  <Paragraphs>0</Paragraphs>
  <TotalTime>6</TotalTime>
  <ScaleCrop>false</ScaleCrop>
  <LinksUpToDate>false</LinksUpToDate>
  <CharactersWithSpaces>1504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2021-10-27T17:03:00Z</dcterms:created>
  <dc:creator>Administrator</dc:creator>
  <cp:lastModifiedBy>admin</cp:lastModifiedBy>
  <cp:lastPrinted>2025-01-04T01:37:00Z</cp:lastPrinted>
  <dcterms:modified xsi:type="dcterms:W3CDTF">2025-01-07T10:02:35Z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F8EC65D246F948EEBBE5D285BCCEB8E5</vt:lpwstr>
  </property>
</Properties>
</file>