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872E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方正小标宋简体" w:eastAsia="方正小标宋简体"/>
          <w:snapToGrid w:val="0"/>
          <w:kern w:val="0"/>
          <w:sz w:val="44"/>
          <w:szCs w:val="44"/>
          <w:lang w:val="en-US" w:eastAsia="zh-CN"/>
        </w:rPr>
      </w:pPr>
    </w:p>
    <w:p w14:paraId="0A938BF6">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黑体" w:hAnsi="宋体" w:eastAsia="黑体" w:cs="黑体"/>
          <w:i w:val="0"/>
          <w:iCs w:val="0"/>
          <w:color w:val="000000"/>
          <w:kern w:val="0"/>
          <w:sz w:val="32"/>
          <w:szCs w:val="32"/>
          <w:u w:val="none"/>
          <w:lang w:val="en-US" w:eastAsia="zh-CN" w:bidi="ar"/>
        </w:rPr>
      </w:pPr>
      <w:r>
        <w:rPr>
          <w:rFonts w:hint="eastAsia" w:ascii="方正小标宋简体" w:hAnsi="方正小标宋简体" w:eastAsia="方正小标宋简体" w:cs="方正小标宋简体"/>
          <w:i w:val="0"/>
          <w:iCs w:val="0"/>
          <w:caps w:val="0"/>
          <w:color w:val="000000"/>
          <w:spacing w:val="0"/>
          <w:sz w:val="44"/>
          <w:szCs w:val="44"/>
        </w:rPr>
        <w:t>2022年</w:t>
      </w:r>
      <w:r>
        <w:rPr>
          <w:rFonts w:hint="eastAsia" w:ascii="方正小标宋简体" w:hAnsi="方正小标宋简体" w:eastAsia="方正小标宋简体" w:cs="方正小标宋简体"/>
          <w:i w:val="0"/>
          <w:iCs w:val="0"/>
          <w:caps w:val="0"/>
          <w:color w:val="000000"/>
          <w:spacing w:val="0"/>
          <w:sz w:val="44"/>
          <w:szCs w:val="44"/>
          <w:lang w:eastAsia="zh-CN"/>
        </w:rPr>
        <w:t>丰乐镇</w:t>
      </w:r>
      <w:r>
        <w:rPr>
          <w:rFonts w:hint="eastAsia" w:ascii="方正小标宋简体" w:hAnsi="方正小标宋简体" w:eastAsia="方正小标宋简体" w:cs="方正小标宋简体"/>
          <w:i w:val="0"/>
          <w:iCs w:val="0"/>
          <w:caps w:val="0"/>
          <w:color w:val="000000"/>
          <w:spacing w:val="0"/>
          <w:sz w:val="44"/>
          <w:szCs w:val="44"/>
        </w:rPr>
        <w:t>预算执行情况绩效自评报告</w:t>
      </w:r>
    </w:p>
    <w:p w14:paraId="605BF88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黑体" w:hAnsi="宋体" w:eastAsia="黑体" w:cs="黑体"/>
          <w:i w:val="0"/>
          <w:iCs w:val="0"/>
          <w:color w:val="000000"/>
          <w:kern w:val="0"/>
          <w:sz w:val="32"/>
          <w:szCs w:val="32"/>
          <w:u w:val="none"/>
          <w:lang w:val="en-US" w:eastAsia="zh-CN" w:bidi="ar"/>
        </w:rPr>
      </w:pPr>
    </w:p>
    <w:p w14:paraId="517579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为切实提高财政资金的使用效益规范财经秩序，按照“统一组织、分级实施”的原则，我镇认真组织开展了2022年度部门（单位）整体支出以及总体支出以及项目支出绩效自评工作，现将自评工作情况报告如下：</w:t>
      </w:r>
    </w:p>
    <w:p w14:paraId="17013D4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宋体" w:eastAsia="黑体" w:cs="黑体"/>
          <w:i w:val="0"/>
          <w:iCs w:val="0"/>
          <w:color w:val="000000"/>
          <w:kern w:val="0"/>
          <w:sz w:val="32"/>
          <w:szCs w:val="32"/>
          <w:u w:val="none"/>
          <w:lang w:val="en-US" w:eastAsia="zh-CN" w:bidi="ar"/>
        </w:rPr>
      </w:pPr>
      <w:r>
        <w:rPr>
          <w:rFonts w:hint="eastAsia" w:ascii="黑体" w:hAnsi="宋体" w:eastAsia="黑体" w:cs="黑体"/>
          <w:i w:val="0"/>
          <w:iCs w:val="0"/>
          <w:color w:val="000000"/>
          <w:kern w:val="0"/>
          <w:sz w:val="32"/>
          <w:szCs w:val="32"/>
          <w:u w:val="none"/>
          <w:lang w:val="en-US" w:eastAsia="zh-CN" w:bidi="ar"/>
        </w:rPr>
        <w:t>基本情况</w:t>
      </w:r>
    </w:p>
    <w:p w14:paraId="7C346EC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firstLine="643" w:firstLineChars="200"/>
        <w:jc w:val="both"/>
        <w:textAlignment w:val="auto"/>
        <w:outlineLvl w:val="9"/>
        <w:rPr>
          <w:rFonts w:hint="eastAsia" w:ascii="楷体_GB2312" w:hAnsi="楷体_GB2312" w:eastAsia="楷体_GB2312" w:cs="楷体_GB2312"/>
          <w:b/>
          <w:bCs w:val="0"/>
          <w:sz w:val="32"/>
          <w:szCs w:val="32"/>
          <w:lang w:val="en-US" w:eastAsia="zh-CN"/>
        </w:rPr>
      </w:pPr>
      <w:r>
        <w:rPr>
          <w:rFonts w:hint="eastAsia" w:ascii="楷体_GB2312" w:hAnsi="楷体_GB2312" w:eastAsia="楷体_GB2312" w:cs="楷体_GB2312"/>
          <w:b/>
          <w:bCs w:val="0"/>
          <w:sz w:val="32"/>
          <w:szCs w:val="32"/>
          <w:lang w:val="en-US" w:eastAsia="zh-CN"/>
        </w:rPr>
        <w:t>部门职责</w:t>
      </w:r>
    </w:p>
    <w:p w14:paraId="04ACD01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firstLine="643" w:firstLineChars="200"/>
        <w:jc w:val="both"/>
        <w:textAlignment w:val="auto"/>
        <w:outlineLvl w:val="9"/>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 xml:space="preserve">（一）丰乐镇党委的主要职责 </w:t>
      </w:r>
    </w:p>
    <w:p w14:paraId="5AE1C72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1.宣传和贯彻执行党的路线方针政策和党中央、上级党组织及本乡镇党员代表大会（党员大会）的决议。</w:t>
      </w:r>
    </w:p>
    <w:p w14:paraId="679CCDE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讨论和决定本乡镇经济建设、政治建设、文化建设、社会建设、生态文明建设和党的建设以及乡村振兴中的重大问题。需由乡镇政权机关或者集体经济组织决定的重要事项，经乡镇党委研究讨论后，由乡镇政权机关或者集体经济组织依照法律和有关规定作出决定。</w:t>
      </w:r>
    </w:p>
    <w:p w14:paraId="7FD2545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3.领导乡镇政权机关、群团组织和其他各类组织，加强指导和规范，支持和保证这些机关和组织依照国家法律法规以及各自章程履行职责。</w:t>
      </w:r>
    </w:p>
    <w:p w14:paraId="64FDC88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4.加强乡镇党委自身建设和村党组织建设，以及其他隶属乡镇党委的党组织建设，抓好发展党员工作，加强党员队伍建设。维护和执行党的纪律，监督党员干部和其他任何工作人员严格遵守国家法律法规。</w:t>
      </w:r>
    </w:p>
    <w:p w14:paraId="5B0BF8E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5.按照干部管理权限，负责对干部的教育、培训、选拔、考核和监督工作。协助管理上级有关部门驻乡镇单位的干部。做好人才服务和引进工作。</w:t>
      </w:r>
    </w:p>
    <w:p w14:paraId="0535A2A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6.领导本乡镇的基层治理，加强社会主义民主法治建设和精神文明建设，加强社会治安综合治理，做好生态环保、美丽乡村建设、民生保障、脱贫致富、民族宗教等工作。</w:t>
      </w:r>
    </w:p>
    <w:p w14:paraId="747A97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7.完成县委交办的其他工作。 </w:t>
      </w:r>
    </w:p>
    <w:p w14:paraId="7899A0F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firstLine="643" w:firstLineChars="200"/>
        <w:jc w:val="both"/>
        <w:textAlignment w:val="auto"/>
        <w:outlineLvl w:val="9"/>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（二）丰乐镇政府主要职权</w:t>
      </w:r>
    </w:p>
    <w:p w14:paraId="31DED07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1.执行本级人民代表大会的决议和上级国家行政机关的决定和命令，发布决定和命令。 </w:t>
      </w:r>
    </w:p>
    <w:p w14:paraId="7D686C6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2.执行本行政区域内的经济和社会发展计划、预算，管理本行政区域内的经济、教育、科学、文化、卫生、体育事业和财政、民政、公安、司法行政、计划生育等行政工作。</w:t>
      </w:r>
    </w:p>
    <w:p w14:paraId="20F970E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3.保护社会主义的全民所有的财产和劳动群众集体所有的财产，保护公民私人所有的合法财产，维护社会秩序，保障公民的人身权利、民主权利和其他权利。 </w:t>
      </w:r>
    </w:p>
    <w:p w14:paraId="6B2C037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4.保护各种经济组织的合法权益。 </w:t>
      </w:r>
    </w:p>
    <w:p w14:paraId="4AB4800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5.保障少数民族的权利和尊重少数民族的风俗习惯。 </w:t>
      </w:r>
    </w:p>
    <w:p w14:paraId="419BD01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6.保障宪法和法律赋予妇女的男女平等、同工同酬和婚姻自由等各项权利。 </w:t>
      </w:r>
    </w:p>
    <w:p w14:paraId="7102B20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7.办理上级人民政府交办的其他事项。</w:t>
      </w:r>
    </w:p>
    <w:p w14:paraId="047FF7B2">
      <w:pPr>
        <w:keepNext w:val="0"/>
        <w:keepLines w:val="0"/>
        <w:pageBreakBefore w:val="0"/>
        <w:widowControl w:val="0"/>
        <w:kinsoku/>
        <w:wordWrap/>
        <w:overflowPunct/>
        <w:topLinePunct w:val="0"/>
        <w:autoSpaceDE/>
        <w:autoSpaceDN/>
        <w:bidi w:val="0"/>
        <w:adjustRightInd/>
        <w:snapToGrid/>
        <w:spacing w:line="560" w:lineRule="exact"/>
        <w:ind w:leftChars="0" w:firstLine="643" w:firstLineChars="200"/>
        <w:textAlignment w:val="auto"/>
        <w:outlineLvl w:val="1"/>
        <w:rPr>
          <w:rFonts w:hint="default" w:ascii="楷体_GB2312" w:hAnsi="楷体_GB2312" w:eastAsia="楷体_GB2312" w:cs="楷体_GB2312"/>
          <w:b/>
          <w:bCs w:val="0"/>
          <w:sz w:val="32"/>
          <w:szCs w:val="32"/>
          <w:lang w:val="en-US" w:eastAsia="zh-CN"/>
        </w:rPr>
      </w:pPr>
      <w:r>
        <w:rPr>
          <w:rFonts w:hint="eastAsia" w:ascii="楷体_GB2312" w:hAnsi="楷体_GB2312" w:eastAsia="楷体_GB2312" w:cs="楷体_GB2312"/>
          <w:b/>
          <w:bCs w:val="0"/>
          <w:sz w:val="32"/>
          <w:szCs w:val="32"/>
          <w:lang w:val="en-US" w:eastAsia="zh-CN"/>
        </w:rPr>
        <w:t>机构设置</w:t>
      </w:r>
    </w:p>
    <w:p w14:paraId="5B1E299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2"/>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（一）党政机构</w:t>
      </w:r>
    </w:p>
    <w:p w14:paraId="65D5303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设置党政机构5个，分别是：党政综合办公室、党建工作办公室、经济发展办公室、社会事务办公室（加挂生态环境办公室、卫生健康办公室牌子）、社会治理和应急管理办公室，党政机构规格均为股级。科级职数不突破改革前核定的职数。 </w:t>
      </w:r>
    </w:p>
    <w:p w14:paraId="1FC869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党政综合办公室</w:t>
      </w:r>
    </w:p>
    <w:p w14:paraId="466E7F2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主要职责：负责乡镇机关党的建设、政府、政协、纪检监察、宣传、统战、意识形态、精神文明、群团等工作；承担机关党建、文书档案、信息、会务、机关后勤等日常事务工作。</w:t>
      </w:r>
    </w:p>
    <w:p w14:paraId="67E3610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2.党建工作办公室</w:t>
      </w:r>
    </w:p>
    <w:p w14:paraId="51842CF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主要职责：将党建办公室更名为党建工作办公室。负责基层党建指导检查工作，具体指导协调督促做好基层组织设置、发展党员、党员队伍建设、党内统计、党费收缴、党组织关系转接、党务公开、基层组织活动场所建设、党内激励关怀帮扶、党建示范点创建、软弱涣散党组织整顿转化等工作。 </w:t>
      </w:r>
    </w:p>
    <w:p w14:paraId="6B6148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3.经济发展办公室</w:t>
      </w:r>
    </w:p>
    <w:p w14:paraId="7DBC7D3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要职责：负责制定实施乡镇农业、工业、第三产业发展规划，贯彻落实强农惠农政策措施，统筹产业发展布局和结构调整工作；负责申报、实施和监督乡镇各类建设项目；负责国民经济和社会产业综合统计等工作，协调与经济发展相关的其它工作。</w:t>
      </w:r>
    </w:p>
    <w:p w14:paraId="507A3AE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4.社会事务办公室（生态环境办公室、卫生健康办公室）</w:t>
      </w:r>
    </w:p>
    <w:p w14:paraId="4FF0371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要职责：将社会发展办公室更名为社会事务办公室，加挂生态环境办公室、卫生健康办公室牌子。负责编制与实施教育、科技、文化旅游、卫生健康、民政、社保、医保、民族宗教等社会事业发展规划；负责农村基层政权建设，综合协调社区事务管理；负责生态环境保护、生态环境综合整治、农村饮用水水源地保护及生态示范创建；负责宣传贯彻落实国家卫生健康政策，依法管理辖区内卫生健康工作。</w:t>
      </w:r>
    </w:p>
    <w:p w14:paraId="2AEAB89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5.社会治理和应急管理办公室</w:t>
      </w:r>
    </w:p>
    <w:p w14:paraId="7A01A52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要职责：将社会治安综合治理办公室职责和经济发展办公室承担的应急管理职责整合，设立社会治理和应急管理办公室。负责排查化解各类矛盾纠纷，开展普法宣传和信访工作，维护农村社会稳定；负责应急管理工作，统筹协调开展安全生产类、自然灾害类等突发事件和综合防灾减灾救灾工作，配合有关部门开展森林和草原防灭火、水旱灾害防治、地震和地质灾害防治等工作；负责落实应急管理、安全生产等方面的相关责任。</w:t>
      </w:r>
    </w:p>
    <w:p w14:paraId="32BA0E3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2"/>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sz w:val="32"/>
          <w:szCs w:val="32"/>
          <w:lang w:val="en-US" w:eastAsia="zh-CN"/>
        </w:rPr>
        <w:t>（二）事业单位</w:t>
      </w:r>
    </w:p>
    <w:p w14:paraId="22D1C88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设置事业单位5个，分别是：农业农村综合服务中心（加挂农产品质量检测服务中心、农村公路管理所牌子）、公共事务服务中心（加挂退役军人服务站、综合文化站牌子）、政务（便民）服务中心、社会治安综合治理中心、综合行政执法队，事业单位规格原则上为副科级。</w:t>
      </w:r>
    </w:p>
    <w:p w14:paraId="52B5DAA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1.农业农村综合服务中心（农产品质量检测服务中心、农村公路管理所）</w:t>
      </w:r>
    </w:p>
    <w:p w14:paraId="5D4B33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要职责：将农业综合服务中心、农村公路管理所、畜牧兽医站职责整合，设立农业农村综合服务中心，加挂农产品质量检测服务中心、农村公路管理牌子。负责农技、农机、林业、农村能源等技术服务工作，引进、试验、示范和推广农业新技术、新品种、新机具，开展动植物资源保护和开发利用；预测、预报、防治和处置农作物、林木草原病虫害和农业灾害，承担农产品质量、农业机械安全监测服务等工作；负责畜牧兽医、动物疫病防控救治等工作；承担农村“三变”、承包地、宅基地等改革服务工作，参与农村集体产权制度改革，指导农民合作经济组织、农业社会化服务体系、新型农业经营主体建设与发展；承担新农村建设、乡村振兴、扶贫开发、乡镇集镇建设、全域无垃圾集中治理等服务工作；负责农村劳动力技能培训；负责辖区公路及其设施建设和管护工作。</w:t>
      </w:r>
    </w:p>
    <w:p w14:paraId="6CCBA20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2.公共事务服务中心（退役军人服务站、综合文化站）</w:t>
      </w:r>
    </w:p>
    <w:p w14:paraId="14C9735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要职责：将文化服务中心、计划生育服务中心职责和社会事务服务中心承担的退役军人服务职责整合，设立公共事务服务中心，加挂退役军人服务站、综合文化站牌子。负责退役军人事务政策研究宣传，退役军人教育培训、退役军人和随军家属就业创业服务，退役军人住房、医疗保障、社会保险综合服务，军队离退休干部服务等工作；负责农村文化市场培育、“农家书屋”等乡村文化建设，负责文物保护、群众性文化体育活动和旅游服务工作；负责卫生健康、计划生育、优生优育、健康教育、老龄事业等指导服务工作。</w:t>
      </w:r>
    </w:p>
    <w:p w14:paraId="3B04F0A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3.政务（便民）服务中心</w:t>
      </w:r>
    </w:p>
    <w:p w14:paraId="5AB4584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要职责：将社会事务服务中心承担的民政、社保、医保等服务职责整合，设立政务（便民）服务中心。负责制定并组织实施便民服务中心规章制度、管理办法；承担进驻服务项目的确定、调整，提供便民服务政策咨询，协调受理、办理和代理各类服务事项；开展医保、养老及其它社会保险、困难人员生活保障、五保供养、孤残救助等社会保障服务工作。</w:t>
      </w:r>
    </w:p>
    <w:p w14:paraId="11DF1D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4.社会治安综合治理中心</w:t>
      </w:r>
    </w:p>
    <w:p w14:paraId="57D74AC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要职责：负责对社会治安综合治理有关问题开展调查研究；组织协调社会治安防控体系建设，协调推动实有人口、特殊人群、非公有制经济组织和社会组织等社会治安防控网建设工作；组织开展多元矛盾纠纷调解体系建设，协调化解重大疑难矛盾纠纷；协调、指导、推动网格化建设服务工作；掌握社会治安综合治理工作进展情况，组织开展维稳形势整体研判，加强重点人群、重点领域、重点部位、重点时段动态监测。</w:t>
      </w:r>
    </w:p>
    <w:p w14:paraId="39D5C82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5.综合行政执法队</w:t>
      </w:r>
    </w:p>
    <w:p w14:paraId="55FDF95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要职责：整合原乡镇党政机构和下属事业单位承担的生态环境保护、文化市场、交通运输、农业、村镇规划、殡葬管理、卫生监督、安全生产、劳动监察等领域的执法力量和资源，设立综合行政执法队。负责宣传贯彻执行国家、省、市相关法律法规；负责镇辖区内的生态环境、文化市场、交通运输、自然资源、农业、村镇规划、殡葬管理、卫生监督、安全生产、劳动监察等方面的行政处罚、监督检查。</w:t>
      </w:r>
    </w:p>
    <w:p w14:paraId="32F4A1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机构人员情况：丰乐镇核定行政编制23名，保留工勤岗1名，核定事业编制33名。</w:t>
      </w:r>
    </w:p>
    <w:p w14:paraId="12501B64">
      <w:pPr>
        <w:keepNext w:val="0"/>
        <w:keepLines w:val="0"/>
        <w:pageBreakBefore w:val="0"/>
        <w:widowControl w:val="0"/>
        <w:kinsoku/>
        <w:wordWrap/>
        <w:overflowPunct/>
        <w:topLinePunct w:val="0"/>
        <w:autoSpaceDE/>
        <w:autoSpaceDN/>
        <w:bidi w:val="0"/>
        <w:adjustRightInd/>
        <w:snapToGrid/>
        <w:spacing w:line="560" w:lineRule="exact"/>
        <w:ind w:leftChars="0" w:firstLine="643" w:firstLineChars="200"/>
        <w:textAlignment w:val="auto"/>
        <w:outlineLvl w:val="1"/>
        <w:rPr>
          <w:rFonts w:hint="eastAsia" w:ascii="楷体_GB2312" w:hAnsi="楷体_GB2312" w:eastAsia="楷体_GB2312" w:cs="楷体_GB2312"/>
          <w:b/>
          <w:bCs w:val="0"/>
          <w:sz w:val="32"/>
          <w:szCs w:val="32"/>
          <w:lang w:val="en-US" w:eastAsia="zh-CN"/>
        </w:rPr>
      </w:pPr>
      <w:r>
        <w:rPr>
          <w:rFonts w:hint="eastAsia" w:ascii="楷体_GB2312" w:hAnsi="楷体_GB2312" w:eastAsia="楷体_GB2312" w:cs="楷体_GB2312"/>
          <w:b/>
          <w:bCs w:val="0"/>
          <w:sz w:val="32"/>
          <w:szCs w:val="32"/>
          <w:lang w:val="en-US" w:eastAsia="zh-CN"/>
        </w:rPr>
        <w:t>其它机构</w:t>
      </w:r>
    </w:p>
    <w:p w14:paraId="447EA91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1.丰乐镇共青团、工会、妇联等组织按有关规定和章程设置，所需人员编制从丰乐镇人员编制总量内调剂。</w:t>
      </w:r>
    </w:p>
    <w:p w14:paraId="381A76D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关于人民武装部。按有关规定设置丰乐镇人民武装部，不计入机构限额，所需人员编制从丰乐镇行政人员编制总量内调剂。主要职责是：负责民兵组织建设、政治教育、军事训练；协助有关部门开展国防教育；组织带领民兵完成战备执勤任务，配合公安部门维护社会治安；负责征兵工作和预备役士兵、预备役军官登记统计工作；协同预备役部（分）队落实参训人员，做好兵员管理、动员集结等工作；协助军队做好军事设施保护工作。</w:t>
      </w:r>
    </w:p>
    <w:p w14:paraId="18B7C60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关于人大办公室。按有关规定设置丰乐镇人民代表大会办公室，不计入机构限额，所需人员编制从丰乐镇行政人员编制总量内调剂。主要职责是：负责承办代表联络、组织代表开展活动、督办代表建议、处理镇人大日常工作。</w:t>
      </w:r>
    </w:p>
    <w:p w14:paraId="267C7B7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关于财政所。按有关规定设置民乐县财政局丰乐镇财政所，实行以县级主管部门为主的管理体制，不计入机构限额，所需人员编制从丰乐镇人员编制总量内调剂。主要职责是：负责宣传贯彻党和国家的财经方针政策；负责政府罚没收入、行政事业性收费、政府性基金、国有资产（资源）有偿使用收入征管，做好政府非税收入纳入预算管理和财政专户管理工作；负责管理政府财政收入和支出，编报年度政府财政收支预决算；负责各项涉农专项资金的审核发放及各类专项资金的监管；负责政府国有资产管理，确保政府国有资产安全和保值增值；负责镇党政机构、事业单位、派出机构、其它机构和属地管理单位的财务监管，财务人员培训，督促会计人员依法履职。</w:t>
      </w:r>
    </w:p>
    <w:p w14:paraId="792EF307">
      <w:pPr>
        <w:keepNext w:val="0"/>
        <w:keepLines w:val="0"/>
        <w:pageBreakBefore w:val="0"/>
        <w:widowControl w:val="0"/>
        <w:kinsoku/>
        <w:wordWrap/>
        <w:overflowPunct/>
        <w:topLinePunct w:val="0"/>
        <w:autoSpaceDE/>
        <w:autoSpaceDN/>
        <w:bidi w:val="0"/>
        <w:adjustRightInd/>
        <w:snapToGrid/>
        <w:spacing w:line="560" w:lineRule="exact"/>
        <w:ind w:leftChars="0" w:firstLine="643" w:firstLineChars="200"/>
        <w:textAlignment w:val="auto"/>
        <w:outlineLvl w:val="1"/>
        <w:rPr>
          <w:rFonts w:hint="eastAsia" w:ascii="楷体_GB2312" w:hAnsi="楷体_GB2312" w:eastAsia="楷体_GB2312" w:cs="楷体_GB2312"/>
          <w:b/>
          <w:bCs w:val="0"/>
          <w:sz w:val="32"/>
          <w:szCs w:val="32"/>
          <w:lang w:val="en-US" w:eastAsia="zh-CN"/>
        </w:rPr>
      </w:pPr>
      <w:r>
        <w:rPr>
          <w:rFonts w:hint="eastAsia" w:ascii="楷体_GB2312" w:hAnsi="楷体_GB2312" w:eastAsia="楷体_GB2312" w:cs="楷体_GB2312"/>
          <w:b/>
          <w:bCs w:val="0"/>
          <w:sz w:val="32"/>
          <w:szCs w:val="32"/>
          <w:lang w:val="en-US" w:eastAsia="zh-CN"/>
        </w:rPr>
        <w:t>派出机构</w:t>
      </w:r>
    </w:p>
    <w:p w14:paraId="5963E21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实行上级业务部门与镇双重管理体制，派出执法机构与镇综合行政执法队集中办公，行政执法工作接受镇的统一协调指挥，实现“一支队伍管执法”。强化镇对派出机构和人员的日常管理，派出机构人员编制调整、工作考核和主要负责同志任免必须征求所在镇党委意见。</w:t>
      </w:r>
    </w:p>
    <w:p w14:paraId="4A1AB1F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1.公安派出所</w:t>
      </w:r>
    </w:p>
    <w:p w14:paraId="3E1C72D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县公安局丰乐派出所。继续实行派出管理体制，管辖区由县公安局划定，设所长1名、教导员1名。</w:t>
      </w:r>
    </w:p>
    <w:p w14:paraId="7509AE0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2.司法所。县司法局丰乐司法所。继续实行派出管理体制，核定政法专项编制2名，设所长1名。</w:t>
      </w:r>
    </w:p>
    <w:p w14:paraId="616799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3.市场监管所。组建民乐县丰乐镇市场监督管理所，作为县市场监督管理局的派出机构，管辖区和职责范围由县市场监督管理局划定，设所长1名、副所长1名。</w:t>
      </w:r>
    </w:p>
    <w:p w14:paraId="6AB8BC3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核定丰乐镇行政编制23名、事业编制33名。核定丰乐镇领导班子职数9名：书记1名、副书记2名（其中1名兼任镇长）、纪委书记兼监察室主任1名、人大主席1名、副镇长3名、武装部长1名。丰乐镇农业农村综合服务中心、公共事务服务中心、政务（便民）服务中心、社会治安综合治理中心1名、均为副科级，综合行政执法队设队长1名、副科级。</w:t>
      </w:r>
    </w:p>
    <w:p w14:paraId="69FFCC5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firstLine="640" w:firstLineChars="200"/>
        <w:jc w:val="both"/>
        <w:textAlignment w:val="auto"/>
        <w:outlineLvl w:val="9"/>
        <w:rPr>
          <w:rFonts w:hint="eastAsia" w:ascii="黑体" w:hAnsi="宋体" w:eastAsia="黑体" w:cs="黑体"/>
          <w:i w:val="0"/>
          <w:iCs w:val="0"/>
          <w:color w:val="000000"/>
          <w:kern w:val="0"/>
          <w:sz w:val="32"/>
          <w:szCs w:val="32"/>
          <w:u w:val="none"/>
          <w:lang w:val="en-US" w:eastAsia="zh-CN" w:bidi="ar"/>
        </w:rPr>
      </w:pPr>
      <w:r>
        <w:rPr>
          <w:rFonts w:hint="eastAsia" w:ascii="黑体" w:hAnsi="宋体" w:eastAsia="黑体" w:cs="黑体"/>
          <w:i w:val="0"/>
          <w:iCs w:val="0"/>
          <w:color w:val="000000"/>
          <w:kern w:val="0"/>
          <w:sz w:val="32"/>
          <w:szCs w:val="32"/>
          <w:u w:val="none"/>
          <w:lang w:val="en-US" w:eastAsia="zh-CN" w:bidi="ar"/>
        </w:rPr>
        <w:t xml:space="preserve">二、部门整体支出绩效目标申报工作组织开展情况 </w:t>
      </w:r>
    </w:p>
    <w:p w14:paraId="117C351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一是高度重视，明确职责。</w:t>
      </w:r>
      <w:r>
        <w:rPr>
          <w:rFonts w:hint="eastAsia" w:ascii="仿宋_GB2312" w:hAnsi="仿宋_GB2312" w:eastAsia="仿宋_GB2312" w:cs="仿宋_GB2312"/>
          <w:sz w:val="32"/>
          <w:szCs w:val="32"/>
          <w:lang w:val="en-US" w:eastAsia="zh-CN"/>
        </w:rPr>
        <w:t>我单位及时召开2022年项目支出绩效自评工作布置会议，由主要领导主持，重点强调预算绩效管理工作的重要性和必要性，明确各项目绩效自评工作的责任单位、股室，确保自评工作有序、有效开展。</w:t>
      </w:r>
    </w:p>
    <w:p w14:paraId="0192394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二是全面实施，有序开展。</w:t>
      </w:r>
      <w:r>
        <w:rPr>
          <w:rFonts w:hint="eastAsia" w:ascii="仿宋_GB2312" w:hAnsi="仿宋_GB2312" w:eastAsia="仿宋_GB2312" w:cs="仿宋_GB2312"/>
          <w:sz w:val="32"/>
          <w:szCs w:val="32"/>
          <w:lang w:val="en-US" w:eastAsia="zh-CN"/>
        </w:rPr>
        <w:t>共涉及自评项目1个，预算总金额10万元，实际执行数10万元，项目资金全部执行完毕，项目内容绿化美化。根据项目的产出数量、质量、时效、成本，以及经济效益、社会效益、生态效益、可持续影响、服务对象满意度等。设定评价指标，预算执行率和一级指标权重统一设置为：预算执行率10分、产出指标50分、效益指标30分、服务对象满意度指标10分。</w:t>
      </w:r>
    </w:p>
    <w:p w14:paraId="5A9FE73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firstLine="640" w:firstLineChars="200"/>
        <w:jc w:val="both"/>
        <w:textAlignment w:val="auto"/>
        <w:outlineLvl w:val="9"/>
        <w:rPr>
          <w:rFonts w:hint="eastAsia" w:ascii="黑体" w:hAnsi="宋体" w:eastAsia="黑体" w:cs="黑体"/>
          <w:i w:val="0"/>
          <w:iCs w:val="0"/>
          <w:color w:val="000000"/>
          <w:kern w:val="0"/>
          <w:sz w:val="32"/>
          <w:szCs w:val="32"/>
          <w:u w:val="none"/>
          <w:lang w:val="en-US" w:eastAsia="zh-CN" w:bidi="ar"/>
        </w:rPr>
      </w:pPr>
      <w:r>
        <w:rPr>
          <w:rFonts w:hint="eastAsia" w:ascii="黑体" w:hAnsi="宋体" w:eastAsia="黑体" w:cs="黑体"/>
          <w:i w:val="0"/>
          <w:iCs w:val="0"/>
          <w:color w:val="000000"/>
          <w:kern w:val="0"/>
          <w:sz w:val="32"/>
          <w:szCs w:val="32"/>
          <w:u w:val="none"/>
          <w:lang w:val="en-US" w:eastAsia="zh-CN" w:bidi="ar"/>
        </w:rPr>
        <w:t>三、部门整体支出绩效自评情况分析</w:t>
      </w:r>
    </w:p>
    <w:p w14:paraId="031282C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i w:val="0"/>
          <w:iCs w:val="0"/>
          <w:caps w:val="0"/>
          <w:color w:val="000000"/>
          <w:spacing w:val="0"/>
          <w:kern w:val="2"/>
          <w:sz w:val="32"/>
          <w:szCs w:val="32"/>
          <w:highlight w:val="none"/>
          <w:shd w:val="clear" w:fill="FFFFFF"/>
          <w:lang w:val="en-US" w:eastAsia="zh-CN" w:bidi="ar-SA"/>
        </w:rPr>
      </w:pPr>
      <w:r>
        <w:rPr>
          <w:rFonts w:hint="eastAsia" w:ascii="仿宋" w:hAnsi="仿宋" w:eastAsia="仿宋" w:cs="仿宋"/>
          <w:i w:val="0"/>
          <w:iCs w:val="0"/>
          <w:caps w:val="0"/>
          <w:color w:val="000000"/>
          <w:spacing w:val="0"/>
          <w:kern w:val="2"/>
          <w:sz w:val="32"/>
          <w:szCs w:val="32"/>
          <w:highlight w:val="none"/>
          <w:shd w:val="clear" w:fill="FFFFFF"/>
          <w:lang w:val="en-US" w:eastAsia="zh-CN" w:bidi="ar-SA"/>
        </w:rPr>
        <w:t>部门整体综合评价得分96分。</w:t>
      </w:r>
    </w:p>
    <w:p w14:paraId="6FD17A6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eastAsia" w:ascii="仿宋" w:hAnsi="仿宋" w:eastAsia="仿宋" w:cs="仿宋"/>
          <w:b/>
          <w:bCs/>
          <w:i w:val="0"/>
          <w:iCs w:val="0"/>
          <w:caps w:val="0"/>
          <w:color w:val="000000"/>
          <w:spacing w:val="0"/>
          <w:kern w:val="2"/>
          <w:sz w:val="32"/>
          <w:szCs w:val="32"/>
          <w:highlight w:val="none"/>
          <w:shd w:val="clear" w:fill="FFFFFF"/>
          <w:lang w:val="en-US" w:eastAsia="zh-CN" w:bidi="ar-SA"/>
        </w:rPr>
      </w:pPr>
      <w:r>
        <w:rPr>
          <w:rFonts w:hint="eastAsia" w:ascii="仿宋" w:hAnsi="仿宋" w:eastAsia="仿宋" w:cs="仿宋"/>
          <w:b/>
          <w:bCs/>
          <w:i w:val="0"/>
          <w:iCs w:val="0"/>
          <w:caps w:val="0"/>
          <w:color w:val="000000"/>
          <w:spacing w:val="0"/>
          <w:kern w:val="2"/>
          <w:sz w:val="32"/>
          <w:szCs w:val="32"/>
          <w:highlight w:val="none"/>
          <w:shd w:val="clear" w:fill="FFFFFF"/>
          <w:lang w:val="en-US" w:eastAsia="zh-CN" w:bidi="ar-SA"/>
        </w:rPr>
        <w:t>（一）部门决算情况</w:t>
      </w:r>
    </w:p>
    <w:p w14:paraId="2C3CFF3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i w:val="0"/>
          <w:iCs w:val="0"/>
          <w:caps w:val="0"/>
          <w:color w:val="000000"/>
          <w:spacing w:val="0"/>
          <w:kern w:val="2"/>
          <w:sz w:val="32"/>
          <w:szCs w:val="32"/>
          <w:highlight w:val="none"/>
          <w:shd w:val="clear" w:fill="FFFFFF"/>
          <w:lang w:val="en-US" w:eastAsia="zh-CN" w:bidi="ar-SA"/>
        </w:rPr>
      </w:pPr>
      <w:r>
        <w:rPr>
          <w:rFonts w:hint="eastAsia" w:ascii="仿宋" w:hAnsi="仿宋" w:eastAsia="仿宋" w:cs="仿宋"/>
          <w:i w:val="0"/>
          <w:iCs w:val="0"/>
          <w:caps w:val="0"/>
          <w:color w:val="000000"/>
          <w:spacing w:val="0"/>
          <w:kern w:val="2"/>
          <w:sz w:val="32"/>
          <w:szCs w:val="32"/>
          <w:highlight w:val="none"/>
          <w:shd w:val="clear" w:fill="FFFFFF"/>
          <w:lang w:val="en-US" w:eastAsia="zh-CN" w:bidi="ar-SA"/>
        </w:rPr>
        <w:t>2022年部门决算收入1085.4万元，其中：一般公共预算收入1085.48万元。</w:t>
      </w:r>
    </w:p>
    <w:p w14:paraId="5C798F1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i w:val="0"/>
          <w:iCs w:val="0"/>
          <w:caps w:val="0"/>
          <w:color w:val="000000"/>
          <w:spacing w:val="0"/>
          <w:kern w:val="2"/>
          <w:sz w:val="32"/>
          <w:szCs w:val="32"/>
          <w:highlight w:val="none"/>
          <w:shd w:val="clear" w:fill="FFFFFF"/>
          <w:lang w:val="en-US" w:eastAsia="zh-CN" w:bidi="ar-SA"/>
        </w:rPr>
      </w:pPr>
      <w:r>
        <w:rPr>
          <w:rFonts w:hint="eastAsia" w:ascii="仿宋" w:hAnsi="仿宋" w:eastAsia="仿宋" w:cs="仿宋"/>
          <w:i w:val="0"/>
          <w:iCs w:val="0"/>
          <w:caps w:val="0"/>
          <w:color w:val="000000"/>
          <w:spacing w:val="0"/>
          <w:kern w:val="2"/>
          <w:sz w:val="32"/>
          <w:szCs w:val="32"/>
          <w:highlight w:val="none"/>
          <w:shd w:val="clear" w:fill="FFFFFF"/>
          <w:lang w:val="en-US" w:eastAsia="zh-CN" w:bidi="ar-SA"/>
        </w:rPr>
        <w:t>2022年部门决算支出1085.4万元。其中：基本支出1075.4万元，项目支出10.00万元。</w:t>
      </w:r>
    </w:p>
    <w:p w14:paraId="7516EDF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eastAsia" w:ascii="仿宋" w:hAnsi="仿宋" w:eastAsia="仿宋" w:cs="仿宋"/>
          <w:b/>
          <w:bCs/>
          <w:i w:val="0"/>
          <w:iCs w:val="0"/>
          <w:caps w:val="0"/>
          <w:color w:val="000000"/>
          <w:spacing w:val="0"/>
          <w:kern w:val="2"/>
          <w:sz w:val="32"/>
          <w:szCs w:val="32"/>
          <w:highlight w:val="none"/>
          <w:shd w:val="clear" w:fill="FFFFFF"/>
          <w:lang w:val="en-US" w:eastAsia="zh-CN" w:bidi="ar-SA"/>
        </w:rPr>
      </w:pPr>
      <w:r>
        <w:rPr>
          <w:rFonts w:hint="eastAsia" w:ascii="仿宋" w:hAnsi="仿宋" w:eastAsia="仿宋" w:cs="仿宋"/>
          <w:b/>
          <w:bCs/>
          <w:i w:val="0"/>
          <w:iCs w:val="0"/>
          <w:caps w:val="0"/>
          <w:color w:val="000000"/>
          <w:spacing w:val="0"/>
          <w:kern w:val="2"/>
          <w:sz w:val="32"/>
          <w:szCs w:val="32"/>
          <w:highlight w:val="none"/>
          <w:shd w:val="clear" w:fill="FFFFFF"/>
          <w:lang w:val="en-US" w:eastAsia="zh-CN" w:bidi="ar-SA"/>
        </w:rPr>
        <w:t>（二）总体绩效目标完成情况分析</w:t>
      </w:r>
    </w:p>
    <w:p w14:paraId="405C1A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i w:val="0"/>
          <w:iCs w:val="0"/>
          <w:caps w:val="0"/>
          <w:color w:val="000000"/>
          <w:spacing w:val="0"/>
          <w:kern w:val="2"/>
          <w:sz w:val="32"/>
          <w:szCs w:val="32"/>
          <w:highlight w:val="none"/>
          <w:shd w:val="clear" w:fill="FFFFFF"/>
          <w:lang w:val="en-US" w:eastAsia="zh-CN" w:bidi="ar-SA"/>
        </w:rPr>
      </w:pPr>
      <w:r>
        <w:rPr>
          <w:rFonts w:hint="eastAsia" w:ascii="仿宋" w:hAnsi="仿宋" w:eastAsia="仿宋" w:cs="仿宋"/>
          <w:i w:val="0"/>
          <w:iCs w:val="0"/>
          <w:caps w:val="0"/>
          <w:color w:val="000000"/>
          <w:spacing w:val="0"/>
          <w:kern w:val="2"/>
          <w:sz w:val="32"/>
          <w:szCs w:val="32"/>
          <w:highlight w:val="none"/>
          <w:shd w:val="clear" w:fill="FFFFFF"/>
          <w:lang w:val="en-US" w:eastAsia="zh-CN" w:bidi="ar-SA"/>
        </w:rPr>
        <w:t>2022年，紧紧围绕全县中心工作和镇党委政府会议确定的各项目标任务，以促进经济发展、增加农民收入。认真贯彻落实党在农村的方针政策和强农惠农措施，坚持乡村振兴发展战略总基调，积极转变经济发展方式，推动产业结构调整。结合实际制定发展规划，培育特色优势产业和特色经济，扶持壮大龙头企业，促进现代农业发展。稳定和完善农村基本经营制度，支持农民专业合作经济发展，健全农村市场和农业服务体系。大力推广先进科学技术，强化劳动力技能培训，促进农民增产增收。</w:t>
      </w:r>
    </w:p>
    <w:p w14:paraId="4EFFE91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eastAsia" w:ascii="仿宋" w:hAnsi="仿宋" w:eastAsia="仿宋" w:cs="仿宋"/>
          <w:b/>
          <w:bCs/>
          <w:i w:val="0"/>
          <w:iCs w:val="0"/>
          <w:caps w:val="0"/>
          <w:color w:val="000000"/>
          <w:spacing w:val="0"/>
          <w:kern w:val="2"/>
          <w:sz w:val="32"/>
          <w:szCs w:val="32"/>
          <w:highlight w:val="none"/>
          <w:shd w:val="clear" w:fill="FFFFFF"/>
          <w:lang w:val="en-US" w:eastAsia="zh-CN" w:bidi="ar-SA"/>
        </w:rPr>
      </w:pPr>
      <w:r>
        <w:rPr>
          <w:rFonts w:hint="eastAsia" w:ascii="仿宋" w:hAnsi="仿宋" w:eastAsia="仿宋" w:cs="仿宋"/>
          <w:b/>
          <w:bCs/>
          <w:i w:val="0"/>
          <w:iCs w:val="0"/>
          <w:caps w:val="0"/>
          <w:color w:val="000000"/>
          <w:spacing w:val="0"/>
          <w:kern w:val="2"/>
          <w:sz w:val="32"/>
          <w:szCs w:val="32"/>
          <w:highlight w:val="none"/>
          <w:shd w:val="clear" w:fill="FFFFFF"/>
          <w:lang w:val="en-US" w:eastAsia="zh-CN" w:bidi="ar-SA"/>
        </w:rPr>
        <w:t>（三）各项指标完成情况分析</w:t>
      </w:r>
    </w:p>
    <w:p w14:paraId="5D4A5E4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i w:val="0"/>
          <w:iCs w:val="0"/>
          <w:caps w:val="0"/>
          <w:color w:val="000000"/>
          <w:spacing w:val="0"/>
          <w:kern w:val="2"/>
          <w:sz w:val="32"/>
          <w:szCs w:val="32"/>
          <w:highlight w:val="none"/>
          <w:shd w:val="clear" w:fill="FFFFFF"/>
          <w:lang w:val="en-US" w:eastAsia="zh-CN" w:bidi="ar-SA"/>
        </w:rPr>
      </w:pPr>
      <w:r>
        <w:rPr>
          <w:rFonts w:hint="eastAsia" w:ascii="仿宋" w:hAnsi="仿宋" w:eastAsia="仿宋" w:cs="仿宋"/>
          <w:i w:val="0"/>
          <w:iCs w:val="0"/>
          <w:caps w:val="0"/>
          <w:color w:val="000000"/>
          <w:spacing w:val="0"/>
          <w:kern w:val="2"/>
          <w:sz w:val="32"/>
          <w:szCs w:val="32"/>
          <w:highlight w:val="none"/>
          <w:shd w:val="clear" w:fill="FFFFFF"/>
          <w:lang w:val="en-US" w:eastAsia="zh-CN" w:bidi="ar-SA"/>
        </w:rPr>
        <w:t>各项指标已按年初申报指标全部完成。</w:t>
      </w:r>
    </w:p>
    <w:p w14:paraId="3876E2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eastAsia" w:ascii="仿宋" w:hAnsi="仿宋" w:eastAsia="仿宋" w:cs="仿宋"/>
          <w:b/>
          <w:bCs/>
          <w:i w:val="0"/>
          <w:iCs w:val="0"/>
          <w:caps w:val="0"/>
          <w:color w:val="000000"/>
          <w:spacing w:val="0"/>
          <w:kern w:val="2"/>
          <w:sz w:val="32"/>
          <w:szCs w:val="32"/>
          <w:highlight w:val="none"/>
          <w:shd w:val="clear" w:fill="FFFFFF"/>
          <w:lang w:val="en-US" w:eastAsia="zh-CN" w:bidi="ar-SA"/>
        </w:rPr>
      </w:pPr>
      <w:r>
        <w:rPr>
          <w:rFonts w:hint="eastAsia" w:ascii="仿宋" w:hAnsi="仿宋" w:eastAsia="仿宋" w:cs="仿宋"/>
          <w:b/>
          <w:bCs/>
          <w:i w:val="0"/>
          <w:iCs w:val="0"/>
          <w:caps w:val="0"/>
          <w:color w:val="000000"/>
          <w:spacing w:val="0"/>
          <w:kern w:val="2"/>
          <w:sz w:val="32"/>
          <w:szCs w:val="32"/>
          <w:highlight w:val="none"/>
          <w:shd w:val="clear" w:fill="FFFFFF"/>
          <w:lang w:val="en-US" w:eastAsia="zh-CN" w:bidi="ar-SA"/>
        </w:rPr>
        <w:t>（四）偏离绩效目标的原因及下一步改进措施</w:t>
      </w:r>
    </w:p>
    <w:p w14:paraId="74D4EAB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i w:val="0"/>
          <w:iCs w:val="0"/>
          <w:caps w:val="0"/>
          <w:color w:val="000000"/>
          <w:spacing w:val="0"/>
          <w:kern w:val="2"/>
          <w:sz w:val="32"/>
          <w:szCs w:val="32"/>
          <w:highlight w:val="none"/>
          <w:shd w:val="clear" w:fill="FFFFFF"/>
          <w:lang w:val="en-US" w:eastAsia="zh-CN" w:bidi="ar-SA"/>
        </w:rPr>
      </w:pPr>
      <w:r>
        <w:rPr>
          <w:rFonts w:hint="eastAsia" w:ascii="仿宋" w:hAnsi="仿宋" w:eastAsia="仿宋" w:cs="仿宋"/>
          <w:i w:val="0"/>
          <w:iCs w:val="0"/>
          <w:caps w:val="0"/>
          <w:color w:val="000000"/>
          <w:spacing w:val="0"/>
          <w:kern w:val="2"/>
          <w:sz w:val="32"/>
          <w:szCs w:val="32"/>
          <w:highlight w:val="none"/>
          <w:shd w:val="clear" w:fill="FFFFFF"/>
          <w:lang w:val="en-US" w:eastAsia="zh-CN" w:bidi="ar-SA"/>
        </w:rPr>
        <w:t>在进行整体支出合项目支出自评过程中，没有发现违反专项资金分配、拨付和专项项目立项、审批的程序，也没有截留、挤占、挪用、贪污和骗取专项资金的现象，今后，我们将认真组织实施，在政策宣传和专项资金拨付工作中，严格做到以下三个方面工作，确保专项资金落到实处。</w:t>
      </w:r>
    </w:p>
    <w:p w14:paraId="39F7230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eastAsia" w:ascii="仿宋" w:hAnsi="仿宋" w:eastAsia="仿宋" w:cs="仿宋"/>
          <w:i w:val="0"/>
          <w:iCs w:val="0"/>
          <w:caps w:val="0"/>
          <w:color w:val="000000"/>
          <w:spacing w:val="0"/>
          <w:kern w:val="2"/>
          <w:sz w:val="32"/>
          <w:szCs w:val="32"/>
          <w:highlight w:val="none"/>
          <w:shd w:val="clear" w:fill="FFFFFF"/>
          <w:lang w:val="en-US" w:eastAsia="zh-CN" w:bidi="ar-SA"/>
        </w:rPr>
      </w:pPr>
      <w:r>
        <w:rPr>
          <w:rFonts w:hint="eastAsia" w:ascii="仿宋" w:hAnsi="仿宋" w:eastAsia="仿宋" w:cs="仿宋"/>
          <w:b/>
          <w:bCs/>
          <w:i w:val="0"/>
          <w:iCs w:val="0"/>
          <w:caps w:val="0"/>
          <w:color w:val="000000"/>
          <w:spacing w:val="0"/>
          <w:kern w:val="2"/>
          <w:sz w:val="32"/>
          <w:szCs w:val="32"/>
          <w:highlight w:val="none"/>
          <w:shd w:val="clear" w:fill="FFFFFF"/>
          <w:lang w:val="en-US" w:eastAsia="zh-CN" w:bidi="ar-SA"/>
        </w:rPr>
        <w:t>1.科学立项，强化管理。</w:t>
      </w:r>
      <w:r>
        <w:rPr>
          <w:rFonts w:hint="eastAsia" w:ascii="仿宋" w:hAnsi="仿宋" w:eastAsia="仿宋" w:cs="仿宋"/>
          <w:i w:val="0"/>
          <w:iCs w:val="0"/>
          <w:caps w:val="0"/>
          <w:color w:val="000000"/>
          <w:spacing w:val="0"/>
          <w:kern w:val="2"/>
          <w:sz w:val="32"/>
          <w:szCs w:val="32"/>
          <w:highlight w:val="none"/>
          <w:shd w:val="clear" w:fill="FFFFFF"/>
          <w:lang w:val="en-US" w:eastAsia="zh-CN" w:bidi="ar-SA"/>
        </w:rPr>
        <w:t>在选立项目时先深入到村调查摸底，召开村支委会、两委会、党员代表大会、村民代表大会，因地制宜，择优选项，科学规划。在项目申报过程中，充分尊重群众的知情权、参与权、决策权，按照村“两委”班子提议，经群众代表讨论通过，村把关，镇汇总审核，县审批的程序确定项目，确保项目的科学性和实用性。</w:t>
      </w:r>
    </w:p>
    <w:p w14:paraId="14BF352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eastAsia" w:ascii="仿宋" w:hAnsi="仿宋" w:eastAsia="仿宋" w:cs="仿宋"/>
          <w:i w:val="0"/>
          <w:iCs w:val="0"/>
          <w:caps w:val="0"/>
          <w:color w:val="000000"/>
          <w:spacing w:val="0"/>
          <w:kern w:val="2"/>
          <w:sz w:val="32"/>
          <w:szCs w:val="32"/>
          <w:highlight w:val="none"/>
          <w:shd w:val="clear" w:fill="FFFFFF"/>
          <w:lang w:val="en-US" w:eastAsia="zh-CN" w:bidi="ar-SA"/>
        </w:rPr>
      </w:pPr>
      <w:r>
        <w:rPr>
          <w:rFonts w:hint="eastAsia" w:ascii="仿宋" w:hAnsi="仿宋" w:eastAsia="仿宋" w:cs="仿宋"/>
          <w:b/>
          <w:bCs/>
          <w:i w:val="0"/>
          <w:iCs w:val="0"/>
          <w:caps w:val="0"/>
          <w:color w:val="000000"/>
          <w:spacing w:val="0"/>
          <w:kern w:val="2"/>
          <w:sz w:val="32"/>
          <w:szCs w:val="32"/>
          <w:highlight w:val="none"/>
          <w:shd w:val="clear" w:fill="FFFFFF"/>
          <w:lang w:val="en-US" w:eastAsia="zh-CN" w:bidi="ar-SA"/>
        </w:rPr>
        <w:t>2.完善机制，明确责任。</w:t>
      </w:r>
      <w:r>
        <w:rPr>
          <w:rFonts w:hint="eastAsia" w:ascii="仿宋" w:hAnsi="仿宋" w:eastAsia="仿宋" w:cs="仿宋"/>
          <w:i w:val="0"/>
          <w:iCs w:val="0"/>
          <w:caps w:val="0"/>
          <w:color w:val="000000"/>
          <w:spacing w:val="0"/>
          <w:kern w:val="2"/>
          <w:sz w:val="32"/>
          <w:szCs w:val="32"/>
          <w:highlight w:val="none"/>
          <w:shd w:val="clear" w:fill="FFFFFF"/>
          <w:lang w:val="en-US" w:eastAsia="zh-CN" w:bidi="ar-SA"/>
        </w:rPr>
        <w:t>全面推行村务公开，将项目资金管理工作纳入法制化和制度化的轨道。按照“公开、公平、公正”的原则，通过建章立制，对项目资金设立、申报、分配、使用和监督检查等全过程进行规范化管理，增加资金管理的透明度，接受群众监督。同时成立项目管理和资金管理领导小组，并相应地建立廉政制度，专项领导小组成员自觉接受部门和社会的监督，强化服务意识，不断提高业务技能和执行政策的水平，把好事办好，让群众满意，让上级放心。</w:t>
      </w:r>
    </w:p>
    <w:p w14:paraId="0FF3A9F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eastAsia" w:ascii="仿宋" w:hAnsi="仿宋" w:eastAsia="仿宋" w:cs="仿宋"/>
          <w:i w:val="0"/>
          <w:iCs w:val="0"/>
          <w:caps w:val="0"/>
          <w:color w:val="000000"/>
          <w:spacing w:val="0"/>
          <w:kern w:val="2"/>
          <w:sz w:val="32"/>
          <w:szCs w:val="32"/>
          <w:highlight w:val="none"/>
          <w:shd w:val="clear" w:fill="FFFFFF"/>
          <w:lang w:val="en-US" w:eastAsia="zh-CN" w:bidi="ar-SA"/>
        </w:rPr>
      </w:pPr>
      <w:r>
        <w:rPr>
          <w:rFonts w:hint="eastAsia" w:ascii="仿宋" w:hAnsi="仿宋" w:eastAsia="仿宋" w:cs="仿宋"/>
          <w:b/>
          <w:bCs/>
          <w:i w:val="0"/>
          <w:iCs w:val="0"/>
          <w:caps w:val="0"/>
          <w:color w:val="000000"/>
          <w:spacing w:val="0"/>
          <w:kern w:val="2"/>
          <w:sz w:val="32"/>
          <w:szCs w:val="32"/>
          <w:highlight w:val="none"/>
          <w:shd w:val="clear" w:fill="FFFFFF"/>
          <w:lang w:val="en-US" w:eastAsia="zh-CN" w:bidi="ar-SA"/>
        </w:rPr>
        <w:t>3.严格手续，及时报账。</w:t>
      </w:r>
      <w:r>
        <w:rPr>
          <w:rFonts w:hint="eastAsia" w:ascii="仿宋" w:hAnsi="仿宋" w:eastAsia="仿宋" w:cs="仿宋"/>
          <w:i w:val="0"/>
          <w:iCs w:val="0"/>
          <w:caps w:val="0"/>
          <w:color w:val="000000"/>
          <w:spacing w:val="0"/>
          <w:kern w:val="2"/>
          <w:sz w:val="32"/>
          <w:szCs w:val="32"/>
          <w:highlight w:val="none"/>
          <w:shd w:val="clear" w:fill="FFFFFF"/>
          <w:lang w:val="en-US" w:eastAsia="zh-CN" w:bidi="ar-SA"/>
        </w:rPr>
        <w:t>对已经验收完毕的项目，搜集报账资料中要严格按照上级部门的报账要求整理报账资料，做到数字准却、内容符实、整理迅速，杜绝</w:t>
      </w:r>
      <w:bookmarkStart w:id="0" w:name="_GoBack"/>
      <w:r>
        <w:rPr>
          <w:rFonts w:hint="eastAsia" w:ascii="仿宋" w:hAnsi="仿宋" w:eastAsia="仿宋" w:cs="仿宋"/>
          <w:i w:val="0"/>
          <w:iCs w:val="0"/>
          <w:caps w:val="0"/>
          <w:color w:val="000000"/>
          <w:spacing w:val="0"/>
          <w:kern w:val="2"/>
          <w:sz w:val="32"/>
          <w:szCs w:val="32"/>
          <w:highlight w:val="none"/>
          <w:shd w:val="clear" w:fill="FFFFFF"/>
          <w:lang w:val="en-US" w:eastAsia="zh-CN" w:bidi="ar-SA"/>
        </w:rPr>
        <w:t>弄虚</w:t>
      </w:r>
      <w:bookmarkEnd w:id="0"/>
      <w:r>
        <w:rPr>
          <w:rFonts w:hint="eastAsia" w:ascii="仿宋" w:hAnsi="仿宋" w:eastAsia="仿宋" w:cs="仿宋"/>
          <w:i w:val="0"/>
          <w:iCs w:val="0"/>
          <w:caps w:val="0"/>
          <w:color w:val="000000"/>
          <w:spacing w:val="0"/>
          <w:kern w:val="2"/>
          <w:sz w:val="32"/>
          <w:szCs w:val="32"/>
          <w:highlight w:val="none"/>
          <w:shd w:val="clear" w:fill="FFFFFF"/>
          <w:lang w:val="en-US" w:eastAsia="zh-CN" w:bidi="ar-SA"/>
        </w:rPr>
        <w:t>作假和拖延。对已经报账的项目，认真整理报账资料，装订归档入库，以便日后查阅。</w:t>
      </w:r>
    </w:p>
    <w:p w14:paraId="29CAC24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firstLine="640" w:firstLineChars="200"/>
        <w:jc w:val="both"/>
        <w:textAlignment w:val="auto"/>
        <w:outlineLvl w:val="9"/>
        <w:rPr>
          <w:rFonts w:hint="eastAsia" w:ascii="黑体" w:hAnsi="宋体" w:eastAsia="黑体" w:cs="黑体"/>
          <w:i w:val="0"/>
          <w:iCs w:val="0"/>
          <w:color w:val="000000"/>
          <w:kern w:val="0"/>
          <w:sz w:val="32"/>
          <w:szCs w:val="32"/>
          <w:u w:val="none"/>
          <w:lang w:val="en-US" w:eastAsia="zh-CN" w:bidi="ar"/>
        </w:rPr>
      </w:pPr>
      <w:r>
        <w:rPr>
          <w:rFonts w:hint="eastAsia" w:ascii="黑体" w:hAnsi="宋体" w:eastAsia="黑体" w:cs="黑体"/>
          <w:i w:val="0"/>
          <w:iCs w:val="0"/>
          <w:color w:val="000000"/>
          <w:kern w:val="0"/>
          <w:sz w:val="32"/>
          <w:szCs w:val="32"/>
          <w:u w:val="none"/>
          <w:lang w:val="en-US" w:eastAsia="zh-CN" w:bidi="ar"/>
        </w:rPr>
        <w:t>四、部门整体支出绩效目标申报公开情况</w:t>
      </w:r>
    </w:p>
    <w:p w14:paraId="62C4EEE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i w:val="0"/>
          <w:iCs w:val="0"/>
          <w:caps w:val="0"/>
          <w:color w:val="000000"/>
          <w:spacing w:val="0"/>
          <w:kern w:val="2"/>
          <w:sz w:val="32"/>
          <w:szCs w:val="32"/>
          <w:highlight w:val="none"/>
          <w:shd w:val="clear" w:fill="FFFFFF"/>
          <w:lang w:val="en-US" w:eastAsia="zh-CN" w:bidi="ar-SA"/>
        </w:rPr>
      </w:pPr>
      <w:r>
        <w:rPr>
          <w:rFonts w:hint="eastAsia" w:ascii="仿宋" w:hAnsi="仿宋" w:eastAsia="仿宋" w:cs="仿宋"/>
          <w:i w:val="0"/>
          <w:iCs w:val="0"/>
          <w:caps w:val="0"/>
          <w:color w:val="000000"/>
          <w:spacing w:val="0"/>
          <w:kern w:val="2"/>
          <w:sz w:val="32"/>
          <w:szCs w:val="32"/>
          <w:highlight w:val="none"/>
          <w:shd w:val="clear" w:fill="FFFFFF"/>
          <w:lang w:val="en-US" w:eastAsia="zh-CN" w:bidi="ar-SA"/>
        </w:rPr>
        <w:t>2022年，本部门预算支出项目1个，当年财政拨款10万元，全年支出10元，执行率100%。通过自评，项目结果为“优”，分项目自评情况分析如下：</w:t>
      </w:r>
    </w:p>
    <w:p w14:paraId="717F987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firstLine="643" w:firstLineChars="200"/>
        <w:jc w:val="both"/>
        <w:textAlignment w:val="auto"/>
        <w:outlineLvl w:val="9"/>
        <w:rPr>
          <w:rFonts w:hint="eastAsia" w:ascii="仿宋" w:hAnsi="仿宋" w:eastAsia="仿宋" w:cs="仿宋"/>
          <w:b/>
          <w:bCs/>
          <w:i w:val="0"/>
          <w:iCs w:val="0"/>
          <w:caps w:val="0"/>
          <w:color w:val="000000"/>
          <w:spacing w:val="0"/>
          <w:kern w:val="2"/>
          <w:sz w:val="32"/>
          <w:szCs w:val="32"/>
          <w:highlight w:val="none"/>
          <w:shd w:val="clear" w:fill="FFFFFF"/>
          <w:lang w:val="en-US" w:eastAsia="zh-CN" w:bidi="ar-SA"/>
        </w:rPr>
      </w:pPr>
      <w:r>
        <w:rPr>
          <w:rFonts w:hint="eastAsia" w:ascii="仿宋" w:hAnsi="仿宋" w:eastAsia="仿宋" w:cs="仿宋"/>
          <w:b/>
          <w:bCs/>
          <w:i w:val="0"/>
          <w:iCs w:val="0"/>
          <w:caps w:val="0"/>
          <w:color w:val="000000"/>
          <w:spacing w:val="0"/>
          <w:kern w:val="2"/>
          <w:sz w:val="32"/>
          <w:szCs w:val="32"/>
          <w:highlight w:val="none"/>
          <w:shd w:val="clear" w:fill="FFFFFF"/>
          <w:lang w:val="en-US" w:eastAsia="zh-CN" w:bidi="ar-SA"/>
        </w:rPr>
        <w:t>（一）项目支出预算执行情况</w:t>
      </w:r>
    </w:p>
    <w:p w14:paraId="1233E7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i w:val="0"/>
          <w:iCs w:val="0"/>
          <w:caps w:val="0"/>
          <w:color w:val="000000"/>
          <w:spacing w:val="0"/>
          <w:kern w:val="2"/>
          <w:sz w:val="32"/>
          <w:szCs w:val="32"/>
          <w:highlight w:val="none"/>
          <w:shd w:val="clear" w:fill="FFFFFF"/>
          <w:lang w:val="en-US" w:eastAsia="zh-CN" w:bidi="ar-SA"/>
        </w:rPr>
      </w:pPr>
      <w:r>
        <w:rPr>
          <w:rFonts w:hint="eastAsia" w:ascii="仿宋" w:hAnsi="仿宋" w:eastAsia="仿宋" w:cs="仿宋"/>
          <w:i w:val="0"/>
          <w:iCs w:val="0"/>
          <w:caps w:val="0"/>
          <w:color w:val="000000"/>
          <w:spacing w:val="0"/>
          <w:kern w:val="2"/>
          <w:sz w:val="32"/>
          <w:szCs w:val="32"/>
          <w:highlight w:val="none"/>
          <w:shd w:val="clear" w:fill="FFFFFF"/>
          <w:lang w:val="en-US" w:eastAsia="zh-CN" w:bidi="ar-SA"/>
        </w:rPr>
        <w:t>民乐县农村综合改革项目-丰乐镇刘庄村绿化美化建设项目，根据甘财农〔2021〕8号文件通知要求，配套资金10万元，该项目2022年度预算拨付资金10万元，实际执行资金10万元，支付率100%。</w:t>
      </w:r>
    </w:p>
    <w:p w14:paraId="1FB86D8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firstLine="643" w:firstLineChars="200"/>
        <w:jc w:val="both"/>
        <w:textAlignment w:val="auto"/>
        <w:outlineLvl w:val="9"/>
        <w:rPr>
          <w:rFonts w:hint="eastAsia" w:ascii="仿宋" w:hAnsi="仿宋" w:eastAsia="仿宋" w:cs="仿宋"/>
          <w:b/>
          <w:bCs/>
          <w:i w:val="0"/>
          <w:iCs w:val="0"/>
          <w:caps w:val="0"/>
          <w:color w:val="000000"/>
          <w:spacing w:val="0"/>
          <w:kern w:val="2"/>
          <w:sz w:val="32"/>
          <w:szCs w:val="32"/>
          <w:highlight w:val="none"/>
          <w:shd w:val="clear" w:fill="FFFFFF"/>
          <w:lang w:val="en-US" w:eastAsia="zh-CN" w:bidi="ar-SA"/>
        </w:rPr>
      </w:pPr>
      <w:r>
        <w:rPr>
          <w:rFonts w:hint="eastAsia" w:ascii="仿宋" w:hAnsi="仿宋" w:eastAsia="仿宋" w:cs="仿宋"/>
          <w:b/>
          <w:bCs/>
          <w:i w:val="0"/>
          <w:iCs w:val="0"/>
          <w:caps w:val="0"/>
          <w:color w:val="000000"/>
          <w:spacing w:val="0"/>
          <w:kern w:val="2"/>
          <w:sz w:val="32"/>
          <w:szCs w:val="32"/>
          <w:highlight w:val="none"/>
          <w:shd w:val="clear" w:fill="FFFFFF"/>
          <w:lang w:val="en-US" w:eastAsia="zh-CN" w:bidi="ar-SA"/>
        </w:rPr>
        <w:t>（二）总体绩效目标完成情况分析</w:t>
      </w:r>
    </w:p>
    <w:p w14:paraId="6CC8899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i w:val="0"/>
          <w:iCs w:val="0"/>
          <w:caps w:val="0"/>
          <w:color w:val="000000"/>
          <w:spacing w:val="0"/>
          <w:kern w:val="2"/>
          <w:sz w:val="32"/>
          <w:szCs w:val="32"/>
          <w:highlight w:val="none"/>
          <w:shd w:val="clear" w:fill="FFFFFF"/>
          <w:lang w:val="en-US" w:eastAsia="zh-CN" w:bidi="ar-SA"/>
        </w:rPr>
      </w:pPr>
      <w:r>
        <w:rPr>
          <w:rFonts w:hint="eastAsia" w:ascii="仿宋" w:hAnsi="仿宋" w:eastAsia="仿宋" w:cs="仿宋"/>
          <w:i w:val="0"/>
          <w:iCs w:val="0"/>
          <w:caps w:val="0"/>
          <w:color w:val="000000"/>
          <w:spacing w:val="0"/>
          <w:kern w:val="2"/>
          <w:sz w:val="32"/>
          <w:szCs w:val="32"/>
          <w:highlight w:val="none"/>
          <w:shd w:val="clear" w:fill="FFFFFF"/>
          <w:lang w:val="en-US" w:eastAsia="zh-CN" w:bidi="ar-SA"/>
        </w:rPr>
        <w:t>1.栽植云杉、圆柏、樟子松845棵。</w:t>
      </w:r>
    </w:p>
    <w:p w14:paraId="09A45FC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i w:val="0"/>
          <w:iCs w:val="0"/>
          <w:caps w:val="0"/>
          <w:color w:val="000000"/>
          <w:spacing w:val="0"/>
          <w:kern w:val="2"/>
          <w:sz w:val="32"/>
          <w:szCs w:val="32"/>
          <w:highlight w:val="none"/>
          <w:shd w:val="clear" w:fill="FFFFFF"/>
          <w:lang w:val="en-US" w:eastAsia="zh-CN" w:bidi="ar-SA"/>
        </w:rPr>
      </w:pPr>
      <w:r>
        <w:rPr>
          <w:rFonts w:hint="eastAsia" w:ascii="仿宋" w:hAnsi="仿宋" w:eastAsia="仿宋" w:cs="仿宋"/>
          <w:i w:val="0"/>
          <w:iCs w:val="0"/>
          <w:caps w:val="0"/>
          <w:color w:val="000000"/>
          <w:spacing w:val="0"/>
          <w:kern w:val="2"/>
          <w:sz w:val="32"/>
          <w:szCs w:val="32"/>
          <w:highlight w:val="none"/>
          <w:shd w:val="clear" w:fill="FFFFFF"/>
          <w:lang w:val="en-US" w:eastAsia="zh-CN" w:bidi="ar-SA"/>
        </w:rPr>
        <w:t>2.切实改善了村民的居住环境，提高了生活质量。</w:t>
      </w:r>
    </w:p>
    <w:p w14:paraId="0B430E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i w:val="0"/>
          <w:iCs w:val="0"/>
          <w:caps w:val="0"/>
          <w:color w:val="000000"/>
          <w:spacing w:val="0"/>
          <w:kern w:val="2"/>
          <w:sz w:val="32"/>
          <w:szCs w:val="32"/>
          <w:highlight w:val="none"/>
          <w:shd w:val="clear" w:fill="FFFFFF"/>
          <w:lang w:val="en-US" w:eastAsia="zh-CN" w:bidi="ar-SA"/>
        </w:rPr>
      </w:pPr>
      <w:r>
        <w:rPr>
          <w:rFonts w:hint="eastAsia" w:ascii="仿宋" w:hAnsi="仿宋" w:eastAsia="仿宋" w:cs="仿宋"/>
          <w:i w:val="0"/>
          <w:iCs w:val="0"/>
          <w:caps w:val="0"/>
          <w:color w:val="000000"/>
          <w:spacing w:val="0"/>
          <w:kern w:val="2"/>
          <w:sz w:val="32"/>
          <w:szCs w:val="32"/>
          <w:highlight w:val="none"/>
          <w:shd w:val="clear" w:fill="FFFFFF"/>
          <w:lang w:val="en-US" w:eastAsia="zh-CN" w:bidi="ar-SA"/>
        </w:rPr>
        <w:t>3.促进社会和谐稳定。</w:t>
      </w:r>
    </w:p>
    <w:p w14:paraId="49D0AD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firstLine="643" w:firstLineChars="200"/>
        <w:jc w:val="both"/>
        <w:textAlignment w:val="auto"/>
        <w:outlineLvl w:val="9"/>
        <w:rPr>
          <w:rFonts w:hint="eastAsia" w:ascii="仿宋" w:hAnsi="仿宋" w:eastAsia="仿宋" w:cs="仿宋"/>
          <w:b/>
          <w:bCs/>
          <w:i w:val="0"/>
          <w:iCs w:val="0"/>
          <w:caps w:val="0"/>
          <w:color w:val="000000"/>
          <w:spacing w:val="0"/>
          <w:kern w:val="2"/>
          <w:sz w:val="32"/>
          <w:szCs w:val="32"/>
          <w:highlight w:val="none"/>
          <w:shd w:val="clear" w:fill="FFFFFF"/>
          <w:lang w:val="en-US" w:eastAsia="zh-CN" w:bidi="ar-SA"/>
        </w:rPr>
      </w:pPr>
      <w:r>
        <w:rPr>
          <w:rFonts w:hint="eastAsia" w:ascii="仿宋" w:hAnsi="仿宋" w:eastAsia="仿宋" w:cs="仿宋"/>
          <w:b/>
          <w:bCs/>
          <w:i w:val="0"/>
          <w:iCs w:val="0"/>
          <w:caps w:val="0"/>
          <w:color w:val="000000"/>
          <w:spacing w:val="0"/>
          <w:kern w:val="2"/>
          <w:sz w:val="32"/>
          <w:szCs w:val="32"/>
          <w:highlight w:val="none"/>
          <w:shd w:val="clear" w:fill="FFFFFF"/>
          <w:lang w:val="en-US" w:eastAsia="zh-CN" w:bidi="ar-SA"/>
        </w:rPr>
        <w:t>（三）各项指标完成情况分析</w:t>
      </w:r>
    </w:p>
    <w:p w14:paraId="71E6948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i w:val="0"/>
          <w:iCs w:val="0"/>
          <w:caps w:val="0"/>
          <w:color w:val="000000"/>
          <w:spacing w:val="0"/>
          <w:kern w:val="2"/>
          <w:sz w:val="32"/>
          <w:szCs w:val="32"/>
          <w:highlight w:val="none"/>
          <w:shd w:val="clear" w:fill="FFFFFF"/>
          <w:lang w:val="en-US" w:eastAsia="zh-CN" w:bidi="ar-SA"/>
        </w:rPr>
      </w:pPr>
      <w:r>
        <w:rPr>
          <w:rFonts w:hint="eastAsia" w:ascii="仿宋" w:hAnsi="仿宋" w:eastAsia="仿宋" w:cs="仿宋"/>
          <w:i w:val="0"/>
          <w:iCs w:val="0"/>
          <w:caps w:val="0"/>
          <w:color w:val="000000"/>
          <w:spacing w:val="0"/>
          <w:kern w:val="2"/>
          <w:sz w:val="32"/>
          <w:szCs w:val="32"/>
          <w:highlight w:val="none"/>
          <w:shd w:val="clear" w:fill="FFFFFF"/>
          <w:lang w:val="en-US" w:eastAsia="zh-CN" w:bidi="ar-SA"/>
        </w:rPr>
        <w:t>1.产出指标完成情况</w:t>
      </w:r>
    </w:p>
    <w:p w14:paraId="120184D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i w:val="0"/>
          <w:iCs w:val="0"/>
          <w:caps w:val="0"/>
          <w:color w:val="000000"/>
          <w:spacing w:val="0"/>
          <w:kern w:val="2"/>
          <w:sz w:val="32"/>
          <w:szCs w:val="32"/>
          <w:highlight w:val="none"/>
          <w:shd w:val="clear" w:fill="FFFFFF"/>
          <w:lang w:val="en-US" w:eastAsia="zh-CN" w:bidi="ar-SA"/>
        </w:rPr>
      </w:pPr>
      <w:r>
        <w:rPr>
          <w:rFonts w:hint="eastAsia" w:ascii="仿宋" w:hAnsi="仿宋" w:eastAsia="仿宋" w:cs="仿宋"/>
          <w:i w:val="0"/>
          <w:iCs w:val="0"/>
          <w:caps w:val="0"/>
          <w:color w:val="000000"/>
          <w:spacing w:val="0"/>
          <w:kern w:val="2"/>
          <w:sz w:val="32"/>
          <w:szCs w:val="32"/>
          <w:highlight w:val="none"/>
          <w:shd w:val="clear" w:fill="FFFFFF"/>
          <w:lang w:val="en-US" w:eastAsia="zh-CN" w:bidi="ar-SA"/>
        </w:rPr>
        <w:t xml:space="preserve">（1）数量指标-云杉数量，期初绩效目标值为栽种840棵，截至2021年10月31日，按照项目开展序时进度完成率100% 。 </w:t>
      </w:r>
    </w:p>
    <w:p w14:paraId="3B95572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i w:val="0"/>
          <w:iCs w:val="0"/>
          <w:caps w:val="0"/>
          <w:color w:val="000000"/>
          <w:spacing w:val="0"/>
          <w:kern w:val="2"/>
          <w:sz w:val="32"/>
          <w:szCs w:val="32"/>
          <w:highlight w:val="none"/>
          <w:shd w:val="clear" w:fill="FFFFFF"/>
          <w:lang w:val="en-US" w:eastAsia="zh-CN" w:bidi="ar-SA"/>
        </w:rPr>
      </w:pPr>
      <w:r>
        <w:rPr>
          <w:rFonts w:hint="eastAsia" w:ascii="仿宋" w:hAnsi="仿宋" w:eastAsia="仿宋" w:cs="仿宋"/>
          <w:i w:val="0"/>
          <w:iCs w:val="0"/>
          <w:caps w:val="0"/>
          <w:color w:val="000000"/>
          <w:spacing w:val="0"/>
          <w:kern w:val="2"/>
          <w:sz w:val="32"/>
          <w:szCs w:val="32"/>
          <w:highlight w:val="none"/>
          <w:shd w:val="clear" w:fill="FFFFFF"/>
          <w:lang w:val="en-US" w:eastAsia="zh-CN" w:bidi="ar-SA"/>
        </w:rPr>
        <w:t>（2）质量指标-栽种云杉项目，计划栽种840棵，截至2021年10月31日，栽种合格率92%。</w:t>
      </w:r>
    </w:p>
    <w:p w14:paraId="54A47E1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i w:val="0"/>
          <w:iCs w:val="0"/>
          <w:caps w:val="0"/>
          <w:color w:val="000000"/>
          <w:spacing w:val="0"/>
          <w:kern w:val="2"/>
          <w:sz w:val="32"/>
          <w:szCs w:val="32"/>
          <w:highlight w:val="none"/>
          <w:shd w:val="clear" w:fill="FFFFFF"/>
          <w:lang w:val="en-US" w:eastAsia="zh-CN" w:bidi="ar-SA"/>
        </w:rPr>
      </w:pPr>
      <w:r>
        <w:rPr>
          <w:rFonts w:hint="eastAsia" w:ascii="仿宋" w:hAnsi="仿宋" w:eastAsia="仿宋" w:cs="仿宋"/>
          <w:i w:val="0"/>
          <w:iCs w:val="0"/>
          <w:caps w:val="0"/>
          <w:color w:val="000000"/>
          <w:spacing w:val="0"/>
          <w:kern w:val="2"/>
          <w:sz w:val="32"/>
          <w:szCs w:val="32"/>
          <w:highlight w:val="none"/>
          <w:shd w:val="clear" w:fill="FFFFFF"/>
          <w:lang w:val="en-US" w:eastAsia="zh-CN" w:bidi="ar-SA"/>
        </w:rPr>
        <w:t>（3）时效指标-栽种云杉项目，计划2021年5月5日开工，至6月5日底结束，历时30天，截止2021年10月31日，时效率100%。</w:t>
      </w:r>
    </w:p>
    <w:p w14:paraId="7D8868E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i w:val="0"/>
          <w:iCs w:val="0"/>
          <w:caps w:val="0"/>
          <w:color w:val="000000"/>
          <w:spacing w:val="0"/>
          <w:kern w:val="2"/>
          <w:sz w:val="32"/>
          <w:szCs w:val="32"/>
          <w:highlight w:val="none"/>
          <w:shd w:val="clear" w:fill="FFFFFF"/>
          <w:lang w:val="en-US" w:eastAsia="zh-CN" w:bidi="ar-SA"/>
        </w:rPr>
      </w:pPr>
      <w:r>
        <w:rPr>
          <w:rFonts w:hint="eastAsia" w:ascii="仿宋" w:hAnsi="仿宋" w:eastAsia="仿宋" w:cs="仿宋"/>
          <w:i w:val="0"/>
          <w:iCs w:val="0"/>
          <w:caps w:val="0"/>
          <w:color w:val="000000"/>
          <w:spacing w:val="0"/>
          <w:kern w:val="2"/>
          <w:sz w:val="32"/>
          <w:szCs w:val="32"/>
          <w:highlight w:val="none"/>
          <w:shd w:val="clear" w:fill="FFFFFF"/>
          <w:lang w:val="en-US" w:eastAsia="zh-CN" w:bidi="ar-SA"/>
        </w:rPr>
        <w:t>（4）成本指标-栽种云杉项目，栽植云杉、圆柏、樟子松845棵，截止2021年10月31日，成本在可控范围内，成本节约率100%。</w:t>
      </w:r>
    </w:p>
    <w:p w14:paraId="212AEDF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firstLine="643" w:firstLineChars="200"/>
        <w:jc w:val="both"/>
        <w:textAlignment w:val="auto"/>
        <w:outlineLvl w:val="9"/>
        <w:rPr>
          <w:rFonts w:hint="eastAsia" w:ascii="仿宋" w:hAnsi="仿宋" w:eastAsia="仿宋" w:cs="仿宋"/>
          <w:b/>
          <w:bCs/>
          <w:i w:val="0"/>
          <w:iCs w:val="0"/>
          <w:caps w:val="0"/>
          <w:color w:val="000000"/>
          <w:spacing w:val="0"/>
          <w:kern w:val="2"/>
          <w:sz w:val="32"/>
          <w:szCs w:val="32"/>
          <w:highlight w:val="none"/>
          <w:shd w:val="clear" w:fill="FFFFFF"/>
          <w:lang w:val="en-US" w:eastAsia="zh-CN" w:bidi="ar-SA"/>
        </w:rPr>
      </w:pPr>
      <w:r>
        <w:rPr>
          <w:rFonts w:hint="eastAsia" w:ascii="仿宋" w:hAnsi="仿宋" w:eastAsia="仿宋" w:cs="仿宋"/>
          <w:b/>
          <w:bCs/>
          <w:i w:val="0"/>
          <w:iCs w:val="0"/>
          <w:caps w:val="0"/>
          <w:color w:val="000000"/>
          <w:spacing w:val="0"/>
          <w:kern w:val="2"/>
          <w:sz w:val="32"/>
          <w:szCs w:val="32"/>
          <w:highlight w:val="none"/>
          <w:shd w:val="clear" w:fill="FFFFFF"/>
          <w:lang w:val="en-US" w:eastAsia="zh-CN" w:bidi="ar-SA"/>
        </w:rPr>
        <w:t>（四）效益指标完成情况</w:t>
      </w:r>
    </w:p>
    <w:p w14:paraId="3D7351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i w:val="0"/>
          <w:iCs w:val="0"/>
          <w:caps w:val="0"/>
          <w:color w:val="000000"/>
          <w:spacing w:val="0"/>
          <w:kern w:val="2"/>
          <w:sz w:val="32"/>
          <w:szCs w:val="32"/>
          <w:highlight w:val="none"/>
          <w:shd w:val="clear" w:fill="FFFFFF"/>
          <w:lang w:val="en-US" w:eastAsia="zh-CN" w:bidi="ar-SA"/>
        </w:rPr>
      </w:pPr>
      <w:r>
        <w:rPr>
          <w:rFonts w:hint="eastAsia" w:ascii="仿宋" w:hAnsi="仿宋" w:eastAsia="仿宋" w:cs="仿宋"/>
          <w:i w:val="0"/>
          <w:iCs w:val="0"/>
          <w:caps w:val="0"/>
          <w:color w:val="000000"/>
          <w:spacing w:val="0"/>
          <w:kern w:val="2"/>
          <w:sz w:val="32"/>
          <w:szCs w:val="32"/>
          <w:highlight w:val="none"/>
          <w:shd w:val="clear" w:fill="FFFFFF"/>
          <w:lang w:val="en-US" w:eastAsia="zh-CN" w:bidi="ar-SA"/>
        </w:rPr>
        <w:t>1.经济效益：促进了村集体经济增收，提供了就业机会，提高了劳动生产率。</w:t>
      </w:r>
    </w:p>
    <w:p w14:paraId="36A39B2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仿宋" w:hAnsi="仿宋" w:eastAsia="仿宋" w:cs="仿宋"/>
          <w:i w:val="0"/>
          <w:iCs w:val="0"/>
          <w:caps w:val="0"/>
          <w:color w:val="000000"/>
          <w:spacing w:val="0"/>
          <w:kern w:val="2"/>
          <w:sz w:val="32"/>
          <w:szCs w:val="32"/>
          <w:highlight w:val="none"/>
          <w:shd w:val="clear" w:fill="FFFFFF"/>
          <w:lang w:val="en-US" w:eastAsia="zh-CN" w:bidi="ar-SA"/>
        </w:rPr>
      </w:pPr>
      <w:r>
        <w:rPr>
          <w:rFonts w:hint="eastAsia" w:ascii="仿宋" w:hAnsi="仿宋" w:eastAsia="仿宋" w:cs="仿宋"/>
          <w:i w:val="0"/>
          <w:iCs w:val="0"/>
          <w:caps w:val="0"/>
          <w:color w:val="000000"/>
          <w:spacing w:val="0"/>
          <w:kern w:val="2"/>
          <w:sz w:val="32"/>
          <w:szCs w:val="32"/>
          <w:highlight w:val="none"/>
          <w:shd w:val="clear" w:fill="FFFFFF"/>
          <w:lang w:val="en-US" w:eastAsia="zh-CN" w:bidi="ar-SA"/>
        </w:rPr>
        <w:t>2.社会效益：增加绿化面积，改善村内生态环境，进一步促进农村物质文明、政治文明、精神文明协调发展，</w:t>
      </w:r>
      <w:r>
        <w:rPr>
          <w:rFonts w:hint="default" w:ascii="仿宋" w:hAnsi="仿宋" w:eastAsia="仿宋" w:cs="仿宋"/>
          <w:i w:val="0"/>
          <w:iCs w:val="0"/>
          <w:caps w:val="0"/>
          <w:color w:val="000000"/>
          <w:spacing w:val="0"/>
          <w:kern w:val="2"/>
          <w:sz w:val="32"/>
          <w:szCs w:val="32"/>
          <w:highlight w:val="none"/>
          <w:shd w:val="clear" w:fill="FFFFFF"/>
          <w:lang w:val="en-US" w:eastAsia="zh-CN" w:bidi="ar-SA"/>
        </w:rPr>
        <w:t>产生了深远的社会影响，</w:t>
      </w:r>
      <w:r>
        <w:rPr>
          <w:rFonts w:hint="eastAsia" w:ascii="仿宋" w:hAnsi="仿宋" w:eastAsia="仿宋" w:cs="仿宋"/>
          <w:i w:val="0"/>
          <w:iCs w:val="0"/>
          <w:caps w:val="0"/>
          <w:color w:val="000000"/>
          <w:spacing w:val="0"/>
          <w:kern w:val="2"/>
          <w:sz w:val="32"/>
          <w:szCs w:val="32"/>
          <w:highlight w:val="none"/>
          <w:shd w:val="clear" w:fill="FFFFFF"/>
          <w:lang w:val="en-US" w:eastAsia="zh-CN" w:bidi="ar-SA"/>
        </w:rPr>
        <w:t>群众反响较好，社会经济效益显著</w:t>
      </w:r>
      <w:r>
        <w:rPr>
          <w:rFonts w:hint="default" w:ascii="仿宋" w:hAnsi="仿宋" w:eastAsia="仿宋" w:cs="仿宋"/>
          <w:i w:val="0"/>
          <w:iCs w:val="0"/>
          <w:caps w:val="0"/>
          <w:color w:val="000000"/>
          <w:spacing w:val="0"/>
          <w:kern w:val="2"/>
          <w:sz w:val="32"/>
          <w:szCs w:val="32"/>
          <w:highlight w:val="none"/>
          <w:shd w:val="clear" w:fill="FFFFFF"/>
          <w:lang w:val="en-US" w:eastAsia="zh-CN" w:bidi="ar-SA"/>
        </w:rPr>
        <w:t>。</w:t>
      </w:r>
    </w:p>
    <w:p w14:paraId="2E12E0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i w:val="0"/>
          <w:iCs w:val="0"/>
          <w:caps w:val="0"/>
          <w:color w:val="000000"/>
          <w:spacing w:val="0"/>
          <w:kern w:val="2"/>
          <w:sz w:val="32"/>
          <w:szCs w:val="32"/>
          <w:highlight w:val="none"/>
          <w:shd w:val="clear" w:fill="FFFFFF"/>
          <w:lang w:val="en-US" w:eastAsia="zh-CN" w:bidi="ar-SA"/>
        </w:rPr>
      </w:pPr>
      <w:r>
        <w:rPr>
          <w:rFonts w:hint="eastAsia" w:ascii="仿宋" w:hAnsi="仿宋" w:eastAsia="仿宋" w:cs="仿宋"/>
          <w:i w:val="0"/>
          <w:iCs w:val="0"/>
          <w:caps w:val="0"/>
          <w:color w:val="000000"/>
          <w:spacing w:val="0"/>
          <w:kern w:val="2"/>
          <w:sz w:val="32"/>
          <w:szCs w:val="32"/>
          <w:highlight w:val="none"/>
          <w:shd w:val="clear" w:fill="FFFFFF"/>
          <w:lang w:val="en-US" w:eastAsia="zh-CN" w:bidi="ar-SA"/>
        </w:rPr>
        <w:t>3.生态效益：人居环境质量提升。通过村内绿化项目的实施，改善群众生活环境，提升人居质量，改善村容村貌，进一步发挥生态效益。</w:t>
      </w:r>
    </w:p>
    <w:p w14:paraId="0742BDEC">
      <w:pPr>
        <w:keepNext w:val="0"/>
        <w:keepLines w:val="0"/>
        <w:pageBreakBefore w:val="0"/>
        <w:widowControl w:val="0"/>
        <w:kinsoku/>
        <w:wordWrap/>
        <w:overflowPunct/>
        <w:topLinePunct w:val="0"/>
        <w:autoSpaceDE/>
        <w:autoSpaceDN/>
        <w:bidi w:val="0"/>
        <w:adjustRightInd/>
        <w:snapToGrid/>
        <w:spacing w:line="560" w:lineRule="exact"/>
        <w:ind w:leftChars="0" w:firstLine="643" w:firstLineChars="200"/>
        <w:textAlignment w:val="auto"/>
        <w:rPr>
          <w:rFonts w:hint="eastAsia" w:ascii="仿宋" w:hAnsi="仿宋" w:eastAsia="仿宋" w:cs="仿宋"/>
          <w:b/>
          <w:bCs/>
          <w:i w:val="0"/>
          <w:iCs w:val="0"/>
          <w:caps w:val="0"/>
          <w:color w:val="000000"/>
          <w:spacing w:val="0"/>
          <w:kern w:val="2"/>
          <w:sz w:val="32"/>
          <w:szCs w:val="32"/>
          <w:highlight w:val="none"/>
          <w:shd w:val="clear" w:fill="FFFFFF"/>
          <w:lang w:val="en-US" w:eastAsia="zh-CN" w:bidi="ar-SA"/>
        </w:rPr>
      </w:pPr>
      <w:r>
        <w:rPr>
          <w:rFonts w:hint="eastAsia" w:ascii="仿宋" w:hAnsi="仿宋" w:eastAsia="仿宋" w:cs="仿宋"/>
          <w:b/>
          <w:bCs/>
          <w:i w:val="0"/>
          <w:iCs w:val="0"/>
          <w:caps w:val="0"/>
          <w:color w:val="000000"/>
          <w:spacing w:val="0"/>
          <w:kern w:val="2"/>
          <w:sz w:val="32"/>
          <w:szCs w:val="32"/>
          <w:highlight w:val="none"/>
          <w:shd w:val="clear" w:fill="FFFFFF"/>
          <w:lang w:val="en-US" w:eastAsia="zh-CN" w:bidi="ar-SA"/>
        </w:rPr>
        <w:t>（五）满意度指标完成情况</w:t>
      </w:r>
    </w:p>
    <w:p w14:paraId="04DBB7B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i w:val="0"/>
          <w:iCs w:val="0"/>
          <w:caps w:val="0"/>
          <w:color w:val="000000"/>
          <w:spacing w:val="0"/>
          <w:kern w:val="2"/>
          <w:sz w:val="32"/>
          <w:szCs w:val="32"/>
          <w:highlight w:val="none"/>
          <w:shd w:val="clear" w:fill="FFFFFF"/>
          <w:lang w:val="en-US" w:eastAsia="zh-CN" w:bidi="ar-SA"/>
        </w:rPr>
      </w:pPr>
      <w:r>
        <w:rPr>
          <w:rFonts w:hint="eastAsia" w:ascii="仿宋" w:hAnsi="仿宋" w:eastAsia="仿宋" w:cs="仿宋"/>
          <w:i w:val="0"/>
          <w:iCs w:val="0"/>
          <w:caps w:val="0"/>
          <w:color w:val="000000"/>
          <w:spacing w:val="0"/>
          <w:kern w:val="2"/>
          <w:sz w:val="32"/>
          <w:szCs w:val="32"/>
          <w:highlight w:val="none"/>
          <w:shd w:val="clear" w:fill="FFFFFF"/>
          <w:lang w:val="en-US" w:eastAsia="zh-CN" w:bidi="ar-SA"/>
        </w:rPr>
        <w:t>改善刘庄村村容村貌，提升人居环境质量，满足村民对乡村美化绿化的需求，进一步推进乡村振兴示范村建设，巩固脱贫攻坚成果。群众满意度为100%。</w:t>
      </w:r>
    </w:p>
    <w:p w14:paraId="4ACBC38B">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Chars="0" w:right="0" w:rightChars="0" w:firstLine="640" w:firstLineChars="200"/>
        <w:jc w:val="both"/>
        <w:textAlignment w:val="auto"/>
        <w:outlineLvl w:val="9"/>
        <w:rPr>
          <w:rFonts w:hint="eastAsia" w:ascii="黑体" w:hAnsi="宋体" w:eastAsia="黑体" w:cs="黑体"/>
          <w:i w:val="0"/>
          <w:iCs w:val="0"/>
          <w:color w:val="000000"/>
          <w:kern w:val="0"/>
          <w:sz w:val="32"/>
          <w:szCs w:val="32"/>
          <w:u w:val="none"/>
          <w:lang w:val="en-US" w:eastAsia="zh-CN" w:bidi="ar"/>
        </w:rPr>
      </w:pPr>
      <w:r>
        <w:rPr>
          <w:rFonts w:hint="eastAsia" w:ascii="黑体" w:hAnsi="宋体" w:eastAsia="黑体" w:cs="黑体"/>
          <w:i w:val="0"/>
          <w:iCs w:val="0"/>
          <w:color w:val="000000"/>
          <w:kern w:val="0"/>
          <w:sz w:val="32"/>
          <w:szCs w:val="32"/>
          <w:u w:val="none"/>
          <w:lang w:val="en-US" w:eastAsia="zh-CN" w:bidi="ar"/>
        </w:rPr>
        <w:t>其他需要说明的问题</w:t>
      </w:r>
    </w:p>
    <w:p w14:paraId="113183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i w:val="0"/>
          <w:iCs w:val="0"/>
          <w:caps w:val="0"/>
          <w:color w:val="000000"/>
          <w:spacing w:val="0"/>
          <w:kern w:val="2"/>
          <w:sz w:val="32"/>
          <w:szCs w:val="32"/>
          <w:highlight w:val="none"/>
          <w:shd w:val="clear" w:fill="FFFFFF"/>
          <w:lang w:val="en-US" w:eastAsia="zh-CN" w:bidi="ar-SA"/>
        </w:rPr>
      </w:pPr>
      <w:r>
        <w:rPr>
          <w:rFonts w:hint="eastAsia" w:ascii="仿宋" w:hAnsi="仿宋" w:eastAsia="仿宋" w:cs="仿宋"/>
          <w:i w:val="0"/>
          <w:iCs w:val="0"/>
          <w:caps w:val="0"/>
          <w:color w:val="000000"/>
          <w:spacing w:val="0"/>
          <w:kern w:val="2"/>
          <w:sz w:val="32"/>
          <w:szCs w:val="32"/>
          <w:highlight w:val="none"/>
          <w:shd w:val="clear" w:fill="FFFFFF"/>
          <w:lang w:val="en-US" w:eastAsia="zh-CN" w:bidi="ar-SA"/>
        </w:rPr>
        <w:t>2022年项目支出绩效自评项目1项，是民乐县农村综合改革项目-刘庄村美化绿化建设项目自评得分98分，所有自评结果和项目资金支出及拨付符合财政相关政策，已在全镇范围内进行公示公开。</w:t>
      </w:r>
    </w:p>
    <w:p w14:paraId="0077B4F3">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宋体" w:eastAsia="黑体" w:cs="黑体"/>
          <w:i w:val="0"/>
          <w:iCs w:val="0"/>
          <w:color w:val="000000"/>
          <w:kern w:val="0"/>
          <w:sz w:val="32"/>
          <w:szCs w:val="32"/>
          <w:u w:val="none"/>
          <w:lang w:val="en-US" w:eastAsia="zh-CN" w:bidi="ar"/>
        </w:rPr>
      </w:pPr>
      <w:r>
        <w:rPr>
          <w:rFonts w:hint="eastAsia" w:ascii="黑体" w:hAnsi="宋体" w:eastAsia="黑体" w:cs="黑体"/>
          <w:i w:val="0"/>
          <w:iCs w:val="0"/>
          <w:color w:val="000000"/>
          <w:kern w:val="0"/>
          <w:sz w:val="32"/>
          <w:szCs w:val="32"/>
          <w:u w:val="none"/>
          <w:lang w:val="en-US" w:eastAsia="zh-CN" w:bidi="ar"/>
        </w:rPr>
        <w:t>其他需要说明的问题</w:t>
      </w:r>
    </w:p>
    <w:p w14:paraId="71C990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firstLine="640" w:firstLineChars="200"/>
        <w:jc w:val="both"/>
        <w:textAlignment w:val="auto"/>
        <w:outlineLvl w:val="9"/>
        <w:rPr>
          <w:rFonts w:hint="default" w:ascii="仿宋" w:hAnsi="仿宋" w:eastAsia="仿宋" w:cs="仿宋"/>
          <w:i w:val="0"/>
          <w:iCs w:val="0"/>
          <w:caps w:val="0"/>
          <w:color w:val="000000"/>
          <w:spacing w:val="0"/>
          <w:kern w:val="2"/>
          <w:sz w:val="21"/>
          <w:szCs w:val="21"/>
          <w:highlight w:val="none"/>
          <w:shd w:val="clear" w:fill="FFFFFF"/>
          <w:lang w:val="en-US" w:eastAsia="zh-CN" w:bidi="ar-SA"/>
        </w:rPr>
      </w:pPr>
      <w:r>
        <w:rPr>
          <w:rFonts w:hint="eastAsia" w:ascii="仿宋" w:hAnsi="仿宋" w:eastAsia="仿宋" w:cs="仿宋"/>
          <w:i w:val="0"/>
          <w:iCs w:val="0"/>
          <w:caps w:val="0"/>
          <w:color w:val="000000"/>
          <w:spacing w:val="0"/>
          <w:kern w:val="2"/>
          <w:sz w:val="32"/>
          <w:szCs w:val="32"/>
          <w:highlight w:val="none"/>
          <w:shd w:val="clear" w:fill="FFFFFF"/>
          <w:lang w:val="en-US" w:eastAsia="zh-CN" w:bidi="ar-SA"/>
        </w:rPr>
        <w:t>中央和省委巡视、各级审计和财政监督中发现的问题及其所涉及的金额。</w:t>
      </w:r>
    </w:p>
    <w:p w14:paraId="57F27C3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right"/>
        <w:textAlignment w:val="auto"/>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丰乐镇人民政府</w:t>
      </w:r>
    </w:p>
    <w:p w14:paraId="35985672">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right"/>
        <w:textAlignment w:val="auto"/>
        <w:rPr>
          <w:rFonts w:hint="default"/>
          <w:sz w:val="22"/>
          <w:szCs w:val="28"/>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2023年1月8日</w:t>
      </w:r>
    </w:p>
    <w:sectPr>
      <w:footerReference r:id="rId3" w:type="default"/>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Tahoma">
    <w:altName w:val="noto sans thai"/>
    <w:panose1 w:val="020B0604030504040204"/>
    <w:charset w:val="00"/>
    <w:family w:val="auto"/>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00" w:csb1="00000000"/>
  </w:font>
  <w:font w:name="微软雅黑">
    <w:altName w:val="黑体"/>
    <w:panose1 w:val="020B0503020204020204"/>
    <w:charset w:val="86"/>
    <w:family w:val="auto"/>
    <w:pitch w:val="default"/>
    <w:sig w:usb0="00000000" w:usb1="0000000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DB96C">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A7BCDC">
                          <w:pPr>
                            <w:pStyle w:val="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DA7BCDC">
                    <w:pPr>
                      <w:pStyle w:val="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EA6223"/>
    <w:multiLevelType w:val="singleLevel"/>
    <w:tmpl w:val="94EA6223"/>
    <w:lvl w:ilvl="0" w:tentative="0">
      <w:start w:val="1"/>
      <w:numFmt w:val="chineseCounting"/>
      <w:suff w:val="nothing"/>
      <w:lvlText w:val="%1、"/>
      <w:lvlJc w:val="left"/>
      <w:rPr>
        <w:rFonts w:hint="eastAsia"/>
      </w:rPr>
    </w:lvl>
  </w:abstractNum>
  <w:abstractNum w:abstractNumId="1">
    <w:nsid w:val="3475388D"/>
    <w:multiLevelType w:val="singleLevel"/>
    <w:tmpl w:val="3475388D"/>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1ODMzNzgyYTE3YzYxYzRmM2M2NWQ4MzMwZTk3NzcifQ=="/>
  </w:docVars>
  <w:rsids>
    <w:rsidRoot w:val="3B703AEE"/>
    <w:rsid w:val="00571547"/>
    <w:rsid w:val="00894696"/>
    <w:rsid w:val="0284204C"/>
    <w:rsid w:val="030635FA"/>
    <w:rsid w:val="0339491F"/>
    <w:rsid w:val="045A33DC"/>
    <w:rsid w:val="04E471FB"/>
    <w:rsid w:val="05851B34"/>
    <w:rsid w:val="08DC315A"/>
    <w:rsid w:val="0A7A35BD"/>
    <w:rsid w:val="0B0E2B03"/>
    <w:rsid w:val="0C4E2585"/>
    <w:rsid w:val="0D892B34"/>
    <w:rsid w:val="0D8A574A"/>
    <w:rsid w:val="109D259A"/>
    <w:rsid w:val="11B867D1"/>
    <w:rsid w:val="137B4D76"/>
    <w:rsid w:val="13EA71F1"/>
    <w:rsid w:val="145B3A91"/>
    <w:rsid w:val="148F3419"/>
    <w:rsid w:val="14BB54F3"/>
    <w:rsid w:val="15AA2737"/>
    <w:rsid w:val="15ED74D2"/>
    <w:rsid w:val="16E93D8D"/>
    <w:rsid w:val="178E62F4"/>
    <w:rsid w:val="18694035"/>
    <w:rsid w:val="188073CA"/>
    <w:rsid w:val="1AF706AD"/>
    <w:rsid w:val="1B9913EA"/>
    <w:rsid w:val="1DDB5E7E"/>
    <w:rsid w:val="1F7D9BB1"/>
    <w:rsid w:val="206C0CC7"/>
    <w:rsid w:val="212666F0"/>
    <w:rsid w:val="21525777"/>
    <w:rsid w:val="22C54920"/>
    <w:rsid w:val="22FB54DA"/>
    <w:rsid w:val="23A94BD6"/>
    <w:rsid w:val="23CE24FF"/>
    <w:rsid w:val="249F7FE6"/>
    <w:rsid w:val="269C3244"/>
    <w:rsid w:val="27066311"/>
    <w:rsid w:val="28572E69"/>
    <w:rsid w:val="29BD5F8E"/>
    <w:rsid w:val="2EC1487D"/>
    <w:rsid w:val="2ECB7F64"/>
    <w:rsid w:val="3073431A"/>
    <w:rsid w:val="311056CD"/>
    <w:rsid w:val="32F46BA8"/>
    <w:rsid w:val="33A83EA2"/>
    <w:rsid w:val="33BA2687"/>
    <w:rsid w:val="36B21BDC"/>
    <w:rsid w:val="36BD0EA6"/>
    <w:rsid w:val="38AA39F0"/>
    <w:rsid w:val="38AF6C52"/>
    <w:rsid w:val="3A365071"/>
    <w:rsid w:val="3A366AC2"/>
    <w:rsid w:val="3A60546E"/>
    <w:rsid w:val="3ABA3EE2"/>
    <w:rsid w:val="3B703AEE"/>
    <w:rsid w:val="3C347485"/>
    <w:rsid w:val="3CBB5F65"/>
    <w:rsid w:val="3D946CEB"/>
    <w:rsid w:val="3E9A1A88"/>
    <w:rsid w:val="3EA428CE"/>
    <w:rsid w:val="3F6D1F6F"/>
    <w:rsid w:val="405E339F"/>
    <w:rsid w:val="42091F6D"/>
    <w:rsid w:val="451051B6"/>
    <w:rsid w:val="45225E4F"/>
    <w:rsid w:val="4535518E"/>
    <w:rsid w:val="46242379"/>
    <w:rsid w:val="46DB5763"/>
    <w:rsid w:val="47524229"/>
    <w:rsid w:val="476C54A8"/>
    <w:rsid w:val="47DD7583"/>
    <w:rsid w:val="480C74FF"/>
    <w:rsid w:val="49D532D8"/>
    <w:rsid w:val="4AD72297"/>
    <w:rsid w:val="4BBC374F"/>
    <w:rsid w:val="506733B0"/>
    <w:rsid w:val="510207DA"/>
    <w:rsid w:val="513E2B13"/>
    <w:rsid w:val="51606B54"/>
    <w:rsid w:val="51B9470B"/>
    <w:rsid w:val="51DD6683"/>
    <w:rsid w:val="528742FC"/>
    <w:rsid w:val="53BC0FAF"/>
    <w:rsid w:val="54061C03"/>
    <w:rsid w:val="54BC281B"/>
    <w:rsid w:val="55231ECC"/>
    <w:rsid w:val="569B4EAF"/>
    <w:rsid w:val="58506048"/>
    <w:rsid w:val="587E6281"/>
    <w:rsid w:val="59FB348F"/>
    <w:rsid w:val="5AC42BAE"/>
    <w:rsid w:val="5B075988"/>
    <w:rsid w:val="5C03213E"/>
    <w:rsid w:val="5C2F7998"/>
    <w:rsid w:val="5C5D41FD"/>
    <w:rsid w:val="5D755C5B"/>
    <w:rsid w:val="5DDF2BCE"/>
    <w:rsid w:val="60292AF5"/>
    <w:rsid w:val="60854FE7"/>
    <w:rsid w:val="61A20921"/>
    <w:rsid w:val="622B2C43"/>
    <w:rsid w:val="62374EAE"/>
    <w:rsid w:val="62B50656"/>
    <w:rsid w:val="633B3475"/>
    <w:rsid w:val="65CD4926"/>
    <w:rsid w:val="672719FD"/>
    <w:rsid w:val="6C130418"/>
    <w:rsid w:val="6D6073B9"/>
    <w:rsid w:val="72D56B34"/>
    <w:rsid w:val="73907BC0"/>
    <w:rsid w:val="74604C03"/>
    <w:rsid w:val="74C753C4"/>
    <w:rsid w:val="7577045B"/>
    <w:rsid w:val="76577CD5"/>
    <w:rsid w:val="76AE215E"/>
    <w:rsid w:val="771F5B64"/>
    <w:rsid w:val="778571D5"/>
    <w:rsid w:val="782E3F6E"/>
    <w:rsid w:val="7AD26BEC"/>
    <w:rsid w:val="7B9A0E4D"/>
    <w:rsid w:val="7BC02616"/>
    <w:rsid w:val="7CCF5968"/>
    <w:rsid w:val="7ED14DF5"/>
    <w:rsid w:val="7F424376"/>
    <w:rsid w:val="7FA648F0"/>
    <w:rsid w:val="7FD717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kern w:val="44"/>
      <w:sz w:val="48"/>
      <w:szCs w:val="48"/>
      <w:lang w:val="en-US" w:eastAsia="zh-CN" w:bidi="ar"/>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index 6"/>
    <w:basedOn w:val="1"/>
    <w:next w:val="1"/>
    <w:qFormat/>
    <w:uiPriority w:val="0"/>
    <w:rPr>
      <w:sz w:val="22"/>
      <w:szCs w:val="22"/>
    </w:rPr>
  </w:style>
  <w:style w:type="paragraph" w:styleId="4">
    <w:name w:val="Body Text"/>
    <w:basedOn w:val="1"/>
    <w:qFormat/>
    <w:uiPriority w:val="0"/>
    <w:rPr>
      <w:rFonts w:ascii="宋体" w:hAnsi="宋体" w:eastAsia="宋体"/>
      <w:spacing w:val="36"/>
      <w:sz w:val="28"/>
      <w:szCs w:val="24"/>
    </w:rPr>
  </w:style>
  <w:style w:type="paragraph" w:styleId="5">
    <w:name w:val="Body Text Indent 2"/>
    <w:basedOn w:val="1"/>
    <w:next w:val="6"/>
    <w:qFormat/>
    <w:uiPriority w:val="0"/>
    <w:pPr>
      <w:spacing w:after="120" w:afterLines="0" w:line="480" w:lineRule="auto"/>
      <w:ind w:left="420" w:leftChars="200"/>
    </w:pPr>
    <w:rPr>
      <w:kern w:val="2"/>
      <w:sz w:val="21"/>
    </w:rPr>
  </w:style>
  <w:style w:type="paragraph" w:styleId="6">
    <w:name w:val="Subtitle"/>
    <w:next w:val="1"/>
    <w:qFormat/>
    <w:uiPriority w:val="0"/>
    <w:pPr>
      <w:wordWrap w:val="0"/>
      <w:spacing w:after="60"/>
      <w:jc w:val="center"/>
    </w:pPr>
    <w:rPr>
      <w:rFonts w:ascii="Calibri" w:hAnsi="Calibri" w:eastAsia="宋体" w:cs="Times New Roman"/>
      <w:sz w:val="24"/>
      <w:lang w:val="en-US" w:eastAsia="zh-CN" w:bidi="ar-SA"/>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210" w:afterAutospacing="0" w:line="26" w:lineRule="atLeast"/>
      <w:ind w:left="0" w:right="0"/>
      <w:jc w:val="left"/>
    </w:pPr>
    <w:rPr>
      <w:kern w:val="0"/>
      <w:sz w:val="24"/>
      <w:lang w:val="en-US" w:eastAsia="zh-CN" w:bidi="ar"/>
    </w:rPr>
  </w:style>
  <w:style w:type="character" w:styleId="12">
    <w:name w:val="Strong"/>
    <w:basedOn w:val="11"/>
    <w:qFormat/>
    <w:uiPriority w:val="0"/>
    <w:rPr>
      <w:b/>
    </w:rPr>
  </w:style>
  <w:style w:type="paragraph" w:styleId="13">
    <w:name w:val="List Paragraph"/>
    <w:basedOn w:val="1"/>
    <w:qFormat/>
    <w:uiPriority w:val="34"/>
    <w:pPr>
      <w:ind w:firstLine="420" w:firstLineChars="200"/>
    </w:pPr>
  </w:style>
  <w:style w:type="paragraph" w:styleId="14">
    <w:name w:val="No Spacing"/>
    <w:qFormat/>
    <w:uiPriority w:val="1"/>
    <w:pPr>
      <w:adjustRightInd w:val="0"/>
      <w:snapToGrid w:val="0"/>
    </w:pPr>
    <w:rPr>
      <w:rFonts w:ascii="Tahoma" w:hAnsi="Tahoma" w:eastAsia="微软雅黑" w:cs="Times New Roman"/>
      <w:sz w:val="22"/>
      <w:szCs w:val="22"/>
      <w:lang w:val="en-US" w:eastAsia="zh-CN" w:bidi="ar-SA"/>
    </w:rPr>
  </w:style>
  <w:style w:type="paragraph" w:customStyle="1" w:styleId="15">
    <w:name w:val="reader-word-layer reader-word-s1-7"/>
    <w:basedOn w:val="1"/>
    <w:qFormat/>
    <w:uiPriority w:val="0"/>
    <w:pPr>
      <w:widowControl/>
      <w:spacing w:before="100" w:beforeAutospacing="1" w:after="100" w:afterAutospacing="1"/>
      <w:jc w:val="left"/>
    </w:pPr>
    <w:rPr>
      <w:rFonts w:ascii="宋体" w:hAnsi="宋体" w:cs="宋体"/>
      <w:kern w:val="0"/>
      <w:sz w:val="24"/>
    </w:rPr>
  </w:style>
  <w:style w:type="paragraph" w:customStyle="1" w:styleId="16">
    <w:name w:val="reader-word-layer reader-word-s1-8"/>
    <w:basedOn w:val="1"/>
    <w:qFormat/>
    <w:uiPriority w:val="0"/>
    <w:pPr>
      <w:widowControl/>
      <w:spacing w:before="100" w:beforeAutospacing="1" w:after="100" w:afterAutospacing="1"/>
      <w:jc w:val="left"/>
    </w:pPr>
    <w:rPr>
      <w:rFonts w:ascii="宋体" w:hAnsi="宋体" w:cs="宋体"/>
      <w:kern w:val="0"/>
      <w:sz w:val="24"/>
    </w:rPr>
  </w:style>
  <w:style w:type="character" w:customStyle="1" w:styleId="17">
    <w:name w:val="font11"/>
    <w:basedOn w:val="11"/>
    <w:qFormat/>
    <w:uiPriority w:val="0"/>
    <w:rPr>
      <w:rFonts w:hint="eastAsia" w:ascii="宋体" w:hAnsi="宋体" w:eastAsia="宋体" w:cs="宋体"/>
      <w:b/>
      <w:bCs/>
      <w:color w:val="000000"/>
      <w:sz w:val="44"/>
      <w:szCs w:val="44"/>
      <w:u w:val="none"/>
    </w:rPr>
  </w:style>
  <w:style w:type="character" w:customStyle="1" w:styleId="18">
    <w:name w:val="font71"/>
    <w:basedOn w:val="11"/>
    <w:qFormat/>
    <w:uiPriority w:val="0"/>
    <w:rPr>
      <w:rFonts w:hint="eastAsia" w:ascii="黑体" w:hAnsi="宋体" w:eastAsia="黑体" w:cs="黑体"/>
      <w:color w:val="000000"/>
      <w:sz w:val="32"/>
      <w:szCs w:val="32"/>
      <w:u w:val="none"/>
    </w:rPr>
  </w:style>
  <w:style w:type="character" w:customStyle="1" w:styleId="19">
    <w:name w:val="font61"/>
    <w:basedOn w:val="11"/>
    <w:qFormat/>
    <w:uiPriority w:val="0"/>
    <w:rPr>
      <w:rFonts w:ascii="Arial" w:hAnsi="Arial" w:cs="Arial"/>
      <w:color w:val="000000"/>
      <w:sz w:val="32"/>
      <w:szCs w:val="3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6315</Words>
  <Characters>6482</Characters>
  <Lines>0</Lines>
  <Paragraphs>0</Paragraphs>
  <TotalTime>2</TotalTime>
  <ScaleCrop>false</ScaleCrop>
  <LinksUpToDate>false</LinksUpToDate>
  <CharactersWithSpaces>6494</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2020-06-06T18:04:00Z</dcterms:created>
  <dc:creator>裴晖清</dc:creator>
  <cp:lastModifiedBy>YC</cp:lastModifiedBy>
  <cp:lastPrinted>2023-09-27T10:20:00Z</cp:lastPrinted>
  <dcterms:modified xsi:type="dcterms:W3CDTF">2026-07-23T09:27:23Z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4FB9468738414F4DA70E3975B9130146_13</vt:lpwstr>
  </property>
  <property fmtid="{D5CDD505-2E9C-101B-9397-08002B2CF9AE}" pid="4" name="KSOTemplateDocerSaveRecord">
    <vt:lpwstr>eyJoZGlkIjoiYzIzNjhjZjkxMjg2OGJjOTQ0NThhNzBhOGI4YTVmYWYiLCJ1c2VySWQiOiIyMTk2NjY4MjcifQ==</vt:lpwstr>
  </property>
</Properties>
</file>