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1B32A">
      <w:pPr>
        <w:spacing w:line="600" w:lineRule="exact"/>
        <w:jc w:val="center"/>
        <w:rPr>
          <w:rFonts w:hint="eastAsia" w:ascii="仿宋_GB2312"/>
          <w:szCs w:val="32"/>
        </w:rPr>
      </w:pPr>
    </w:p>
    <w:p w14:paraId="3BBB88F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DDA9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民乐县丰乐镇卫生院</w:t>
      </w:r>
    </w:p>
    <w:p w14:paraId="5C53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7"/>
          <w:rFonts w:hint="eastAsia" w:ascii="方正小标宋简体" w:hAnsi="方正小标宋简体" w:eastAsia="方正小标宋简体" w:cs="方正小标宋简体"/>
          <w:b w:val="0"/>
          <w:bCs w:val="0"/>
          <w:color w:val="auto"/>
          <w:lang w:val="en-US" w:eastAsia="zh-CN" w:bidi="ar"/>
        </w:rPr>
      </w:pPr>
      <w:r>
        <w:rPr>
          <w:rStyle w:val="27"/>
          <w:rFonts w:hint="eastAsia" w:ascii="方正小标宋简体" w:hAnsi="方正小标宋简体" w:eastAsia="方正小标宋简体" w:cs="方正小标宋简体"/>
          <w:b w:val="0"/>
          <w:bCs w:val="0"/>
          <w:color w:val="auto"/>
          <w:lang w:val="en-US" w:eastAsia="zh-CN" w:bidi="ar"/>
        </w:rPr>
        <w:t>2023年度预算执行情况单位自评报告</w:t>
      </w:r>
    </w:p>
    <w:p w14:paraId="0C0D52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eastAsia="zh-CN"/>
        </w:rPr>
      </w:pPr>
    </w:p>
    <w:p w14:paraId="40B92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民乐县财政局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B37316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30" w:right="0" w:firstLine="527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年度预算执行情况单位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将自评报告汇报如下：</w:t>
      </w:r>
    </w:p>
    <w:p w14:paraId="787FB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　　一、基本情况</w:t>
      </w:r>
    </w:p>
    <w:p w14:paraId="6BCE9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（一）部门主要职能</w:t>
      </w:r>
    </w:p>
    <w:p w14:paraId="0F4B0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1.提供公共卫生服务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       　 　</w:t>
      </w:r>
    </w:p>
    <w:p w14:paraId="24E110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(1).承担本镇农村居民健康档案规范建档指导、管理及服务。       　 　</w:t>
      </w:r>
    </w:p>
    <w:p w14:paraId="0D730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(2).普及卫生保健常识，在重点人群和重点场所开展健康教育，帮助居民形成有利于维护和增进健康的行为方式；指导开展爱国卫生工作。       　 　</w:t>
      </w:r>
    </w:p>
    <w:p w14:paraId="7C993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pacing w:val="-11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(3).</w:t>
      </w:r>
      <w:r>
        <w:rPr>
          <w:rFonts w:hint="eastAsia" w:ascii="仿宋_GB2312" w:hAnsi="黑体" w:eastAsia="仿宋_GB2312" w:cs="黑体"/>
          <w:color w:val="auto"/>
          <w:spacing w:val="-11"/>
          <w:sz w:val="32"/>
          <w:szCs w:val="32"/>
          <w:lang w:val="en-US" w:eastAsia="zh-CN"/>
        </w:rPr>
        <w:t>提供并组织实施本镇预防接种服务，落实国家免疫规划。       　 　</w:t>
      </w:r>
    </w:p>
    <w:p w14:paraId="70EC7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(4).及时发现、登记并报告本镇内发现的传染病病例和疑似病例，参与现场疫情处理。       　 　</w:t>
      </w:r>
    </w:p>
    <w:p w14:paraId="00ED68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(5).开展新生儿访视及儿童保健系统管理，进行体格检查和生长发育监测及评价，开展健康指导。      　 　</w:t>
      </w:r>
    </w:p>
    <w:p w14:paraId="3213A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(6).开展孕产妇保健系统管理和产后访视，进行一般体格检查及孕期营养、心理等健康指导。</w:t>
      </w:r>
    </w:p>
    <w:p w14:paraId="33EA4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(7).对本镇65岁及以上老年人进行登记管理，进行健康危险因素调查和一般体格检查，开展健康指导。</w:t>
      </w:r>
    </w:p>
    <w:p w14:paraId="0DCCA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(8).对高血压、糖尿病等慢性病高危人群进行指导，对确诊高血压、糖尿病等慢性病病例进行登记管理、定期随访和健康指导。       　 　</w:t>
      </w:r>
    </w:p>
    <w:p w14:paraId="0085B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(9).对本镇重性精神疾病患者进行登记管理、治疗随访和康复指导。       　 　</w:t>
      </w:r>
    </w:p>
    <w:p w14:paraId="181CD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 xml:space="preserve">(10).负责本镇内突发公共卫生事件的报告并协助处理。 </w:t>
      </w:r>
    </w:p>
    <w:p w14:paraId="2F26E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(11).做好卫生行政部门规定的其他公共卫生服务。</w:t>
      </w:r>
    </w:p>
    <w:p w14:paraId="33FB4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2.提供基本医疗服务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       　 　</w:t>
      </w:r>
    </w:p>
    <w:p w14:paraId="4DF8A0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(1).使用农村适宜医疗技术和中医药技术，正确处理常见病、多发病，对疑难重症进行恰当的处理并转诊。承担乡村现场应急救护、转诊服务和康复服务。</w:t>
      </w:r>
    </w:p>
    <w:p w14:paraId="7CD065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(2).一般卫生院具备处理孕产妇顺产能力，有条件的中心卫生院应具备处理孕产妇难产的能力。能完成外科的止血、缝合、包扎、骨折固定等处置，能开展阑尾、疝气等常见下腹部手术，有条件的中心卫生院还应能开展部分上腹部手术。</w:t>
      </w:r>
    </w:p>
    <w:p w14:paraId="2E68E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(3).健全消毒、隔离制度，遵守无菌操作规程，加强医疗质量管理。做好医疗废物处理和污水、污物无害化处理。       　 　</w:t>
      </w:r>
    </w:p>
    <w:p w14:paraId="300FEC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(4).执行国家基本药物制度药品集中采购、零差率销售等政策，为实施一体化管理的村卫生室统一代购药品。  </w:t>
      </w:r>
    </w:p>
    <w:p w14:paraId="1A57A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(5).提供政府卫生行政部门批准的其他适宜的医疗服务。</w:t>
      </w:r>
    </w:p>
    <w:p w14:paraId="7BED1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3.承担公共卫生管理   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    　 　</w:t>
      </w:r>
    </w:p>
    <w:p w14:paraId="1082C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(1).对本镇内传染病防治、学校卫生、食品卫生、饮水卫生、职业卫生，以及村级预防保健工作进行指导、培训、考核与监督。</w:t>
      </w:r>
    </w:p>
    <w:p w14:paraId="474D4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(2).严格执行新型农村合作医疗政策规定，履行定点医疗机构职责，做好有关的政策宣传、监督及服务工作。  </w:t>
      </w:r>
    </w:p>
    <w:p w14:paraId="06464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(3).深入推进乡村卫生服务一体化管理，对村卫生室实行以行政、人员、业务、药品、财产为基本内容的“五统一”规范管理；负责村卫生室的技术指导和乡村医生培训等工作。</w:t>
      </w:r>
    </w:p>
    <w:p w14:paraId="2CBCC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4.卫生行政管理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       　 　</w:t>
      </w:r>
    </w:p>
    <w:p w14:paraId="5E973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(1).在当地政府和上级卫生行政部门领导下，依据当地社会经济发展规划，协助制定和实施社区的初级卫生规划。       　 　</w:t>
      </w:r>
    </w:p>
    <w:p w14:paraId="32D93D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(2).配合有关部门动员组织群众开展爱国卫生活动，逐步改善本镇卫生状况。       　 　</w:t>
      </w:r>
    </w:p>
    <w:p w14:paraId="4ACD9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(3).贯彻执行国家各种卫生法规，对本镇内有关行业实行监督管理。       　 　</w:t>
      </w:r>
    </w:p>
    <w:p w14:paraId="191A8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(4).负责本镇内村级卫生服务站的管理和培训工作。</w:t>
      </w:r>
    </w:p>
    <w:p w14:paraId="3D565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二、机构设置</w:t>
      </w:r>
    </w:p>
    <w:p w14:paraId="6082B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（一）内设机构</w:t>
      </w:r>
    </w:p>
    <w:p w14:paraId="06213D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90" w:firstLineChars="250"/>
        <w:jc w:val="left"/>
        <w:textAlignment w:val="auto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丰乐镇卫生院位于民乐县丰乐镇张满村164号，成立于1958年，是一所集医疗、预防、保健、急救为一体的一级甲等医院，是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eastAsia="zh-CN"/>
        </w:rPr>
        <w:t>民乐县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医疗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eastAsia="zh-CN"/>
        </w:rPr>
        <w:t>保障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定点医疗单位，主要为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eastAsia="zh-CN"/>
        </w:rPr>
        <w:t>丰乐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镇及周边区域内居民提供基本医疗服务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基本公共卫生服务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全院现有工作人员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Arial" w:hAnsi="Arial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人（在编</w:t>
      </w:r>
      <w:r>
        <w:rPr>
          <w:rFonts w:hint="eastAsia" w:ascii="Arial" w:hAnsi="Arial" w:cs="Arial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人、临聘</w:t>
      </w:r>
      <w:r>
        <w:rPr>
          <w:rFonts w:hint="eastAsia" w:ascii="Arial" w:hAnsi="Arial" w:cs="Arial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人），其中专业技术人员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Arial" w:hAnsi="Arial" w:cs="Arial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人，在编人员中有副高职称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人，中级职称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人、初级职称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人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eastAsia="zh-CN"/>
        </w:rPr>
        <w:t>。共有村卫生室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  <w:t>12个,村医12人。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医院占地面积3257.96平方米，其中业务用房面积2504平方米。医院科室齐全，功能完善，卫生院编制核定床位45张，实际开放床位数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  <w:t>45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张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设有全科、内科、外科、妇科、儿科、中医科、口腔科、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A级预防接种门诊、急诊科、五官科等临床科室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个，心电图、肺功能检测、彩超室、放射室、检验科、西（中）药房等医技科室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Arial" w:hAnsi="Arial" w:eastAsia="仿宋_GB2312" w:cs="Arial"/>
          <w:color w:val="000000"/>
          <w:kern w:val="0"/>
          <w:sz w:val="32"/>
          <w:szCs w:val="32"/>
        </w:rPr>
        <w:t>个。 </w:t>
      </w:r>
      <w:r>
        <w:rPr>
          <w:rFonts w:hint="eastAsia" w:ascii="仿宋_GB2312" w:hAnsi="仿宋" w:eastAsia="仿宋_GB2312" w:cs="Arial"/>
          <w:color w:val="191E22"/>
          <w:kern w:val="0"/>
          <w:sz w:val="32"/>
          <w:szCs w:val="32"/>
        </w:rPr>
        <w:t>　 　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　</w:t>
      </w:r>
    </w:p>
    <w:p w14:paraId="5D6BB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textAlignment w:val="auto"/>
        <w:outlineLvl w:val="9"/>
        <w:rPr>
          <w:rStyle w:val="29"/>
          <w:rFonts w:eastAsia="黑体"/>
          <w:color w:val="auto"/>
          <w:lang w:val="en-US" w:eastAsia="zh-CN" w:bidi="ar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 xml:space="preserve"> </w:t>
      </w:r>
      <w:r>
        <w:rPr>
          <w:rStyle w:val="28"/>
          <w:color w:val="auto"/>
          <w:lang w:val="en-US" w:eastAsia="zh-CN" w:bidi="ar"/>
        </w:rPr>
        <w:t>三、绩效自评工作组织开展情况</w:t>
      </w:r>
      <w:r>
        <w:rPr>
          <w:rStyle w:val="29"/>
          <w:rFonts w:eastAsia="黑体"/>
          <w:color w:val="auto"/>
          <w:lang w:val="en-US" w:eastAsia="zh-CN" w:bidi="ar"/>
        </w:rPr>
        <w:t xml:space="preserve"> </w:t>
      </w:r>
    </w:p>
    <w:p w14:paraId="523BCFC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30" w:right="0" w:firstLine="527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一是高度重视，明确职责。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我单位及时召开202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整体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支出绩效自评工作布置会议，由分管财务领导主持，各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科室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负责人参加，重点强调预算绩效管理工作的重要性和必要性，明确绩效自评工作的责任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科室、经办人员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，确保自评工作有序、有效开展。</w:t>
      </w:r>
    </w:p>
    <w:p w14:paraId="2326976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30" w:right="0" w:firstLine="527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二是全面实施，有序开展。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单位无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内设机构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，预算总金额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952.81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万元，实际执行数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952.81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全部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执行完毕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项目内容涉及涉及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人员工资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、社会保障、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基本公共卫生服务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等方面。根据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指标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的产出数量、质量、时效、成本，以及经济效益、社会效益、生态效益、可持续影响、服务对象满意度等。设定评价指标，预算执行率和一级指标权重统一设置为：预算执行率10分、产出指标50分、效益指标30分、服务对象满意度指标10分。</w:t>
      </w:r>
    </w:p>
    <w:p w14:paraId="33258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Style w:val="29"/>
          <w:rFonts w:eastAsia="黑体"/>
          <w:color w:val="auto"/>
          <w:lang w:val="en-US" w:eastAsia="zh-CN" w:bidi="ar"/>
        </w:rPr>
      </w:pPr>
      <w:r>
        <w:rPr>
          <w:rStyle w:val="28"/>
          <w:color w:val="auto"/>
          <w:lang w:val="en-US" w:eastAsia="zh-CN" w:bidi="ar"/>
        </w:rPr>
        <w:t>四、部门整体支出绩效自评情况分析</w:t>
      </w:r>
      <w:r>
        <w:rPr>
          <w:rStyle w:val="29"/>
          <w:rFonts w:eastAsia="黑体"/>
          <w:color w:val="auto"/>
          <w:lang w:val="en-US" w:eastAsia="zh-CN" w:bidi="ar"/>
        </w:rPr>
        <w:t xml:space="preserve"> </w:t>
      </w:r>
    </w:p>
    <w:p w14:paraId="5769E0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部门整体综合评价得分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95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分。</w:t>
      </w:r>
    </w:p>
    <w:p w14:paraId="7C722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（一）部门决算情况</w:t>
      </w:r>
    </w:p>
    <w:p w14:paraId="57FC84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年部门预算收入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952.81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万元，其中：一般公共预算收入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465.26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万元。</w:t>
      </w:r>
    </w:p>
    <w:p w14:paraId="4396BE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年部门预算支出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952.81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万元。其中：基本支出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782.55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，项目支出170.26万元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 w14:paraId="55561A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1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决算与预算差异情况：202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年决算总收入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952.81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万元，较预算增加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647.81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万元，总支出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952.81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元，其中：基本支出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782.55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，项目支出170.26万元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 w14:paraId="4F32F1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总体绩效目标完成情况分析</w:t>
      </w:r>
    </w:p>
    <w:p w14:paraId="2C174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楷体" w:hAnsi="楷体" w:eastAsia="楷体" w:cs="楷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年，在县委、县政府的坚强领导下，在县财政局的精心指导下，紧紧围绕全县中心工作和省市县卫生工作会议确定的各项目标任务，按时完成各项指标。</w:t>
      </w:r>
    </w:p>
    <w:p w14:paraId="49A52F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各项指标完成情况分析</w:t>
      </w:r>
    </w:p>
    <w:p w14:paraId="5C8C4E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31"/>
          <w:rFonts w:hint="eastAsia" w:hAnsi="楷体"/>
          <w:color w:val="auto"/>
          <w:lang w:val="en-US" w:eastAsia="zh-CN" w:bidi="ar"/>
        </w:rPr>
        <w:t>医院内各项财务制度及内控制度制定不完善，不健全，院内无政府采购项目，部门管理完成不到位；因申请拨款拨付不及时，延后了离岗人员补贴发放时效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，部门履职目标中的产出时效指标未能按时完成；党建工作开展没有安排性，无规律性，因资金及人员原因，院内人员外出培训安排不到位。</w:t>
      </w:r>
    </w:p>
    <w:p w14:paraId="59E7B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32"/>
          <w:color w:val="auto"/>
          <w:lang w:val="en-US" w:eastAsia="zh-CN" w:bidi="ar"/>
        </w:rPr>
        <w:t>　　</w:t>
      </w:r>
      <w:r>
        <w:rPr>
          <w:rStyle w:val="32"/>
          <w:rFonts w:hint="eastAsia" w:ascii="楷体_GB2312" w:hAnsi="楷体_GB2312" w:eastAsia="楷体_GB2312" w:cs="楷体_GB2312"/>
          <w:b w:val="0"/>
          <w:bCs w:val="0"/>
          <w:color w:val="auto"/>
          <w:lang w:val="en-US" w:eastAsia="zh-CN" w:bidi="ar"/>
        </w:rPr>
        <w:t>（四）偏离绩效目标的原因及下一步改进措施</w:t>
      </w:r>
    </w:p>
    <w:p w14:paraId="1FBE9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Style w:val="31"/>
          <w:rFonts w:hint="eastAsia" w:hAnsi="楷体"/>
          <w:color w:val="auto"/>
          <w:lang w:val="en-US" w:eastAsia="zh-CN" w:bidi="ar"/>
        </w:rPr>
        <w:t>人员补贴资金在规定时间内发放率指标值100%，实际完成95%，主要原因是资金拨付不及时导致补贴发放拖延，延后补贴发放时效。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下一步改进措施：一是继续加强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业务学习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。认真学习中央、省、市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政策精神，吃透文件精神。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提高相关制度有效执行力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；二是加强部门之间的协调配合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，认真做好各项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资金的管理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工作，确保资金及时到位、专款专用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确保与绩效目标一致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F918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Style w:val="29"/>
          <w:rFonts w:eastAsia="黑体"/>
          <w:color w:val="auto"/>
          <w:lang w:val="en-US" w:eastAsia="zh-CN" w:bidi="ar"/>
        </w:rPr>
      </w:pPr>
      <w:r>
        <w:rPr>
          <w:rStyle w:val="28"/>
          <w:color w:val="auto"/>
          <w:lang w:val="en-US" w:eastAsia="zh-CN" w:bidi="ar"/>
        </w:rPr>
        <w:t>五、部门预算项目支出绩效自评情况分析</w:t>
      </w:r>
      <w:r>
        <w:rPr>
          <w:rStyle w:val="29"/>
          <w:rFonts w:eastAsia="黑体"/>
          <w:color w:val="auto"/>
          <w:lang w:val="en-US" w:eastAsia="zh-CN" w:bidi="ar"/>
        </w:rPr>
        <w:t xml:space="preserve"> </w:t>
      </w:r>
    </w:p>
    <w:p w14:paraId="07CB3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年，本部门无预算支出项目。</w:t>
      </w:r>
    </w:p>
    <w:p w14:paraId="54E80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Style w:val="28"/>
          <w:color w:val="auto"/>
          <w:lang w:val="en-US" w:eastAsia="zh-CN" w:bidi="ar"/>
        </w:rPr>
      </w:pPr>
      <w:r>
        <w:rPr>
          <w:rStyle w:val="28"/>
          <w:color w:val="auto"/>
          <w:lang w:val="en-US" w:eastAsia="zh-CN" w:bidi="ar"/>
        </w:rPr>
        <w:t>六、部门管理的省对市县转移支付绩效自评情况分析</w:t>
      </w:r>
    </w:p>
    <w:p w14:paraId="06E25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年，本单位无部门管理的省对市县转移支付。</w:t>
      </w:r>
    </w:p>
    <w:p w14:paraId="58C14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七、绩效自评结果拟应用和公开情况</w:t>
      </w:r>
    </w:p>
    <w:p w14:paraId="3DF7F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绩效评价结果应用，既是开展绩效评价工作的基本前提，又是加强财政支出管理、增强资金绩效理念、合理配置公共资源、优化财政支出结构、强化资金管理水平、提高资金使用效益的重要手段。为使绩效评价结果得到合理应用，将以此次绩效评价结果作为以后年度预算编制的重要依据。</w:t>
      </w:r>
    </w:p>
    <w:p w14:paraId="05F5E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八、其他需要说明的问题</w:t>
      </w:r>
    </w:p>
    <w:p w14:paraId="4FCCDD01">
      <w:pPr>
        <w:widowControl/>
        <w:shd w:val="clear" w:color="auto" w:fill="FFFFFF"/>
        <w:tabs>
          <w:tab w:val="left" w:pos="7371"/>
          <w:tab w:val="left" w:pos="7513"/>
          <w:tab w:val="left" w:pos="7938"/>
        </w:tabs>
        <w:spacing w:line="240" w:lineRule="auto"/>
        <w:ind w:firstLine="632" w:firstLineChars="200"/>
        <w:jc w:val="left"/>
        <w:rPr>
          <w:rFonts w:ascii="仿宋_GB2312" w:hAnsi="Calibri"/>
          <w:kern w:val="0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无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  <w:r>
        <w:rPr>
          <w:rFonts w:hint="eastAsia" w:ascii="Calibri" w:hAnsi="Calibri" w:eastAsia="宋体"/>
          <w:kern w:val="0"/>
          <w:szCs w:val="32"/>
        </w:rPr>
        <w:t xml:space="preserve">               </w:t>
      </w:r>
      <w:r>
        <w:rPr>
          <w:rFonts w:hint="eastAsia" w:ascii="仿宋_GB2312" w:hAnsi="Calibri"/>
          <w:kern w:val="0"/>
          <w:szCs w:val="32"/>
        </w:rPr>
        <w:t xml:space="preserve">      </w:t>
      </w:r>
    </w:p>
    <w:p w14:paraId="15C4E3A0">
      <w:pPr>
        <w:spacing w:line="240" w:lineRule="auto"/>
        <w:ind w:firstLine="4740" w:firstLineChars="1500"/>
        <w:jc w:val="left"/>
        <w:rPr>
          <w:rFonts w:hint="eastAsia" w:ascii="仿宋_GB2312" w:hAnsi="Calibri"/>
          <w:kern w:val="0"/>
          <w:szCs w:val="32"/>
        </w:rPr>
      </w:pPr>
    </w:p>
    <w:p w14:paraId="41E63D0D">
      <w:pPr>
        <w:spacing w:line="240" w:lineRule="auto"/>
        <w:ind w:firstLine="4740" w:firstLineChars="1500"/>
        <w:jc w:val="left"/>
        <w:rPr>
          <w:rFonts w:ascii="仿宋_GB2312" w:hAnsi="Calibri"/>
          <w:kern w:val="0"/>
          <w:szCs w:val="32"/>
        </w:rPr>
      </w:pPr>
      <w:bookmarkStart w:id="0" w:name="_GoBack"/>
      <w:bookmarkEnd w:id="0"/>
      <w:r>
        <w:rPr>
          <w:rFonts w:hint="eastAsia" w:ascii="仿宋_GB2312" w:hAnsi="Calibri"/>
          <w:kern w:val="0"/>
          <w:szCs w:val="32"/>
        </w:rPr>
        <w:t>民乐县丰乐镇卫生院</w:t>
      </w:r>
    </w:p>
    <w:p w14:paraId="325BB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方正小标宋简体" w:hAnsi="仿宋" w:eastAsia="方正小标宋简体"/>
          <w:color w:val="000000"/>
          <w:sz w:val="32"/>
          <w:szCs w:val="32"/>
        </w:rPr>
      </w:pPr>
      <w:r>
        <w:rPr>
          <w:rFonts w:hint="eastAsia" w:ascii="仿宋_GB2312" w:hAnsi="Calibri"/>
          <w:szCs w:val="32"/>
        </w:rPr>
        <w:t xml:space="preserve">                           </w:t>
      </w:r>
      <w:r>
        <w:rPr>
          <w:rFonts w:hint="eastAsia" w:ascii="仿宋_GB2312" w:hAnsi="Calibri"/>
          <w:szCs w:val="32"/>
          <w:lang w:val="en-US" w:eastAsia="zh-CN"/>
        </w:rPr>
        <w:t xml:space="preserve"> </w:t>
      </w:r>
      <w:r>
        <w:rPr>
          <w:rFonts w:hint="eastAsia" w:ascii="仿宋_GB2312" w:hAnsi="Calibri"/>
          <w:szCs w:val="32"/>
        </w:rPr>
        <w:t>20</w:t>
      </w:r>
      <w:r>
        <w:rPr>
          <w:rFonts w:hint="eastAsia" w:ascii="仿宋_GB2312" w:hAnsi="Calibri"/>
          <w:szCs w:val="32"/>
          <w:lang w:val="en-US" w:eastAsia="zh-CN"/>
        </w:rPr>
        <w:t>24</w:t>
      </w:r>
      <w:r>
        <w:rPr>
          <w:rFonts w:hint="eastAsia" w:ascii="仿宋_GB2312" w:hAnsi="Calibri"/>
          <w:szCs w:val="32"/>
        </w:rPr>
        <w:t>年</w:t>
      </w:r>
      <w:r>
        <w:rPr>
          <w:rFonts w:hint="eastAsia" w:ascii="仿宋_GB2312" w:hAnsi="Calibri"/>
          <w:szCs w:val="32"/>
          <w:lang w:val="en-US" w:eastAsia="zh-CN"/>
        </w:rPr>
        <w:t>2</w:t>
      </w:r>
      <w:r>
        <w:rPr>
          <w:rFonts w:hint="eastAsia" w:ascii="仿宋_GB2312" w:hAnsi="Calibri"/>
          <w:szCs w:val="32"/>
        </w:rPr>
        <w:t>月</w:t>
      </w:r>
      <w:r>
        <w:rPr>
          <w:rFonts w:hint="eastAsia" w:ascii="仿宋_GB2312" w:hAnsi="Calibri"/>
          <w:szCs w:val="32"/>
          <w:lang w:val="en-US" w:eastAsia="zh-CN"/>
        </w:rPr>
        <w:t>5</w:t>
      </w:r>
      <w:r>
        <w:rPr>
          <w:rFonts w:hint="eastAsia" w:ascii="仿宋_GB2312" w:hAnsi="Calibri"/>
          <w:szCs w:val="32"/>
        </w:rPr>
        <w:t>日</w:t>
      </w:r>
    </w:p>
    <w:sectPr>
      <w:footerReference r:id="rId3" w:type="default"/>
      <w:pgSz w:w="11906" w:h="16838"/>
      <w:pgMar w:top="1701" w:right="1474" w:bottom="1984" w:left="1588" w:header="0" w:footer="0" w:gutter="0"/>
      <w:pgNumType w:fmt="decimal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56E62"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F032A"/>
    <w:multiLevelType w:val="singleLevel"/>
    <w:tmpl w:val="3B5F03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0YWU5N2ExOWU3Mjk5MjNhYjUzY2EwZjJjYmM5ZTgifQ=="/>
  </w:docVars>
  <w:rsids>
    <w:rsidRoot w:val="00172A27"/>
    <w:rsid w:val="00010709"/>
    <w:rsid w:val="000219BE"/>
    <w:rsid w:val="00021B0C"/>
    <w:rsid w:val="0002222E"/>
    <w:rsid w:val="0002307B"/>
    <w:rsid w:val="0002721C"/>
    <w:rsid w:val="00034F3F"/>
    <w:rsid w:val="0003530D"/>
    <w:rsid w:val="0004475A"/>
    <w:rsid w:val="00055FB9"/>
    <w:rsid w:val="00056495"/>
    <w:rsid w:val="00056F2D"/>
    <w:rsid w:val="00076175"/>
    <w:rsid w:val="00077F76"/>
    <w:rsid w:val="00083098"/>
    <w:rsid w:val="00087852"/>
    <w:rsid w:val="00092018"/>
    <w:rsid w:val="00093551"/>
    <w:rsid w:val="0009555E"/>
    <w:rsid w:val="000A659F"/>
    <w:rsid w:val="000C7CBE"/>
    <w:rsid w:val="000F41CB"/>
    <w:rsid w:val="000F5665"/>
    <w:rsid w:val="000F61C0"/>
    <w:rsid w:val="001045CA"/>
    <w:rsid w:val="00112C63"/>
    <w:rsid w:val="00115747"/>
    <w:rsid w:val="00117B54"/>
    <w:rsid w:val="00122F16"/>
    <w:rsid w:val="00135FF3"/>
    <w:rsid w:val="001411FC"/>
    <w:rsid w:val="00143D69"/>
    <w:rsid w:val="00151794"/>
    <w:rsid w:val="00162684"/>
    <w:rsid w:val="00162CB0"/>
    <w:rsid w:val="00172A27"/>
    <w:rsid w:val="00174515"/>
    <w:rsid w:val="00175F20"/>
    <w:rsid w:val="0018474B"/>
    <w:rsid w:val="0018704A"/>
    <w:rsid w:val="001A1208"/>
    <w:rsid w:val="001B0D46"/>
    <w:rsid w:val="001B2A32"/>
    <w:rsid w:val="001C3ACB"/>
    <w:rsid w:val="001C7BC8"/>
    <w:rsid w:val="001D26BD"/>
    <w:rsid w:val="001E0287"/>
    <w:rsid w:val="001F3DF0"/>
    <w:rsid w:val="001F59D8"/>
    <w:rsid w:val="00236905"/>
    <w:rsid w:val="002506BC"/>
    <w:rsid w:val="00256875"/>
    <w:rsid w:val="00260652"/>
    <w:rsid w:val="0026652F"/>
    <w:rsid w:val="002720ED"/>
    <w:rsid w:val="00276C33"/>
    <w:rsid w:val="00280462"/>
    <w:rsid w:val="0029237F"/>
    <w:rsid w:val="002943F3"/>
    <w:rsid w:val="002955E8"/>
    <w:rsid w:val="002B5593"/>
    <w:rsid w:val="002C0416"/>
    <w:rsid w:val="002C3EC1"/>
    <w:rsid w:val="002D43A7"/>
    <w:rsid w:val="002D68B4"/>
    <w:rsid w:val="002D7C20"/>
    <w:rsid w:val="002E1494"/>
    <w:rsid w:val="002E7B1B"/>
    <w:rsid w:val="003030DE"/>
    <w:rsid w:val="00310465"/>
    <w:rsid w:val="00322B2B"/>
    <w:rsid w:val="00353444"/>
    <w:rsid w:val="00361020"/>
    <w:rsid w:val="00363198"/>
    <w:rsid w:val="00367ACC"/>
    <w:rsid w:val="0039459C"/>
    <w:rsid w:val="003A761E"/>
    <w:rsid w:val="003B4EBF"/>
    <w:rsid w:val="003B5018"/>
    <w:rsid w:val="003C378C"/>
    <w:rsid w:val="003D1407"/>
    <w:rsid w:val="003F7D32"/>
    <w:rsid w:val="00407851"/>
    <w:rsid w:val="00424712"/>
    <w:rsid w:val="00426007"/>
    <w:rsid w:val="004430F7"/>
    <w:rsid w:val="004452AF"/>
    <w:rsid w:val="004568D3"/>
    <w:rsid w:val="004634A2"/>
    <w:rsid w:val="00464EEB"/>
    <w:rsid w:val="004A3879"/>
    <w:rsid w:val="004B157A"/>
    <w:rsid w:val="004B49D2"/>
    <w:rsid w:val="004B636D"/>
    <w:rsid w:val="004C5833"/>
    <w:rsid w:val="004C6326"/>
    <w:rsid w:val="004C7951"/>
    <w:rsid w:val="004E2B66"/>
    <w:rsid w:val="004E33EC"/>
    <w:rsid w:val="004E5151"/>
    <w:rsid w:val="004F097D"/>
    <w:rsid w:val="00500DD0"/>
    <w:rsid w:val="005349D7"/>
    <w:rsid w:val="00541DC5"/>
    <w:rsid w:val="0055047B"/>
    <w:rsid w:val="005617D9"/>
    <w:rsid w:val="00570ECB"/>
    <w:rsid w:val="00591860"/>
    <w:rsid w:val="005935AC"/>
    <w:rsid w:val="005A22EC"/>
    <w:rsid w:val="005A5C7C"/>
    <w:rsid w:val="005B4943"/>
    <w:rsid w:val="005B5594"/>
    <w:rsid w:val="005C5931"/>
    <w:rsid w:val="005D26F9"/>
    <w:rsid w:val="005F5740"/>
    <w:rsid w:val="005F5FBF"/>
    <w:rsid w:val="006006E4"/>
    <w:rsid w:val="006026EF"/>
    <w:rsid w:val="00603B70"/>
    <w:rsid w:val="00604A5A"/>
    <w:rsid w:val="00604D20"/>
    <w:rsid w:val="00610F15"/>
    <w:rsid w:val="006133F7"/>
    <w:rsid w:val="0061624B"/>
    <w:rsid w:val="00622559"/>
    <w:rsid w:val="00630833"/>
    <w:rsid w:val="00631823"/>
    <w:rsid w:val="006704F6"/>
    <w:rsid w:val="00673C78"/>
    <w:rsid w:val="00673E66"/>
    <w:rsid w:val="006777A1"/>
    <w:rsid w:val="00683DB4"/>
    <w:rsid w:val="00691A77"/>
    <w:rsid w:val="006B0F38"/>
    <w:rsid w:val="006B7F32"/>
    <w:rsid w:val="006D1312"/>
    <w:rsid w:val="006D1F76"/>
    <w:rsid w:val="006D2945"/>
    <w:rsid w:val="006D377E"/>
    <w:rsid w:val="006D40A8"/>
    <w:rsid w:val="006D7F8A"/>
    <w:rsid w:val="006E2CB1"/>
    <w:rsid w:val="006F09AC"/>
    <w:rsid w:val="00714749"/>
    <w:rsid w:val="00714F40"/>
    <w:rsid w:val="00734BAE"/>
    <w:rsid w:val="0074538E"/>
    <w:rsid w:val="00751D72"/>
    <w:rsid w:val="0075262B"/>
    <w:rsid w:val="00763F14"/>
    <w:rsid w:val="007752C8"/>
    <w:rsid w:val="007925FB"/>
    <w:rsid w:val="00792B66"/>
    <w:rsid w:val="007A7EEA"/>
    <w:rsid w:val="007B3252"/>
    <w:rsid w:val="007E5E46"/>
    <w:rsid w:val="00800512"/>
    <w:rsid w:val="00825A22"/>
    <w:rsid w:val="00841AD6"/>
    <w:rsid w:val="00842C84"/>
    <w:rsid w:val="008504F7"/>
    <w:rsid w:val="008651E7"/>
    <w:rsid w:val="00881AC1"/>
    <w:rsid w:val="00895547"/>
    <w:rsid w:val="008A05FE"/>
    <w:rsid w:val="008A0EDA"/>
    <w:rsid w:val="008B3F1E"/>
    <w:rsid w:val="008B421C"/>
    <w:rsid w:val="008C0EBE"/>
    <w:rsid w:val="008E17AD"/>
    <w:rsid w:val="00921203"/>
    <w:rsid w:val="0092244E"/>
    <w:rsid w:val="00931683"/>
    <w:rsid w:val="00937890"/>
    <w:rsid w:val="00945580"/>
    <w:rsid w:val="00953BC0"/>
    <w:rsid w:val="00961FBE"/>
    <w:rsid w:val="00963B17"/>
    <w:rsid w:val="00965619"/>
    <w:rsid w:val="00997D6D"/>
    <w:rsid w:val="009A2146"/>
    <w:rsid w:val="009B033D"/>
    <w:rsid w:val="009E6E88"/>
    <w:rsid w:val="009F2918"/>
    <w:rsid w:val="009F4463"/>
    <w:rsid w:val="00A13637"/>
    <w:rsid w:val="00A36684"/>
    <w:rsid w:val="00A36A51"/>
    <w:rsid w:val="00A40FC5"/>
    <w:rsid w:val="00A41D54"/>
    <w:rsid w:val="00A60004"/>
    <w:rsid w:val="00A64B52"/>
    <w:rsid w:val="00A74944"/>
    <w:rsid w:val="00A842A2"/>
    <w:rsid w:val="00A8485D"/>
    <w:rsid w:val="00A903AE"/>
    <w:rsid w:val="00A93924"/>
    <w:rsid w:val="00A964FB"/>
    <w:rsid w:val="00AA004B"/>
    <w:rsid w:val="00AC4EB0"/>
    <w:rsid w:val="00AF0698"/>
    <w:rsid w:val="00B10AC4"/>
    <w:rsid w:val="00B242AC"/>
    <w:rsid w:val="00B31B98"/>
    <w:rsid w:val="00B31C3E"/>
    <w:rsid w:val="00B41B5B"/>
    <w:rsid w:val="00B435AF"/>
    <w:rsid w:val="00B51379"/>
    <w:rsid w:val="00B515B2"/>
    <w:rsid w:val="00B6263C"/>
    <w:rsid w:val="00B666C9"/>
    <w:rsid w:val="00B674F1"/>
    <w:rsid w:val="00B744B5"/>
    <w:rsid w:val="00B82A18"/>
    <w:rsid w:val="00B85683"/>
    <w:rsid w:val="00B87ACC"/>
    <w:rsid w:val="00B9233D"/>
    <w:rsid w:val="00B925E2"/>
    <w:rsid w:val="00B93121"/>
    <w:rsid w:val="00BC1068"/>
    <w:rsid w:val="00BC2040"/>
    <w:rsid w:val="00BC7501"/>
    <w:rsid w:val="00BE4B71"/>
    <w:rsid w:val="00C01B8A"/>
    <w:rsid w:val="00C02A13"/>
    <w:rsid w:val="00C1631E"/>
    <w:rsid w:val="00C25557"/>
    <w:rsid w:val="00C51AFD"/>
    <w:rsid w:val="00C60172"/>
    <w:rsid w:val="00C6615D"/>
    <w:rsid w:val="00C92192"/>
    <w:rsid w:val="00C93387"/>
    <w:rsid w:val="00CA05D8"/>
    <w:rsid w:val="00CB4D48"/>
    <w:rsid w:val="00CC1B5E"/>
    <w:rsid w:val="00CC5B64"/>
    <w:rsid w:val="00CC7198"/>
    <w:rsid w:val="00CD717F"/>
    <w:rsid w:val="00CE7886"/>
    <w:rsid w:val="00CF7614"/>
    <w:rsid w:val="00D071FC"/>
    <w:rsid w:val="00D11D90"/>
    <w:rsid w:val="00D30231"/>
    <w:rsid w:val="00D45390"/>
    <w:rsid w:val="00D6484B"/>
    <w:rsid w:val="00D7421A"/>
    <w:rsid w:val="00D91F07"/>
    <w:rsid w:val="00D95750"/>
    <w:rsid w:val="00D960FB"/>
    <w:rsid w:val="00DA333E"/>
    <w:rsid w:val="00DB3AE9"/>
    <w:rsid w:val="00DB5751"/>
    <w:rsid w:val="00DD2B17"/>
    <w:rsid w:val="00DF0A14"/>
    <w:rsid w:val="00DF215C"/>
    <w:rsid w:val="00DF6275"/>
    <w:rsid w:val="00E002D0"/>
    <w:rsid w:val="00E03D56"/>
    <w:rsid w:val="00E146FB"/>
    <w:rsid w:val="00E1718A"/>
    <w:rsid w:val="00E3094F"/>
    <w:rsid w:val="00E35F70"/>
    <w:rsid w:val="00E64FFC"/>
    <w:rsid w:val="00E71AC4"/>
    <w:rsid w:val="00E741FE"/>
    <w:rsid w:val="00E81A08"/>
    <w:rsid w:val="00E94BB6"/>
    <w:rsid w:val="00EA335A"/>
    <w:rsid w:val="00EA3DD7"/>
    <w:rsid w:val="00EA5D21"/>
    <w:rsid w:val="00EA74BE"/>
    <w:rsid w:val="00ED31EB"/>
    <w:rsid w:val="00EE1369"/>
    <w:rsid w:val="00EE49F6"/>
    <w:rsid w:val="00EE50DB"/>
    <w:rsid w:val="00F0663A"/>
    <w:rsid w:val="00F15BDF"/>
    <w:rsid w:val="00F2180A"/>
    <w:rsid w:val="00F33B5F"/>
    <w:rsid w:val="00F46C65"/>
    <w:rsid w:val="00F56810"/>
    <w:rsid w:val="00F619F6"/>
    <w:rsid w:val="00F62710"/>
    <w:rsid w:val="00F64B69"/>
    <w:rsid w:val="00F7251C"/>
    <w:rsid w:val="00F7354F"/>
    <w:rsid w:val="00F8265E"/>
    <w:rsid w:val="00F82D1F"/>
    <w:rsid w:val="00F95841"/>
    <w:rsid w:val="00FB18E9"/>
    <w:rsid w:val="00FB7777"/>
    <w:rsid w:val="00FC262B"/>
    <w:rsid w:val="00FC4B33"/>
    <w:rsid w:val="00FD12D3"/>
    <w:rsid w:val="00FE03A0"/>
    <w:rsid w:val="00FE5060"/>
    <w:rsid w:val="014C23AE"/>
    <w:rsid w:val="014C4B3B"/>
    <w:rsid w:val="02262316"/>
    <w:rsid w:val="028325BA"/>
    <w:rsid w:val="034104E4"/>
    <w:rsid w:val="04B270C1"/>
    <w:rsid w:val="05446035"/>
    <w:rsid w:val="069313B5"/>
    <w:rsid w:val="074F738E"/>
    <w:rsid w:val="07552FA0"/>
    <w:rsid w:val="097B0AF3"/>
    <w:rsid w:val="09CE3C81"/>
    <w:rsid w:val="0AE75D34"/>
    <w:rsid w:val="0B87003B"/>
    <w:rsid w:val="0C780B01"/>
    <w:rsid w:val="0E1B1632"/>
    <w:rsid w:val="0FA505A2"/>
    <w:rsid w:val="109958E1"/>
    <w:rsid w:val="117A40B0"/>
    <w:rsid w:val="132610BA"/>
    <w:rsid w:val="140215CB"/>
    <w:rsid w:val="15EC67B8"/>
    <w:rsid w:val="16CA7E2B"/>
    <w:rsid w:val="18FD13FE"/>
    <w:rsid w:val="19155E9A"/>
    <w:rsid w:val="19C10D34"/>
    <w:rsid w:val="1ADC1F66"/>
    <w:rsid w:val="1B7527A3"/>
    <w:rsid w:val="1B90262B"/>
    <w:rsid w:val="1C36712C"/>
    <w:rsid w:val="1C952EE3"/>
    <w:rsid w:val="1CA00E0C"/>
    <w:rsid w:val="1E5C1FFD"/>
    <w:rsid w:val="1EBF5817"/>
    <w:rsid w:val="1F2E1B21"/>
    <w:rsid w:val="1F461D9F"/>
    <w:rsid w:val="2070096D"/>
    <w:rsid w:val="20B140F9"/>
    <w:rsid w:val="212B4E5D"/>
    <w:rsid w:val="21D379CB"/>
    <w:rsid w:val="229C4E95"/>
    <w:rsid w:val="22E15DDD"/>
    <w:rsid w:val="23B77209"/>
    <w:rsid w:val="25035EA7"/>
    <w:rsid w:val="25C41EA3"/>
    <w:rsid w:val="26341074"/>
    <w:rsid w:val="26FE7307"/>
    <w:rsid w:val="278C4B3E"/>
    <w:rsid w:val="27B266BF"/>
    <w:rsid w:val="2A6555E2"/>
    <w:rsid w:val="2B512B53"/>
    <w:rsid w:val="2BC83FF4"/>
    <w:rsid w:val="2E6B7409"/>
    <w:rsid w:val="2F642F4F"/>
    <w:rsid w:val="311E04FE"/>
    <w:rsid w:val="31E00A6C"/>
    <w:rsid w:val="32DD6B5F"/>
    <w:rsid w:val="333F0CA1"/>
    <w:rsid w:val="336B5AAA"/>
    <w:rsid w:val="33FE6698"/>
    <w:rsid w:val="34334CF1"/>
    <w:rsid w:val="35681F65"/>
    <w:rsid w:val="356928AF"/>
    <w:rsid w:val="36863FF6"/>
    <w:rsid w:val="375F04CC"/>
    <w:rsid w:val="38360444"/>
    <w:rsid w:val="394B1B1B"/>
    <w:rsid w:val="3A391B46"/>
    <w:rsid w:val="3C2F2890"/>
    <w:rsid w:val="3C696290"/>
    <w:rsid w:val="3D070DEA"/>
    <w:rsid w:val="3DB607C1"/>
    <w:rsid w:val="3E4506E1"/>
    <w:rsid w:val="3EEF43D0"/>
    <w:rsid w:val="3F046D1F"/>
    <w:rsid w:val="40440F3E"/>
    <w:rsid w:val="416E30EF"/>
    <w:rsid w:val="41A038FF"/>
    <w:rsid w:val="42512C4F"/>
    <w:rsid w:val="44E32791"/>
    <w:rsid w:val="451D03FB"/>
    <w:rsid w:val="4657722F"/>
    <w:rsid w:val="467576A4"/>
    <w:rsid w:val="475161E4"/>
    <w:rsid w:val="48D21217"/>
    <w:rsid w:val="4B552AA6"/>
    <w:rsid w:val="4B773921"/>
    <w:rsid w:val="4BDF193C"/>
    <w:rsid w:val="4C98546D"/>
    <w:rsid w:val="4CF724EA"/>
    <w:rsid w:val="4D9E7167"/>
    <w:rsid w:val="4E2A23F0"/>
    <w:rsid w:val="4F1938D4"/>
    <w:rsid w:val="4FCC4A8C"/>
    <w:rsid w:val="5075308D"/>
    <w:rsid w:val="50A04479"/>
    <w:rsid w:val="51D058C8"/>
    <w:rsid w:val="551674B5"/>
    <w:rsid w:val="552D168C"/>
    <w:rsid w:val="554334F7"/>
    <w:rsid w:val="56707EE0"/>
    <w:rsid w:val="56DA787D"/>
    <w:rsid w:val="571E0179"/>
    <w:rsid w:val="571E5A7A"/>
    <w:rsid w:val="5792763C"/>
    <w:rsid w:val="579730CB"/>
    <w:rsid w:val="57EE0CFD"/>
    <w:rsid w:val="582B651D"/>
    <w:rsid w:val="586B009B"/>
    <w:rsid w:val="59590B2F"/>
    <w:rsid w:val="597D20E1"/>
    <w:rsid w:val="5BE42047"/>
    <w:rsid w:val="5CDD291B"/>
    <w:rsid w:val="5CE87F6E"/>
    <w:rsid w:val="5EE81EFA"/>
    <w:rsid w:val="5F0409D2"/>
    <w:rsid w:val="5FE21CA9"/>
    <w:rsid w:val="60496CA9"/>
    <w:rsid w:val="61003421"/>
    <w:rsid w:val="61587625"/>
    <w:rsid w:val="61A11A3C"/>
    <w:rsid w:val="632B3375"/>
    <w:rsid w:val="6333694F"/>
    <w:rsid w:val="655802EB"/>
    <w:rsid w:val="656F3AAF"/>
    <w:rsid w:val="66366155"/>
    <w:rsid w:val="66685395"/>
    <w:rsid w:val="66DD314B"/>
    <w:rsid w:val="671B2FAF"/>
    <w:rsid w:val="677455EB"/>
    <w:rsid w:val="69B4370D"/>
    <w:rsid w:val="6A343447"/>
    <w:rsid w:val="6C3F4927"/>
    <w:rsid w:val="6CBE1474"/>
    <w:rsid w:val="6DE1331E"/>
    <w:rsid w:val="6FE3640D"/>
    <w:rsid w:val="70AB299E"/>
    <w:rsid w:val="71014B90"/>
    <w:rsid w:val="729E470F"/>
    <w:rsid w:val="72FE2AAF"/>
    <w:rsid w:val="74104E11"/>
    <w:rsid w:val="75F934AD"/>
    <w:rsid w:val="76034481"/>
    <w:rsid w:val="76D71E2D"/>
    <w:rsid w:val="770B4E60"/>
    <w:rsid w:val="78317E5F"/>
    <w:rsid w:val="78427B67"/>
    <w:rsid w:val="78C75CFF"/>
    <w:rsid w:val="79343D46"/>
    <w:rsid w:val="79D826BD"/>
    <w:rsid w:val="7AC5017B"/>
    <w:rsid w:val="7BAF4D10"/>
    <w:rsid w:val="7CC01FF2"/>
    <w:rsid w:val="7D3916F4"/>
    <w:rsid w:val="7D5F4ACC"/>
    <w:rsid w:val="7DC31DB7"/>
    <w:rsid w:val="7DEE755A"/>
    <w:rsid w:val="7DFC09FE"/>
    <w:rsid w:val="7E350D9C"/>
    <w:rsid w:val="7EA1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qFormat="1" w:unhideWhenUsed="0" w:uiPriority="0" w:semiHidden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link w:val="25"/>
    <w:qFormat/>
    <w:uiPriority w:val="0"/>
    <w:pPr>
      <w:spacing w:after="120" w:line="480" w:lineRule="auto"/>
      <w:ind w:left="420" w:leftChars="200"/>
    </w:pPr>
    <w:rPr>
      <w:rFonts w:eastAsia="宋体"/>
      <w:sz w:val="21"/>
      <w:szCs w:val="20"/>
    </w:rPr>
  </w:style>
  <w:style w:type="paragraph" w:styleId="3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next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0"/>
    </w:rPr>
  </w:style>
  <w:style w:type="table" w:styleId="11">
    <w:name w:val="Table Grid"/>
    <w:basedOn w:val="10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hei  style8"/>
    <w:basedOn w:val="12"/>
    <w:qFormat/>
    <w:uiPriority w:val="0"/>
  </w:style>
  <w:style w:type="character" w:customStyle="1" w:styleId="16">
    <w:name w:val="页脚 字符"/>
    <w:basedOn w:val="12"/>
    <w:link w:val="7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17">
    <w:name w:val="页眉 字符"/>
    <w:basedOn w:val="12"/>
    <w:link w:val="8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18">
    <w:name w:val="15"/>
    <w:basedOn w:val="12"/>
    <w:qFormat/>
    <w:uiPriority w:val="0"/>
    <w:rPr>
      <w:rFonts w:hint="default" w:ascii="Times New Roman" w:hAnsi="Times New Roman" w:cs="Times New Roman"/>
      <w:b/>
      <w:bCs/>
      <w:sz w:val="20"/>
      <w:szCs w:val="20"/>
    </w:rPr>
  </w:style>
  <w:style w:type="paragraph" w:customStyle="1" w:styleId="19">
    <w:name w:val="p16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paragraph" w:customStyle="1" w:styleId="20">
    <w:name w:val="p0"/>
    <w:basedOn w:val="1"/>
    <w:next w:val="6"/>
    <w:qFormat/>
    <w:uiPriority w:val="0"/>
    <w:pPr>
      <w:widowControl/>
    </w:pPr>
    <w:rPr>
      <w:kern w:val="0"/>
      <w:szCs w:val="21"/>
    </w:rPr>
  </w:style>
  <w:style w:type="paragraph" w:customStyle="1" w:styleId="21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Char"/>
    <w:basedOn w:val="1"/>
    <w:qFormat/>
    <w:uiPriority w:val="0"/>
    <w:rPr>
      <w:szCs w:val="20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批注框文本 字符"/>
    <w:basedOn w:val="12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5">
    <w:name w:val="正文文本缩进 2 字符"/>
    <w:basedOn w:val="12"/>
    <w:link w:val="2"/>
    <w:qFormat/>
    <w:uiPriority w:val="0"/>
    <w:rPr>
      <w:kern w:val="2"/>
      <w:sz w:val="21"/>
    </w:rPr>
  </w:style>
  <w:style w:type="paragraph" w:customStyle="1" w:styleId="26">
    <w:name w:val="Char1"/>
    <w:basedOn w:val="1"/>
    <w:qFormat/>
    <w:uiPriority w:val="0"/>
    <w:pPr>
      <w:widowControl/>
      <w:spacing w:after="160" w:line="240" w:lineRule="exact"/>
      <w:jc w:val="left"/>
    </w:pPr>
    <w:rPr>
      <w:sz w:val="21"/>
      <w:szCs w:val="20"/>
    </w:rPr>
  </w:style>
  <w:style w:type="character" w:customStyle="1" w:styleId="27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28">
    <w:name w:val="font71"/>
    <w:basedOn w:val="1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9">
    <w:name w:val="font61"/>
    <w:basedOn w:val="12"/>
    <w:qFormat/>
    <w:uiPriority w:val="0"/>
    <w:rPr>
      <w:rFonts w:ascii="Arial" w:hAnsi="Arial" w:cs="Arial"/>
      <w:color w:val="000000"/>
      <w:sz w:val="32"/>
      <w:szCs w:val="32"/>
      <w:u w:val="none"/>
    </w:rPr>
  </w:style>
  <w:style w:type="paragraph" w:customStyle="1" w:styleId="30">
    <w:name w:val="Body Text Indent 21"/>
    <w:basedOn w:val="1"/>
    <w:next w:val="7"/>
    <w:qFormat/>
    <w:uiPriority w:val="0"/>
    <w:pPr>
      <w:spacing w:after="120" w:afterLines="0" w:line="480" w:lineRule="auto"/>
      <w:ind w:left="420" w:leftChars="200"/>
    </w:pPr>
  </w:style>
  <w:style w:type="character" w:customStyle="1" w:styleId="31">
    <w:name w:val="font51"/>
    <w:basedOn w:val="12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32">
    <w:name w:val="font31"/>
    <w:basedOn w:val="12"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1EE7C-BDE1-4C45-8016-CAE083ABE0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2553</Words>
  <Characters>2749</Characters>
  <Lines>20</Lines>
  <Paragraphs>5</Paragraphs>
  <TotalTime>100</TotalTime>
  <ScaleCrop>false</ScaleCrop>
  <LinksUpToDate>false</LinksUpToDate>
  <CharactersWithSpaces>2987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2021-11-25T06:07:00Z</dcterms:created>
  <dc:creator>Administrator</dc:creator>
  <cp:lastModifiedBy>꧁波坡摸佛꧂</cp:lastModifiedBy>
  <cp:lastPrinted>2023-06-19T02:18:00Z</cp:lastPrinted>
  <dcterms:modified xsi:type="dcterms:W3CDTF">2024-09-23T07:00:20Z</dcterms:modified>
  <dc:title>民卫发〔2012〕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04E9913E8E6E44D8A49AAE5D5176C0B3_13</vt:lpwstr>
  </property>
</Properties>
</file>