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FE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10"/>
          <w:lang w:val="en-US" w:eastAsia="zh-CN" w:bidi="ar"/>
        </w:rPr>
      </w:pPr>
    </w:p>
    <w:p w14:paraId="60062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10"/>
          <w:lang w:val="en-US" w:eastAsia="zh-CN" w:bidi="ar"/>
        </w:rPr>
      </w:pPr>
    </w:p>
    <w:p w14:paraId="73545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10"/>
          <w:lang w:val="en-US" w:eastAsia="zh-CN" w:bidi="ar"/>
        </w:rPr>
      </w:pPr>
    </w:p>
    <w:p w14:paraId="4EB9C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10"/>
          <w:lang w:val="en-US" w:eastAsia="zh-CN" w:bidi="ar"/>
        </w:rPr>
      </w:pPr>
    </w:p>
    <w:p w14:paraId="46E46460">
      <w:pPr>
        <w:pStyle w:val="2"/>
        <w:rPr>
          <w:lang w:val="en-US" w:eastAsia="zh-CN"/>
        </w:rPr>
      </w:pPr>
    </w:p>
    <w:p w14:paraId="72E55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10"/>
          <w:lang w:val="en-US" w:eastAsia="zh-CN" w:bidi="ar"/>
        </w:rPr>
      </w:pPr>
    </w:p>
    <w:p w14:paraId="5EF1F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 w14:paraId="70A9A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 w14:paraId="7B2F1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民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永</w:t>
      </w:r>
      <w:r>
        <w:rPr>
          <w:rFonts w:hint="eastAsia" w:ascii="仿宋_GB2312" w:eastAsia="仿宋_GB2312"/>
          <w:color w:val="000000"/>
          <w:sz w:val="32"/>
          <w:szCs w:val="32"/>
        </w:rPr>
        <w:t>卫字</w:t>
      </w:r>
      <w:r>
        <w:rPr>
          <w:rFonts w:hint="eastAsia" w:ascii="仿宋_GB2312" w:hAnsi="仿宋_GB2312" w:eastAsia="仿宋_GB2312" w:cs="仿宋_GB2312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签发人：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李先瑞</w:t>
      </w:r>
    </w:p>
    <w:p w14:paraId="30A9211D">
      <w:pPr>
        <w:snapToGrid w:val="0"/>
        <w:spacing w:line="579" w:lineRule="exact"/>
        <w:ind w:firstLine="883" w:firstLineChars="200"/>
        <w:jc w:val="both"/>
        <w:rPr>
          <w:rFonts w:hint="eastAsia" w:ascii="方正小标宋简体" w:hAnsi="Times New Roman" w:eastAsia="方正小标宋简体" w:cs="Times New Roman"/>
          <w:b/>
          <w:bCs w:val="0"/>
          <w:sz w:val="44"/>
          <w:szCs w:val="44"/>
          <w:lang w:val="en-US" w:eastAsia="zh-CN"/>
        </w:rPr>
      </w:pPr>
    </w:p>
    <w:p w14:paraId="196F8F75">
      <w:pPr>
        <w:snapToGrid w:val="0"/>
        <w:spacing w:line="579" w:lineRule="exact"/>
        <w:jc w:val="center"/>
        <w:rPr>
          <w:rFonts w:hint="eastAsia" w:ascii="方正小标宋简体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 w:val="0"/>
          <w:bCs/>
          <w:sz w:val="44"/>
          <w:szCs w:val="44"/>
          <w:lang w:val="en-US" w:eastAsia="zh-CN"/>
        </w:rPr>
        <w:t>民乐县永固中心卫生院</w:t>
      </w:r>
    </w:p>
    <w:p w14:paraId="7BA7F786">
      <w:pPr>
        <w:snapToGrid w:val="0"/>
        <w:spacing w:line="579" w:lineRule="exact"/>
        <w:jc w:val="center"/>
        <w:rPr>
          <w:rFonts w:hint="eastAsia" w:ascii="方正小标宋简体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 w:val="0"/>
          <w:bCs/>
          <w:sz w:val="44"/>
          <w:szCs w:val="44"/>
          <w:lang w:val="en-US" w:eastAsia="zh-CN"/>
        </w:rPr>
        <w:t>2023年度预算执行情况单位自评报告</w:t>
      </w:r>
    </w:p>
    <w:p w14:paraId="4D46A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E172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县财政局：</w:t>
      </w:r>
    </w:p>
    <w:p w14:paraId="01A91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现将《民乐县永固中心卫生院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2023年度预算执行情况单位自评报告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》上报你们，请审阅。</w:t>
      </w:r>
    </w:p>
    <w:p w14:paraId="2DF94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6CB22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456CC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民乐县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永固</w:t>
      </w:r>
      <w:r>
        <w:rPr>
          <w:rFonts w:hint="eastAsia" w:ascii="仿宋_GB2312" w:hAnsi="仿宋_GB2312" w:eastAsia="仿宋_GB2312" w:cs="仿宋_GB2312"/>
          <w:sz w:val="32"/>
          <w:szCs w:val="32"/>
        </w:rPr>
        <w:t>中心卫生院</w:t>
      </w:r>
    </w:p>
    <w:p w14:paraId="1EA4F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C7A2AD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eastAsia"/>
          <w:lang w:val="en-US" w:eastAsia="zh-CN"/>
        </w:rPr>
      </w:pPr>
    </w:p>
    <w:p w14:paraId="5A458A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eastAsia"/>
          <w:lang w:val="en-US" w:eastAsia="zh-CN"/>
        </w:rPr>
      </w:pPr>
    </w:p>
    <w:p w14:paraId="00AAF7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15AD56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271265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民乐县永固中心卫生院</w:t>
      </w:r>
    </w:p>
    <w:p w14:paraId="1C038C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2023年度预算执行情况单位自评报告</w:t>
      </w:r>
    </w:p>
    <w:p w14:paraId="79740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657DB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一、基本情况</w:t>
      </w:r>
    </w:p>
    <w:p w14:paraId="2BF7E6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（一）部门主要职能</w:t>
      </w:r>
    </w:p>
    <w:p w14:paraId="6B173C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outlineLvl w:val="9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1.提供公共卫生服务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       　 　</w:t>
      </w:r>
    </w:p>
    <w:p w14:paraId="3305D9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(1)承担本镇农村居民健康档案规范建档指导、管理及服务。       　 　</w:t>
      </w:r>
    </w:p>
    <w:p w14:paraId="1EA904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(2)普及卫生保健常识，在重点人群和重点场所开展健康教育，帮助居民形成有利于维护和增进健康的行为方式；指导开展爱国卫生工作。       　 　</w:t>
      </w:r>
    </w:p>
    <w:p w14:paraId="485461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黑体" w:eastAsia="仿宋_GB2312" w:cs="黑体"/>
          <w:spacing w:val="-11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(3)</w:t>
      </w:r>
      <w:r>
        <w:rPr>
          <w:rFonts w:hint="eastAsia" w:ascii="仿宋_GB2312" w:hAnsi="黑体" w:eastAsia="仿宋_GB2312" w:cs="黑体"/>
          <w:spacing w:val="-11"/>
          <w:sz w:val="32"/>
          <w:szCs w:val="32"/>
          <w:lang w:val="en-US" w:eastAsia="zh-CN"/>
        </w:rPr>
        <w:t>提供并组织实施本镇预防接种服务，落实国家免疫规划。       　 　</w:t>
      </w:r>
    </w:p>
    <w:p w14:paraId="7236E4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(4)及时发现、登记并报告本镇内发现的传染病病例和疑似病例，参与现场疫情处理。       　 　</w:t>
      </w:r>
    </w:p>
    <w:p w14:paraId="2985CD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(5)开展新生儿访视及儿童保健系统管理，进行体格检查和生长发育监测及评价，开展健康指导。      　 　</w:t>
      </w:r>
    </w:p>
    <w:p w14:paraId="2004B9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(6)开展孕产妇保健系统管理和产后访视，进行一般体格检查及孕期营养、心理等健康指导。</w:t>
      </w:r>
    </w:p>
    <w:p w14:paraId="2D88DC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(7)对本镇65岁及以上老年人进行登记管理，进行健康危险因素调查和一般体格检查，开展健康指导。</w:t>
      </w:r>
    </w:p>
    <w:p w14:paraId="3D900B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(8)对高血压、糖尿病等慢性病高危人群进行指导，对确诊高血压、糖尿病等慢性病病例进行登记管理、定期随访和健康指导。       　 　</w:t>
      </w:r>
    </w:p>
    <w:p w14:paraId="63F3C7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(9)对本镇重性精神疾病患者进行登记管理、治疗随访和康复指导。       　 　</w:t>
      </w:r>
    </w:p>
    <w:p w14:paraId="3ED99F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 xml:space="preserve">(10)负责本镇内突发公共卫生事件的报告并协助处理。 </w:t>
      </w:r>
    </w:p>
    <w:p w14:paraId="6E0A8D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(11)做好卫生行政部门规定的其他公共卫生服务。</w:t>
      </w:r>
    </w:p>
    <w:p w14:paraId="20DF9B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outlineLvl w:val="9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2.提供基本医疗服务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       　 　</w:t>
      </w:r>
    </w:p>
    <w:p w14:paraId="52309A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(1)使用农村适宜医疗技术和中医药技术，正确处理常见病、多发病，对疑难重症进行恰当的处理并转诊。承担乡村现场应急救护、转诊服务和康复服务。</w:t>
      </w:r>
    </w:p>
    <w:p w14:paraId="1F9496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(2)一般卫生院具备处理孕产妇顺产能力，有条件的中心卫生院应具备处理孕产妇难产的能力。能完成外科的止血、缝合、包扎、骨折固定等处置，能开展阑尾、疝气等常见下腹部手术，有条件的中心卫生院还应能开展部分上腹部手术。</w:t>
      </w:r>
    </w:p>
    <w:p w14:paraId="012089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(3)健全消毒、隔离制度，遵守无菌操作规程，加强医疗质量管理。做好医疗废物处理和污水、污物无害化处理。       　 　</w:t>
      </w:r>
    </w:p>
    <w:p w14:paraId="75F0F7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(4)执行国家基本药物制度药品集中采购、零差率销售等政策，为实施一体化管理的村卫生室统一代购药品。  </w:t>
      </w:r>
    </w:p>
    <w:p w14:paraId="347CE7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(5)提供政府卫生行政部门批准的其他适宜的医疗服务。</w:t>
      </w:r>
    </w:p>
    <w:p w14:paraId="5D26BB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outlineLvl w:val="9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3.承担公共卫生管理     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  　 　</w:t>
      </w:r>
    </w:p>
    <w:p w14:paraId="451F3A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(1)对本镇内传染病防治、学校卫生、食品卫生、饮水卫生、职业卫生，以及村级预防保健工作进行指导、培训、考核与监督。</w:t>
      </w:r>
    </w:p>
    <w:p w14:paraId="4C4BB7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(2)严格执行新型农村合作医疗政策规定，履行定点医疗机构职责，做好有关的政策宣传、监督及服务工作。  </w:t>
      </w:r>
    </w:p>
    <w:p w14:paraId="410861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(3)深入推进乡村卫生服务一体化管理，对村卫生室实行以行政、人员、业务、药品、财产为基本内容的“五统一”规范管理；负责村卫生室的技术指导和乡村医生培训等工作。</w:t>
      </w:r>
    </w:p>
    <w:p w14:paraId="6ECB55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outlineLvl w:val="9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4.卫生行政管理   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    　 　</w:t>
      </w:r>
    </w:p>
    <w:p w14:paraId="1D089E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(1)在当地政府和上级卫生行政部门领导下，依据当地社会经济发展规划，协助制定和实施社区的初级卫生规划。       　 　</w:t>
      </w:r>
    </w:p>
    <w:p w14:paraId="158799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(2)配合有关部门动员组织群众开展爱国卫生活动，逐步改善本镇卫生状况。       　 　</w:t>
      </w:r>
    </w:p>
    <w:p w14:paraId="045A9C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(3)贯彻执行国家各种卫生法规，对本镇内有关行业实行监督管理。       　 　</w:t>
      </w:r>
    </w:p>
    <w:p w14:paraId="6005F1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(4)负责本镇内村级卫生服务站的管理和培训工作。</w:t>
      </w:r>
    </w:p>
    <w:p w14:paraId="3A1B90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二、机构设置</w:t>
      </w:r>
    </w:p>
    <w:p w14:paraId="63A4C0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Style w:val="12"/>
          <w:rFonts w:hint="eastAsia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本单位属事业卫生单位，隶属民乐县卫生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健康管理局管理，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 xml:space="preserve">是一所集医疗、预防、保健、急救为一体的乡镇卫生院。实有在职人员43人，其中：财政供养人员24人，临聘人员19人，单位共设12个科室：内科、外科、妇科、儿科、口腔科，中医科、公共卫生科（健康档案室、免疫规划室、健康教育室、妇幼保健室），办公室、检验科、放射科、B超室、药剂科（中药房、西药房）、护理部。该单位共有10个行政村，负责我镇12450人口的医疗、预防、保健，健康教育等任务。 </w:t>
      </w:r>
    </w:p>
    <w:p w14:paraId="5C65DE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3"/>
          <w:rFonts w:eastAsia="黑体"/>
          <w:lang w:val="en-US" w:eastAsia="zh-CN" w:bidi="ar"/>
        </w:rPr>
      </w:pPr>
      <w:r>
        <w:rPr>
          <w:rStyle w:val="12"/>
          <w:rFonts w:hint="eastAsia"/>
          <w:lang w:val="en-US" w:eastAsia="zh-CN" w:bidi="ar"/>
        </w:rPr>
        <w:t>三、</w:t>
      </w:r>
      <w:r>
        <w:rPr>
          <w:rStyle w:val="12"/>
          <w:lang w:val="en-US" w:eastAsia="zh-CN" w:bidi="ar"/>
        </w:rPr>
        <w:t>绩效自评工作组织开展情况</w:t>
      </w:r>
      <w:r>
        <w:rPr>
          <w:rStyle w:val="13"/>
          <w:rFonts w:eastAsia="黑体"/>
          <w:lang w:val="en-US" w:eastAsia="zh-CN" w:bidi="ar"/>
        </w:rPr>
        <w:t xml:space="preserve"> </w:t>
      </w:r>
    </w:p>
    <w:p w14:paraId="70D0277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30" w:right="0" w:firstLine="527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一是高度重视，明确职责。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我单位及时召开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整体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支出绩效自评工作布置会议，由分管财务领导主持，各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科室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负责人参加，重点强调预算绩效管理工作的重要性和必要性，明确绩效自评工作的责任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科室、经办人员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，确保自评工作有序、有效开展。</w:t>
      </w:r>
    </w:p>
    <w:p w14:paraId="15D1DB5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30" w:right="0" w:firstLine="527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二是全面实施，有序开展。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单位无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内设机构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，预算总金额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421.86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万元，实际执行数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421.86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预算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资金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全部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执行完毕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项目内容涉及涉及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人员工资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、社会保障、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基本公共卫生服务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等方面。根据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指标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的产出数量、质量、时效、成本，以及经济效益、社会效益、生态效益、可持续影响、服务对象满意度等。设定评价指标，预算执行率和一级指标权重统一设置为：预算执行率10分、产出指标50分、效益指标30分、服务对象满意度指标10分。</w:t>
      </w:r>
    </w:p>
    <w:p w14:paraId="2D07DD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3"/>
          <w:rFonts w:eastAsia="黑体"/>
          <w:lang w:val="en-US" w:eastAsia="zh-CN" w:bidi="ar"/>
        </w:rPr>
      </w:pPr>
      <w:r>
        <w:rPr>
          <w:rStyle w:val="12"/>
          <w:rFonts w:hint="eastAsia"/>
          <w:lang w:val="en-US" w:eastAsia="zh-CN" w:bidi="ar"/>
        </w:rPr>
        <w:t>四</w:t>
      </w:r>
      <w:r>
        <w:rPr>
          <w:rStyle w:val="12"/>
          <w:lang w:val="en-US" w:eastAsia="zh-CN" w:bidi="ar"/>
        </w:rPr>
        <w:t>、部门整体支出绩效自评情况分析</w:t>
      </w:r>
      <w:r>
        <w:rPr>
          <w:rStyle w:val="13"/>
          <w:rFonts w:eastAsia="黑体"/>
          <w:lang w:val="en-US" w:eastAsia="zh-CN" w:bidi="ar"/>
        </w:rPr>
        <w:t xml:space="preserve"> </w:t>
      </w:r>
    </w:p>
    <w:p w14:paraId="234B682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部门整体综合评价得分98.5分。</w:t>
      </w:r>
    </w:p>
    <w:p w14:paraId="343982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（一）部门决算情况</w:t>
      </w:r>
    </w:p>
    <w:p w14:paraId="3016456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2023年部门预算收入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249.53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万元，其中：一般公共预算收入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249.53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万元。</w:t>
      </w:r>
    </w:p>
    <w:p w14:paraId="75981B6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2023年部门预算支出232.37万元。其中：基本支出232.37万元。</w:t>
      </w:r>
    </w:p>
    <w:p w14:paraId="49B3C1E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决算与预算差异情况：2023年决算总收入421.86万元，总支出421.86万元，其中：基本支出421.86万元。</w:t>
      </w:r>
    </w:p>
    <w:p w14:paraId="3BD26A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总体绩效目标完成情况分析</w:t>
      </w:r>
    </w:p>
    <w:p w14:paraId="74D4B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2023年，在县委、县政府的坚强领导下，在县财政局的精心指导下，紧紧围绕全县中心工作和省市县卫生工作会议确定的各项目标任务，按时完成各项指标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5CBCC48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" w:hAnsi="楷体" w:eastAsia="楷体" w:cs="楷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各项指标完成情况分析</w:t>
      </w:r>
    </w:p>
    <w:p w14:paraId="75C5D8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15"/>
          <w:rFonts w:hint="eastAsia" w:hAnsi="楷体"/>
          <w:lang w:val="en-US" w:eastAsia="zh-CN" w:bidi="ar"/>
        </w:rPr>
        <w:t>因申请拨款拨付不及时，延后了离岗人员补贴发放时效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，部门履职目标中的产出时效指标未能按时完成；其余指标全部完成。</w:t>
      </w:r>
    </w:p>
    <w:p w14:paraId="4F41F4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Style w:val="14"/>
          <w:lang w:val="en-US" w:eastAsia="zh-CN" w:bidi="ar"/>
        </w:rPr>
        <w:t>　　</w:t>
      </w:r>
      <w:r>
        <w:rPr>
          <w:rStyle w:val="14"/>
          <w:rFonts w:hint="eastAsia" w:ascii="楷体" w:hAnsi="楷体" w:eastAsia="楷体" w:cs="楷体"/>
          <w:b/>
          <w:bCs/>
          <w:lang w:val="en-US" w:eastAsia="zh-CN" w:bidi="ar"/>
        </w:rPr>
        <w:t>（四）偏离绩效目标的原因及下一步改进措施</w:t>
      </w:r>
    </w:p>
    <w:p w14:paraId="07A70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Style w:val="15"/>
          <w:rFonts w:hint="eastAsia" w:hAnsi="楷体"/>
          <w:lang w:val="en-US" w:eastAsia="zh-CN" w:bidi="ar"/>
        </w:rPr>
        <w:t>人员补贴资金在规定时间内发放率指标值100%，实际完成100%。</w:t>
      </w:r>
      <w:r>
        <w:rPr>
          <w:rFonts w:hint="eastAsia" w:ascii="仿宋_GB2312" w:hAnsi="仿宋_GB2312" w:eastAsia="仿宋_GB2312" w:cs="仿宋_GB2312"/>
          <w:sz w:val="32"/>
          <w:szCs w:val="32"/>
        </w:rPr>
        <w:t>下一步改进措施：一是继续加强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业务学习</w:t>
      </w:r>
      <w:r>
        <w:rPr>
          <w:rFonts w:hint="eastAsia" w:ascii="仿宋_GB2312" w:hAnsi="仿宋_GB2312" w:eastAsia="仿宋_GB2312" w:cs="仿宋_GB2312"/>
          <w:sz w:val="32"/>
          <w:szCs w:val="32"/>
        </w:rPr>
        <w:t>。认真学习中央、省、市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政策精神，吃透文件精神。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提高相关制度有效执行力</w:t>
      </w:r>
      <w:r>
        <w:rPr>
          <w:rFonts w:hint="eastAsia" w:ascii="仿宋_GB2312" w:hAnsi="仿宋_GB2312" w:eastAsia="仿宋_GB2312" w:cs="仿宋_GB2312"/>
          <w:sz w:val="32"/>
          <w:szCs w:val="32"/>
        </w:rPr>
        <w:t>；二是加强部门之间的协调配合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，认真做好各项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资金的管理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发放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工作，确保资金及时到位、专款专用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确保与绩效目标一致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1E827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3"/>
          <w:rFonts w:eastAsia="黑体"/>
          <w:lang w:val="en-US" w:eastAsia="zh-CN" w:bidi="ar"/>
        </w:rPr>
      </w:pPr>
      <w:r>
        <w:rPr>
          <w:rStyle w:val="12"/>
          <w:rFonts w:hint="eastAsia"/>
          <w:lang w:val="en-US" w:eastAsia="zh-CN" w:bidi="ar"/>
        </w:rPr>
        <w:t>五</w:t>
      </w:r>
      <w:r>
        <w:rPr>
          <w:rStyle w:val="12"/>
          <w:lang w:val="en-US" w:eastAsia="zh-CN" w:bidi="ar"/>
        </w:rPr>
        <w:t>、部门预算项目支出绩效自评情况分析</w:t>
      </w:r>
      <w:r>
        <w:rPr>
          <w:rStyle w:val="13"/>
          <w:rFonts w:eastAsia="黑体"/>
          <w:lang w:val="en-US" w:eastAsia="zh-CN" w:bidi="ar"/>
        </w:rPr>
        <w:t xml:space="preserve"> </w:t>
      </w:r>
    </w:p>
    <w:p w14:paraId="603D3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bidi="ar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2023年，本部门无预算支出项目。</w:t>
      </w:r>
      <w:bookmarkEnd w:id="0"/>
    </w:p>
    <w:p w14:paraId="5316FA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2"/>
          <w:lang w:val="en-US" w:eastAsia="zh-CN" w:bidi="ar"/>
        </w:rPr>
      </w:pPr>
      <w:r>
        <w:rPr>
          <w:rStyle w:val="12"/>
          <w:rFonts w:hint="eastAsia"/>
          <w:lang w:val="en-US" w:eastAsia="zh-CN" w:bidi="ar"/>
        </w:rPr>
        <w:t>六</w:t>
      </w:r>
      <w:r>
        <w:rPr>
          <w:rStyle w:val="12"/>
          <w:lang w:val="en-US" w:eastAsia="zh-CN" w:bidi="ar"/>
        </w:rPr>
        <w:t>、部门管理的省对市县转移支付绩效自评情况分析</w:t>
      </w:r>
    </w:p>
    <w:p w14:paraId="78C643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2023年，本单位无部门管理的省对市县转移支付。</w:t>
      </w:r>
    </w:p>
    <w:p w14:paraId="6DB614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七、绩效自评结果拟应用和公开情况</w:t>
      </w:r>
    </w:p>
    <w:p w14:paraId="0C928B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绩效评价结果应用，既是开展绩效评价工作的基本前提，又是加强财政支出管理、增强资金绩效理念、合理配置公共资源、优化财政支出结构、强化资金管理水平、提高资金使用效益的重要手段。为使绩效评价结果得到合理应用，将以此次绩效评价结果作为以后年度预算编制的重要依据。</w:t>
      </w:r>
    </w:p>
    <w:p w14:paraId="6EAC9A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八、其他需要说明的问题</w:t>
      </w:r>
    </w:p>
    <w:p w14:paraId="350F78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无。</w:t>
      </w:r>
    </w:p>
    <w:p w14:paraId="5A6DCB78">
      <w:pPr>
        <w:pStyle w:val="2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6B3B056">
      <w:pPr>
        <w:pStyle w:val="2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6E3C60A">
      <w:pPr>
        <w:pStyle w:val="2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247663E">
      <w:pPr>
        <w:keepNext w:val="0"/>
        <w:keepLines w:val="0"/>
        <w:pageBreakBefore w:val="0"/>
        <w:widowControl/>
        <w:tabs>
          <w:tab w:val="left" w:pos="23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3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            </w:t>
      </w:r>
    </w:p>
    <w:p w14:paraId="24422C84"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</w:rPr>
        <w:t>民乐县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永固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中心卫生院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  <w:u w:val="single"/>
        </w:rPr>
        <w:t>20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  <w:u w:val="single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u w:val="single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日印   </w:t>
      </w:r>
    </w:p>
    <w:sectPr>
      <w:headerReference r:id="rId3" w:type="default"/>
      <w:footerReference r:id="rId4" w:type="default"/>
      <w:pgSz w:w="11906" w:h="16838"/>
      <w:pgMar w:top="1610" w:right="1474" w:bottom="1610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5A1A59D-F746-4EE3-9B28-B46EBBDBD8F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3D0796A-C23C-4543-8306-DCF6EB0549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127F28E-7AC7-4B36-948B-A302C6AD2C1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195AA6A-5387-4114-85C6-838A7118BFB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BCFCA4FA-6F53-4B5B-8F6C-CC4B35FBEC5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E4A79EFE-7310-4CDA-B29C-0CE28577202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E82CDB4F-DB5B-4BD0-8ECF-F1753436A7ED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97D9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8A3493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8A3493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FDFC8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5F032A"/>
    <w:multiLevelType w:val="singleLevel"/>
    <w:tmpl w:val="3B5F032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jMTA1YzMxYjJkMDlkNzhlMWIxNWM0OTZlNjI1YmEifQ=="/>
  </w:docVars>
  <w:rsids>
    <w:rsidRoot w:val="37C67F62"/>
    <w:rsid w:val="00A8347F"/>
    <w:rsid w:val="0DC53701"/>
    <w:rsid w:val="0FFB215A"/>
    <w:rsid w:val="16504596"/>
    <w:rsid w:val="16D231FD"/>
    <w:rsid w:val="16FC0555"/>
    <w:rsid w:val="17F74351"/>
    <w:rsid w:val="18884C1A"/>
    <w:rsid w:val="189B48BF"/>
    <w:rsid w:val="18DB7ABA"/>
    <w:rsid w:val="1B0A464B"/>
    <w:rsid w:val="1B107B9F"/>
    <w:rsid w:val="1D1F17FB"/>
    <w:rsid w:val="1DC53ABB"/>
    <w:rsid w:val="1FB35566"/>
    <w:rsid w:val="21345939"/>
    <w:rsid w:val="233A0BA3"/>
    <w:rsid w:val="25592D3B"/>
    <w:rsid w:val="26D83139"/>
    <w:rsid w:val="28E03E9F"/>
    <w:rsid w:val="2AC86999"/>
    <w:rsid w:val="2AE70333"/>
    <w:rsid w:val="2B65068C"/>
    <w:rsid w:val="2B826EE9"/>
    <w:rsid w:val="2FE37DD1"/>
    <w:rsid w:val="32CB570C"/>
    <w:rsid w:val="33B70F37"/>
    <w:rsid w:val="34DB551B"/>
    <w:rsid w:val="37C67F62"/>
    <w:rsid w:val="38BD5663"/>
    <w:rsid w:val="39B36A66"/>
    <w:rsid w:val="3A1D1004"/>
    <w:rsid w:val="3A587133"/>
    <w:rsid w:val="3DE8273D"/>
    <w:rsid w:val="3EB46EC5"/>
    <w:rsid w:val="3ED23D8D"/>
    <w:rsid w:val="4010076E"/>
    <w:rsid w:val="416C35EE"/>
    <w:rsid w:val="42295B17"/>
    <w:rsid w:val="4380288B"/>
    <w:rsid w:val="45DC10F2"/>
    <w:rsid w:val="47057F6B"/>
    <w:rsid w:val="47B50706"/>
    <w:rsid w:val="481A7A35"/>
    <w:rsid w:val="4F912F4E"/>
    <w:rsid w:val="50AB794F"/>
    <w:rsid w:val="53045F0C"/>
    <w:rsid w:val="535266B3"/>
    <w:rsid w:val="53E65255"/>
    <w:rsid w:val="55837A42"/>
    <w:rsid w:val="59352B9C"/>
    <w:rsid w:val="59543849"/>
    <w:rsid w:val="59D800F7"/>
    <w:rsid w:val="5C7E3B7E"/>
    <w:rsid w:val="5D347D3A"/>
    <w:rsid w:val="60051F6E"/>
    <w:rsid w:val="63404148"/>
    <w:rsid w:val="6413668F"/>
    <w:rsid w:val="65640A91"/>
    <w:rsid w:val="66833198"/>
    <w:rsid w:val="66C84968"/>
    <w:rsid w:val="67472418"/>
    <w:rsid w:val="67CE0F1A"/>
    <w:rsid w:val="6B6B0477"/>
    <w:rsid w:val="6E602011"/>
    <w:rsid w:val="6F3A3E83"/>
    <w:rsid w:val="709B5B41"/>
    <w:rsid w:val="761276C9"/>
    <w:rsid w:val="76C84BF7"/>
    <w:rsid w:val="774502E9"/>
    <w:rsid w:val="793E4673"/>
    <w:rsid w:val="79E252AA"/>
    <w:rsid w:val="7BB96FE3"/>
    <w:rsid w:val="7BD96C0F"/>
    <w:rsid w:val="7E1E12D9"/>
    <w:rsid w:val="7ECC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3">
    <w:name w:val="index 5"/>
    <w:basedOn w:val="1"/>
    <w:next w:val="1"/>
    <w:qFormat/>
    <w:uiPriority w:val="99"/>
    <w:pPr>
      <w:ind w:left="16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unhideWhenUsed/>
    <w:qFormat/>
    <w:uiPriority w:val="99"/>
    <w:rPr>
      <w:rFonts w:hint="default"/>
      <w:b/>
      <w:sz w:val="24"/>
      <w:szCs w:val="24"/>
    </w:rPr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11">
    <w:name w:val="font01"/>
    <w:basedOn w:val="8"/>
    <w:qFormat/>
    <w:uiPriority w:val="0"/>
    <w:rPr>
      <w:rFonts w:ascii="仿宋_GB2312" w:eastAsia="仿宋_GB2312" w:cs="仿宋_GB2312"/>
      <w:color w:val="000000"/>
      <w:sz w:val="44"/>
      <w:szCs w:val="44"/>
      <w:u w:val="none"/>
    </w:rPr>
  </w:style>
  <w:style w:type="character" w:customStyle="1" w:styleId="12">
    <w:name w:val="font71"/>
    <w:basedOn w:val="8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13">
    <w:name w:val="font61"/>
    <w:basedOn w:val="8"/>
    <w:qFormat/>
    <w:uiPriority w:val="0"/>
    <w:rPr>
      <w:rFonts w:ascii="Arial" w:hAnsi="Arial" w:cs="Arial"/>
      <w:color w:val="000000"/>
      <w:sz w:val="32"/>
      <w:szCs w:val="32"/>
      <w:u w:val="none"/>
    </w:rPr>
  </w:style>
  <w:style w:type="character" w:customStyle="1" w:styleId="14">
    <w:name w:val="font31"/>
    <w:basedOn w:val="8"/>
    <w:qFormat/>
    <w:uiPriority w:val="0"/>
    <w:rPr>
      <w:rFonts w:hint="eastAsia" w:ascii="楷体" w:hAnsi="楷体" w:eastAsia="楷体" w:cs="楷体"/>
      <w:color w:val="000000"/>
      <w:sz w:val="32"/>
      <w:szCs w:val="32"/>
      <w:u w:val="none"/>
    </w:rPr>
  </w:style>
  <w:style w:type="character" w:customStyle="1" w:styleId="15">
    <w:name w:val="font51"/>
    <w:basedOn w:val="8"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2389</Words>
  <Characters>2544</Characters>
  <Lines>0</Lines>
  <Paragraphs>0</Paragraphs>
  <TotalTime>3</TotalTime>
  <ScaleCrop>false</ScaleCrop>
  <LinksUpToDate>false</LinksUpToDate>
  <CharactersWithSpaces>2885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2021-10-26T01:03:00Z</dcterms:created>
  <dc:creator>Administrator</dc:creator>
  <cp:lastModifiedBy>安晨</cp:lastModifiedBy>
  <cp:lastPrinted>2023-01-10T08:07:00Z</cp:lastPrinted>
  <dcterms:modified xsi:type="dcterms:W3CDTF">2024-09-24T01:51:47Z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4551DBD345D04C799B73D8441BCB5CDB_13</vt:lpwstr>
  </property>
</Properties>
</file>