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b/>
          <w:bCs/>
          <w:color w:val="000000"/>
          <w:spacing w:val="0"/>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spacing w:val="-6"/>
          <w:sz w:val="44"/>
          <w:szCs w:val="44"/>
          <w:u w:val="none"/>
          <w:lang w:val="en-US" w:eastAsia="zh-CN"/>
        </w:rPr>
      </w:pPr>
      <w:r>
        <w:rPr>
          <w:rFonts w:hint="eastAsia" w:ascii="方正小标宋简体" w:hAnsi="方正小标宋简体" w:eastAsia="方正小标宋简体" w:cs="方正小标宋简体"/>
          <w:b w:val="0"/>
          <w:bCs w:val="0"/>
          <w:color w:val="000000"/>
          <w:spacing w:val="-6"/>
          <w:sz w:val="44"/>
          <w:szCs w:val="44"/>
          <w:u w:val="none"/>
          <w:lang w:val="en-US" w:eastAsia="zh-CN"/>
        </w:rPr>
        <w:t>2023年城市公共绿地及西山森林公园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方正小标宋简体" w:hAnsi="方正小标宋简体" w:eastAsia="方正小标宋简体" w:cs="方正小标宋简体"/>
          <w:b w:val="0"/>
          <w:bCs w:val="0"/>
          <w:color w:val="000000"/>
          <w:spacing w:val="-6"/>
          <w:sz w:val="44"/>
          <w:szCs w:val="44"/>
          <w:u w:val="none"/>
          <w:lang w:val="en-US" w:eastAsia="zh-CN"/>
        </w:rPr>
      </w:pPr>
      <w:r>
        <w:rPr>
          <w:rFonts w:hint="eastAsia" w:ascii="方正小标宋简体" w:hAnsi="方正小标宋简体" w:eastAsia="方正小标宋简体" w:cs="方正小标宋简体"/>
          <w:b w:val="0"/>
          <w:bCs w:val="0"/>
          <w:color w:val="000000"/>
          <w:spacing w:val="-6"/>
          <w:sz w:val="44"/>
          <w:szCs w:val="44"/>
          <w:u w:val="none"/>
          <w:lang w:val="en-US" w:eastAsia="zh-CN"/>
        </w:rPr>
        <w:t>养护抚育项目绩效评价报告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方正小标宋简体" w:hAnsi="方正小标宋简体" w:eastAsia="方正小标宋简体" w:cs="方正小标宋简体"/>
          <w:b/>
          <w:bCs/>
          <w:color w:val="000000"/>
          <w:spacing w:val="0"/>
          <w:sz w:val="44"/>
          <w:szCs w:val="44"/>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仿宋_GB2312" w:hAnsi="仿宋_GB2312" w:eastAsia="仿宋_GB2312" w:cs="仿宋_GB2312"/>
          <w:b w:val="0"/>
          <w:bCs w:val="0"/>
          <w:color w:val="000000"/>
          <w:spacing w:val="0"/>
          <w:sz w:val="32"/>
          <w:szCs w:val="32"/>
          <w:u w:val="none"/>
          <w:lang w:val="en-US" w:eastAsia="zh-CN"/>
        </w:rPr>
        <w:t>为进一步加强绩效管理水平，强化支出责任，提升财政资金使用效益，建立科学、合理的财政支出绩效评价管理体系，根据《民乐县财政局关于开展开展部门评价工作的通知》（民财监评〔2024〕17号）文件精神，运用科学、合理的评价方法对单位申报项目预算时明确的绩效指标完成情况进行客观、公正的评价。现将</w:t>
      </w:r>
      <w:r>
        <w:rPr>
          <w:rFonts w:hint="eastAsia" w:eastAsia="仿宋_GB2312" w:cs="Times New Roman"/>
          <w:b w:val="0"/>
          <w:bCs w:val="0"/>
          <w:color w:val="000000"/>
          <w:spacing w:val="0"/>
          <w:sz w:val="32"/>
          <w:szCs w:val="32"/>
          <w:u w:val="none"/>
          <w:lang w:val="en-US" w:eastAsia="zh-CN"/>
        </w:rPr>
        <w:t>2023年城市公共绿地及西山森林公园养护抚育项目</w:t>
      </w:r>
      <w:r>
        <w:rPr>
          <w:rFonts w:hint="eastAsia" w:ascii="仿宋_GB2312" w:hAnsi="仿宋_GB2312" w:eastAsia="仿宋_GB2312" w:cs="仿宋_GB2312"/>
          <w:b w:val="0"/>
          <w:bCs w:val="0"/>
          <w:color w:val="000000"/>
          <w:spacing w:val="0"/>
          <w:sz w:val="32"/>
          <w:szCs w:val="32"/>
          <w:u w:val="none"/>
          <w:lang w:val="en-US" w:eastAsia="zh-CN"/>
        </w:rPr>
        <w:t>评价情况汇报如下：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一、基本情况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（一）</w:t>
      </w:r>
      <w:r>
        <w:rPr>
          <w:rFonts w:hint="default" w:ascii="Times New Roman" w:hAnsi="Times New Roman" w:eastAsia="楷体_GB2312" w:cs="楷体_GB2312"/>
          <w:b/>
          <w:bCs/>
          <w:color w:val="000000"/>
          <w:spacing w:val="0"/>
          <w:sz w:val="32"/>
          <w:szCs w:val="32"/>
          <w:u w:val="none"/>
          <w:lang w:val="en-US" w:eastAsia="zh-CN"/>
        </w:rPr>
        <w:t>项目概况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仿宋_GB2312" w:cs="仿宋_GB2312"/>
          <w:b/>
          <w:bCs/>
          <w:color w:val="000000"/>
          <w:spacing w:val="0"/>
          <w:sz w:val="32"/>
          <w:szCs w:val="32"/>
          <w:u w:val="none"/>
          <w:lang w:val="en-US" w:eastAsia="zh-CN"/>
        </w:rPr>
      </w:pPr>
      <w:r>
        <w:rPr>
          <w:rFonts w:hint="eastAsia" w:ascii="Times New Roman" w:hAnsi="Times New Roman" w:eastAsia="仿宋_GB2312" w:cs="仿宋_GB2312"/>
          <w:b/>
          <w:bCs/>
          <w:color w:val="000000"/>
          <w:spacing w:val="0"/>
          <w:sz w:val="32"/>
          <w:szCs w:val="32"/>
          <w:u w:val="none"/>
          <w:lang w:val="en-US" w:eastAsia="zh-CN"/>
        </w:rPr>
        <w:t>1</w:t>
      </w:r>
      <w:r>
        <w:rPr>
          <w:rFonts w:hint="eastAsia" w:eastAsia="仿宋_GB2312" w:cs="仿宋_GB2312"/>
          <w:b/>
          <w:bCs/>
          <w:color w:val="000000"/>
          <w:spacing w:val="0"/>
          <w:sz w:val="32"/>
          <w:szCs w:val="32"/>
          <w:u w:val="none"/>
          <w:lang w:val="en-US" w:eastAsia="zh-CN"/>
        </w:rPr>
        <w:t>.</w:t>
      </w:r>
      <w:r>
        <w:rPr>
          <w:rFonts w:hint="eastAsia" w:ascii="Times New Roman" w:hAnsi="Times New Roman" w:eastAsia="仿宋_GB2312" w:cs="仿宋_GB2312"/>
          <w:b/>
          <w:bCs/>
          <w:color w:val="000000"/>
          <w:spacing w:val="0"/>
          <w:sz w:val="32"/>
          <w:szCs w:val="32"/>
          <w:u w:val="none"/>
          <w:lang w:val="en-US" w:eastAsia="zh-CN"/>
        </w:rPr>
        <w:t>项目背景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城市园林绿化作为城市具有生命的基础设施,以丰富的园林植物，完整的绿地系统，优美的景观和完备的设施发挥改善城市生态，美化城市环境的作用，同时它还是城市生态系统的一部分，在保持整个城市的生态平衡方面有着积极作用，是城市建设的重要组成部分。2018年，民乐县人民政府第40次常务会议研究通过《民乐县创建国家园林县城实施方案》，确定的工作目标为：持续巩固“省级园林县城”创建成果，不断强化城市综合管理、绿地建设、建设管控、生态环境、市政设施、节能减排等各项软件指标建设，确保城市建成区绿地率达到33%以上，人均公园绿地面积达到9㎡以上，城市公园绿地服务半径覆盖率达到80%以上，城市污水处理率达到95%以上，城市生活垃圾无害化处理率达100%，“五项”硬件指标达到国家园林县城标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eastAsia" w:eastAsia="仿宋_GB2312" w:cs="仿宋_GB2312"/>
          <w:b/>
          <w:bCs/>
          <w:color w:val="000000"/>
          <w:spacing w:val="0"/>
          <w:sz w:val="32"/>
          <w:szCs w:val="32"/>
          <w:u w:val="none"/>
          <w:lang w:val="en-US" w:eastAsia="zh-CN"/>
        </w:rPr>
        <w:t>2.</w:t>
      </w:r>
      <w:r>
        <w:rPr>
          <w:rFonts w:hint="default" w:ascii="Times New Roman" w:hAnsi="Times New Roman" w:eastAsia="仿宋_GB2312" w:cs="仿宋_GB2312"/>
          <w:b/>
          <w:bCs/>
          <w:color w:val="000000"/>
          <w:spacing w:val="0"/>
          <w:sz w:val="32"/>
          <w:szCs w:val="32"/>
          <w:u w:val="none"/>
          <w:lang w:val="en-US" w:eastAsia="zh-CN"/>
        </w:rPr>
        <w:t>项目实施情况</w:t>
      </w:r>
    </w:p>
    <w:p>
      <w:pPr>
        <w:ind w:firstLine="600"/>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县园林绿化局根据民乐县发展和改革局关于民乐县2023年城市公共绿地及西山森林公园养护抚育项目实施方案的批复，完成了</w:t>
      </w:r>
      <w:r>
        <w:rPr>
          <w:rFonts w:hint="eastAsia" w:ascii="Times New Roman" w:hAnsi="Times New Roman" w:eastAsia="仿宋_GB2312" w:cs="Times New Roman"/>
          <w:bCs/>
          <w:spacing w:val="0"/>
          <w:kern w:val="0"/>
          <w:sz w:val="32"/>
          <w:szCs w:val="32"/>
          <w:highlight w:val="none"/>
          <w:lang w:val="en-US" w:eastAsia="zh-CN" w:bidi="ar-SA"/>
        </w:rPr>
        <w:t>东至民乐县高铁站；南至祁连山路；西靠洪水河流域；北至迎宾大道以及城区的北区生态园、民乐公园、城东公园、文化公园等城市公园、街头绿地及城市七纵八横道路等，养护面积2845亩，西山森林公园4710亩生态绿地的日常养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eastAsia" w:eastAsia="仿宋_GB2312" w:cs="仿宋_GB2312"/>
          <w:b/>
          <w:bCs/>
          <w:color w:val="000000"/>
          <w:spacing w:val="0"/>
          <w:sz w:val="32"/>
          <w:szCs w:val="32"/>
          <w:u w:val="none"/>
          <w:lang w:val="en-US" w:eastAsia="zh-CN"/>
        </w:rPr>
        <w:t>3.</w:t>
      </w:r>
      <w:r>
        <w:rPr>
          <w:rFonts w:hint="default" w:ascii="Times New Roman" w:hAnsi="Times New Roman" w:eastAsia="仿宋_GB2312" w:cs="仿宋_GB2312"/>
          <w:b/>
          <w:bCs/>
          <w:color w:val="000000"/>
          <w:spacing w:val="0"/>
          <w:sz w:val="32"/>
          <w:szCs w:val="32"/>
          <w:u w:val="none"/>
          <w:lang w:val="en-US" w:eastAsia="zh-CN"/>
        </w:rPr>
        <w:t>项目资金投入和使用情况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2023年城市公共绿地及西山森林公园养护抚育项目</w:t>
      </w:r>
      <w:r>
        <w:rPr>
          <w:rFonts w:hint="default" w:ascii="Times New Roman" w:hAnsi="Times New Roman" w:eastAsia="仿宋_GB2312" w:cs="Times New Roman"/>
          <w:b w:val="0"/>
          <w:bCs w:val="0"/>
          <w:color w:val="000000"/>
          <w:spacing w:val="0"/>
          <w:sz w:val="32"/>
          <w:szCs w:val="32"/>
          <w:u w:val="none"/>
          <w:lang w:val="en-US" w:eastAsia="zh-CN"/>
        </w:rPr>
        <w:t>预算安排数</w:t>
      </w:r>
      <w:r>
        <w:rPr>
          <w:rFonts w:hint="eastAsia" w:eastAsia="仿宋_GB2312" w:cs="Times New Roman"/>
          <w:b w:val="0"/>
          <w:bCs w:val="0"/>
          <w:color w:val="000000"/>
          <w:spacing w:val="0"/>
          <w:sz w:val="32"/>
          <w:szCs w:val="32"/>
          <w:u w:val="none"/>
          <w:lang w:val="en-US" w:eastAsia="zh-CN"/>
        </w:rPr>
        <w:t>550</w:t>
      </w:r>
      <w:r>
        <w:rPr>
          <w:rFonts w:hint="default" w:ascii="Times New Roman" w:hAnsi="Times New Roman" w:eastAsia="仿宋_GB2312" w:cs="Times New Roman"/>
          <w:b w:val="0"/>
          <w:bCs w:val="0"/>
          <w:color w:val="000000"/>
          <w:spacing w:val="0"/>
          <w:sz w:val="32"/>
          <w:szCs w:val="32"/>
          <w:u w:val="none"/>
          <w:lang w:val="en-US" w:eastAsia="zh-CN"/>
        </w:rPr>
        <w:t>万元，项目资金于</w:t>
      </w:r>
      <w:r>
        <w:rPr>
          <w:rFonts w:hint="eastAsia" w:eastAsia="仿宋_GB2312" w:cs="Times New Roman"/>
          <w:b w:val="0"/>
          <w:bCs w:val="0"/>
          <w:color w:val="000000"/>
          <w:spacing w:val="0"/>
          <w:sz w:val="32"/>
          <w:szCs w:val="32"/>
          <w:u w:val="none"/>
          <w:lang w:val="en-US" w:eastAsia="zh-CN"/>
        </w:rPr>
        <w:t>2023</w:t>
      </w:r>
      <w:r>
        <w:rPr>
          <w:rFonts w:hint="default" w:ascii="Times New Roman" w:hAnsi="Times New Roman" w:eastAsia="仿宋_GB2312" w:cs="Times New Roman"/>
          <w:b w:val="0"/>
          <w:bCs w:val="0"/>
          <w:color w:val="000000"/>
          <w:spacing w:val="0"/>
          <w:sz w:val="32"/>
          <w:szCs w:val="32"/>
          <w:u w:val="none"/>
          <w:lang w:val="en-US" w:eastAsia="zh-CN"/>
        </w:rPr>
        <w:t>年度全部到位。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2023年城市公共绿地及西山森林公园养护抚育项目</w:t>
      </w:r>
      <w:r>
        <w:rPr>
          <w:rFonts w:hint="default" w:ascii="Times New Roman" w:hAnsi="Times New Roman" w:eastAsia="仿宋_GB2312" w:cs="Times New Roman"/>
          <w:b w:val="0"/>
          <w:bCs w:val="0"/>
          <w:color w:val="000000"/>
          <w:spacing w:val="0"/>
          <w:sz w:val="32"/>
          <w:szCs w:val="32"/>
          <w:u w:val="none"/>
          <w:lang w:val="en-US" w:eastAsia="zh-CN"/>
        </w:rPr>
        <w:t>支出</w:t>
      </w:r>
      <w:r>
        <w:rPr>
          <w:rFonts w:hint="eastAsia" w:eastAsia="仿宋_GB2312" w:cs="Times New Roman"/>
          <w:b w:val="0"/>
          <w:bCs w:val="0"/>
          <w:color w:val="000000"/>
          <w:spacing w:val="0"/>
          <w:sz w:val="32"/>
          <w:szCs w:val="32"/>
          <w:u w:val="none"/>
          <w:lang w:val="en-US" w:eastAsia="zh-CN"/>
        </w:rPr>
        <w:t>168.65</w:t>
      </w:r>
      <w:r>
        <w:rPr>
          <w:rFonts w:hint="default" w:ascii="Times New Roman" w:hAnsi="Times New Roman" w:eastAsia="仿宋_GB2312" w:cs="Times New Roman"/>
          <w:b w:val="0"/>
          <w:bCs w:val="0"/>
          <w:color w:val="000000"/>
          <w:spacing w:val="0"/>
          <w:sz w:val="32"/>
          <w:szCs w:val="32"/>
          <w:u w:val="none"/>
          <w:lang w:val="en-US" w:eastAsia="zh-CN"/>
        </w:rPr>
        <w:t>万元。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（二）</w:t>
      </w:r>
      <w:r>
        <w:rPr>
          <w:rFonts w:hint="default" w:ascii="Times New Roman" w:hAnsi="Times New Roman" w:eastAsia="楷体_GB2312" w:cs="楷体_GB2312"/>
          <w:b/>
          <w:bCs/>
          <w:color w:val="000000"/>
          <w:spacing w:val="0"/>
          <w:sz w:val="32"/>
          <w:szCs w:val="32"/>
          <w:u w:val="none"/>
          <w:lang w:val="en-US" w:eastAsia="zh-CN"/>
        </w:rPr>
        <w:t>项目绩效目标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w:t>
      </w:r>
      <w:r>
        <w:rPr>
          <w:rFonts w:hint="eastAsia" w:eastAsia="仿宋_GB2312" w:cs="仿宋_GB2312"/>
          <w:b/>
          <w:bCs/>
          <w:color w:val="000000"/>
          <w:spacing w:val="0"/>
          <w:sz w:val="32"/>
          <w:szCs w:val="32"/>
          <w:u w:val="none"/>
          <w:lang w:val="en-US" w:eastAsia="zh-CN"/>
        </w:rPr>
        <w:t>.</w:t>
      </w:r>
      <w:r>
        <w:rPr>
          <w:rFonts w:hint="default" w:ascii="Times New Roman" w:hAnsi="Times New Roman" w:eastAsia="仿宋_GB2312" w:cs="仿宋_GB2312"/>
          <w:b/>
          <w:bCs/>
          <w:color w:val="000000"/>
          <w:spacing w:val="0"/>
          <w:sz w:val="32"/>
          <w:szCs w:val="32"/>
          <w:u w:val="none"/>
          <w:lang w:val="en-US" w:eastAsia="zh-CN"/>
        </w:rPr>
        <w:t>总体目标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仿宋_GB2312" w:cs="Times New Roman"/>
          <w:bCs/>
          <w:spacing w:val="0"/>
          <w:kern w:val="0"/>
          <w:sz w:val="32"/>
          <w:szCs w:val="32"/>
          <w:highlight w:val="none"/>
          <w:lang w:val="en-US" w:eastAsia="zh-CN" w:bidi="ar-SA"/>
        </w:rPr>
      </w:pPr>
      <w:r>
        <w:rPr>
          <w:rFonts w:hint="eastAsia" w:ascii="仿宋_GB2312" w:hAnsi="仿宋_GB2312" w:eastAsia="仿宋_GB2312" w:cs="仿宋_GB2312"/>
          <w:sz w:val="32"/>
          <w:szCs w:val="32"/>
          <w:highlight w:val="none"/>
          <w:lang w:eastAsia="zh-CN"/>
        </w:rPr>
        <w:t>巩固造林绿化成果，</w:t>
      </w:r>
      <w:r>
        <w:rPr>
          <w:rFonts w:hint="eastAsia" w:ascii="仿宋_GB2312" w:hAnsi="仿宋_GB2312" w:eastAsia="仿宋_GB2312" w:cs="仿宋_GB2312"/>
          <w:sz w:val="32"/>
          <w:szCs w:val="32"/>
          <w:highlight w:val="none"/>
        </w:rPr>
        <w:t>优化</w:t>
      </w:r>
      <w:r>
        <w:rPr>
          <w:rFonts w:hint="eastAsia" w:ascii="仿宋_GB2312" w:hAnsi="仿宋_GB2312" w:eastAsia="仿宋_GB2312" w:cs="仿宋_GB2312"/>
          <w:sz w:val="32"/>
          <w:szCs w:val="32"/>
          <w:highlight w:val="none"/>
          <w:lang w:eastAsia="zh-CN"/>
        </w:rPr>
        <w:t>区域生态环境</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促进</w:t>
      </w:r>
      <w:r>
        <w:rPr>
          <w:rFonts w:hint="eastAsia" w:ascii="仿宋_GB2312" w:hAnsi="仿宋_GB2312" w:eastAsia="仿宋_GB2312" w:cs="仿宋_GB2312"/>
          <w:sz w:val="32"/>
          <w:szCs w:val="32"/>
          <w:highlight w:val="none"/>
        </w:rPr>
        <w:t>生态</w:t>
      </w:r>
      <w:r>
        <w:rPr>
          <w:rFonts w:hint="eastAsia" w:ascii="仿宋_GB2312" w:hAnsi="仿宋_GB2312" w:eastAsia="仿宋_GB2312" w:cs="仿宋_GB2312"/>
          <w:sz w:val="32"/>
          <w:szCs w:val="32"/>
          <w:highlight w:val="none"/>
          <w:lang w:eastAsia="zh-CN"/>
        </w:rPr>
        <w:t>文明建设，保障城区公共绿地</w:t>
      </w:r>
      <w:r>
        <w:rPr>
          <w:rFonts w:hint="eastAsia" w:ascii="Times New Roman" w:hAnsi="Times New Roman" w:eastAsia="仿宋_GB2312" w:cs="Times New Roman"/>
          <w:bCs/>
          <w:spacing w:val="0"/>
          <w:kern w:val="0"/>
          <w:sz w:val="32"/>
          <w:szCs w:val="32"/>
          <w:highlight w:val="none"/>
          <w:lang w:val="en-US" w:eastAsia="zh-CN" w:bidi="ar-SA"/>
        </w:rPr>
        <w:t>2845亩和西山森林公园4710亩生态绿地的日常养护。</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w:t>
      </w:r>
      <w:r>
        <w:rPr>
          <w:rFonts w:hint="eastAsia" w:eastAsia="仿宋_GB2312" w:cs="仿宋_GB2312"/>
          <w:b/>
          <w:bCs/>
          <w:color w:val="000000"/>
          <w:spacing w:val="0"/>
          <w:sz w:val="32"/>
          <w:szCs w:val="32"/>
          <w:u w:val="none"/>
          <w:lang w:val="en-US" w:eastAsia="zh-CN"/>
        </w:rPr>
        <w:t>.</w:t>
      </w:r>
      <w:r>
        <w:rPr>
          <w:rFonts w:hint="default" w:ascii="Times New Roman" w:hAnsi="Times New Roman" w:eastAsia="仿宋_GB2312" w:cs="仿宋_GB2312"/>
          <w:b/>
          <w:bCs/>
          <w:color w:val="000000"/>
          <w:spacing w:val="0"/>
          <w:sz w:val="32"/>
          <w:szCs w:val="32"/>
          <w:u w:val="none"/>
          <w:lang w:val="en-US" w:eastAsia="zh-CN"/>
        </w:rPr>
        <w:t>阶段性目标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Times New Roman" w:hAnsi="Times New Roman" w:eastAsia="仿宋_GB2312" w:cs="Times New Roman"/>
          <w:bCs/>
          <w:spacing w:val="0"/>
          <w:kern w:val="0"/>
          <w:sz w:val="32"/>
          <w:szCs w:val="32"/>
          <w:highlight w:val="none"/>
          <w:lang w:val="en-US" w:eastAsia="zh-CN" w:bidi="ar-SA"/>
        </w:rPr>
      </w:pPr>
      <w:r>
        <w:rPr>
          <w:rFonts w:hint="eastAsia" w:ascii="仿宋_GB2312" w:hAnsi="仿宋_GB2312" w:eastAsia="仿宋_GB2312" w:cs="仿宋_GB2312"/>
          <w:sz w:val="32"/>
          <w:szCs w:val="32"/>
          <w:highlight w:val="none"/>
          <w:lang w:eastAsia="zh-CN"/>
        </w:rPr>
        <w:t>开展城区公共绿地</w:t>
      </w:r>
      <w:r>
        <w:rPr>
          <w:rFonts w:hint="eastAsia" w:ascii="Times New Roman" w:hAnsi="Times New Roman" w:eastAsia="仿宋_GB2312" w:cs="Times New Roman"/>
          <w:bCs/>
          <w:spacing w:val="0"/>
          <w:kern w:val="0"/>
          <w:sz w:val="32"/>
          <w:szCs w:val="32"/>
          <w:highlight w:val="none"/>
          <w:lang w:val="en-US" w:eastAsia="zh-CN" w:bidi="ar-SA"/>
        </w:rPr>
        <w:t>2845亩和西山森林公园4710亩生态绿地的日常养护，</w:t>
      </w:r>
      <w:r>
        <w:rPr>
          <w:rFonts w:hint="eastAsia" w:ascii="仿宋_GB2312" w:hAnsi="仿宋_GB2312" w:eastAsia="仿宋_GB2312" w:cs="Times New Roman"/>
          <w:kern w:val="2"/>
          <w:sz w:val="32"/>
          <w:szCs w:val="24"/>
          <w:lang w:val="en-US" w:eastAsia="zh-CN" w:bidi="ar-SA"/>
        </w:rPr>
        <w:t>确保养护树木正常生长，</w:t>
      </w:r>
      <w:r>
        <w:rPr>
          <w:rFonts w:hint="eastAsia" w:ascii="Times New Roman" w:hAnsi="Times New Roman" w:eastAsia="仿宋_GB2312" w:cs="Times New Roman"/>
          <w:bCs/>
          <w:spacing w:val="0"/>
          <w:kern w:val="0"/>
          <w:sz w:val="32"/>
          <w:szCs w:val="32"/>
          <w:highlight w:val="none"/>
          <w:lang w:val="en-US" w:eastAsia="zh-CN" w:bidi="ar-SA"/>
        </w:rPr>
        <w:t>提升城市绿化水平。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二、绩效评价工作开展情况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（一）</w:t>
      </w:r>
      <w:r>
        <w:rPr>
          <w:rFonts w:hint="default" w:ascii="Times New Roman" w:hAnsi="Times New Roman" w:eastAsia="楷体_GB2312" w:cs="楷体_GB2312"/>
          <w:b/>
          <w:bCs/>
          <w:color w:val="000000"/>
          <w:spacing w:val="0"/>
          <w:sz w:val="32"/>
          <w:szCs w:val="32"/>
          <w:u w:val="none"/>
          <w:lang w:val="en-US" w:eastAsia="zh-CN"/>
        </w:rPr>
        <w:t>绩效评价目的、对象和范围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仿宋_GB2312" w:cs="仿宋_GB2312"/>
          <w:b/>
          <w:bCs/>
          <w:color w:val="000000"/>
          <w:spacing w:val="0"/>
          <w:sz w:val="32"/>
          <w:szCs w:val="32"/>
          <w:u w:val="none"/>
          <w:lang w:val="en-US" w:eastAsia="zh-CN"/>
        </w:rPr>
      </w:pPr>
      <w:r>
        <w:rPr>
          <w:rFonts w:hint="eastAsia" w:ascii="Times New Roman" w:hAnsi="Times New Roman" w:eastAsia="仿宋_GB2312" w:cs="仿宋_GB2312"/>
          <w:b/>
          <w:bCs/>
          <w:color w:val="000000"/>
          <w:spacing w:val="0"/>
          <w:sz w:val="32"/>
          <w:szCs w:val="32"/>
          <w:u w:val="none"/>
          <w:lang w:val="en-US" w:eastAsia="zh-CN"/>
        </w:rPr>
        <w:t>1、绩效评价目的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根据上级部门的工作部署和要求，运用科学、规范的绩效评价方法，客观、公正地对202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城市公共绿地及西山森林公园养护抚育</w:t>
      </w:r>
      <w:r>
        <w:rPr>
          <w:rFonts w:hint="default" w:ascii="Times New Roman" w:hAnsi="Times New Roman" w:eastAsia="仿宋_GB2312" w:cs="Times New Roman"/>
          <w:b w:val="0"/>
          <w:bCs w:val="0"/>
          <w:color w:val="000000"/>
          <w:spacing w:val="0"/>
          <w:sz w:val="32"/>
          <w:szCs w:val="32"/>
          <w:u w:val="none"/>
          <w:lang w:val="en-US" w:eastAsia="zh-CN"/>
        </w:rPr>
        <w:t>项目支出进行评价，以反映项目资金的绩效，通过绩效评价，树立绩效管理理念，做好预算绩效管理，提高财政资金效益。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2、绩效评价对象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本次项目绩效评价对象是</w:t>
      </w:r>
      <w:r>
        <w:rPr>
          <w:rFonts w:hint="eastAsia" w:eastAsia="仿宋_GB2312" w:cs="Times New Roman"/>
          <w:b w:val="0"/>
          <w:bCs w:val="0"/>
          <w:color w:val="000000"/>
          <w:spacing w:val="0"/>
          <w:sz w:val="32"/>
          <w:szCs w:val="32"/>
          <w:u w:val="none"/>
          <w:lang w:val="en-US" w:eastAsia="zh-CN"/>
        </w:rPr>
        <w:t>民乐县园林绿化局</w:t>
      </w:r>
      <w:r>
        <w:rPr>
          <w:rFonts w:hint="default" w:ascii="Times New Roman" w:hAnsi="Times New Roman" w:eastAsia="仿宋_GB2312" w:cs="Times New Roman"/>
          <w:b w:val="0"/>
          <w:bCs w:val="0"/>
          <w:color w:val="000000"/>
          <w:spacing w:val="0"/>
          <w:sz w:val="32"/>
          <w:szCs w:val="32"/>
          <w:u w:val="none"/>
          <w:lang w:val="en-US" w:eastAsia="zh-CN"/>
        </w:rPr>
        <w:t>预算管理的财政性资金——</w:t>
      </w:r>
      <w:r>
        <w:rPr>
          <w:rFonts w:hint="eastAsia" w:eastAsia="仿宋_GB2312" w:cs="Times New Roman"/>
          <w:b w:val="0"/>
          <w:bCs w:val="0"/>
          <w:color w:val="000000"/>
          <w:spacing w:val="0"/>
          <w:sz w:val="32"/>
          <w:szCs w:val="32"/>
          <w:u w:val="none"/>
          <w:lang w:val="en-US" w:eastAsia="zh-CN"/>
        </w:rPr>
        <w:t>2023年绿化养护费</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3、绩效评价范围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本次绩效评价范围为202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年度财政拨付的</w:t>
      </w:r>
      <w:r>
        <w:rPr>
          <w:rFonts w:hint="eastAsia" w:eastAsia="仿宋_GB2312" w:cs="Times New Roman"/>
          <w:b w:val="0"/>
          <w:bCs w:val="0"/>
          <w:color w:val="000000"/>
          <w:spacing w:val="0"/>
          <w:sz w:val="32"/>
          <w:szCs w:val="32"/>
          <w:u w:val="none"/>
          <w:lang w:val="en-US" w:eastAsia="zh-CN"/>
        </w:rPr>
        <w:t>绿化养护费</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（二）</w:t>
      </w:r>
      <w:r>
        <w:rPr>
          <w:rFonts w:hint="default" w:ascii="Times New Roman" w:hAnsi="Times New Roman" w:eastAsia="楷体_GB2312" w:cs="楷体_GB2312"/>
          <w:b/>
          <w:bCs/>
          <w:color w:val="000000"/>
          <w:spacing w:val="0"/>
          <w:sz w:val="32"/>
          <w:szCs w:val="32"/>
          <w:u w:val="none"/>
          <w:lang w:val="en-US" w:eastAsia="zh-CN"/>
        </w:rPr>
        <w:t>绩效评价原则、评价指标体系</w:t>
      </w:r>
      <w:r>
        <w:rPr>
          <w:rFonts w:hint="eastAsia" w:ascii="Times New Roman" w:hAnsi="Times New Roman" w:eastAsia="楷体_GB2312" w:cs="楷体_GB2312"/>
          <w:b/>
          <w:bCs/>
          <w:color w:val="000000"/>
          <w:spacing w:val="0"/>
          <w:sz w:val="32"/>
          <w:szCs w:val="32"/>
          <w:u w:val="none"/>
          <w:lang w:val="en-US" w:eastAsia="zh-CN"/>
        </w:rPr>
        <w:t>（</w:t>
      </w:r>
      <w:r>
        <w:rPr>
          <w:rFonts w:hint="default" w:ascii="Times New Roman" w:hAnsi="Times New Roman" w:eastAsia="楷体_GB2312" w:cs="楷体_GB2312"/>
          <w:b/>
          <w:bCs/>
          <w:color w:val="000000"/>
          <w:spacing w:val="0"/>
          <w:sz w:val="32"/>
          <w:szCs w:val="32"/>
          <w:u w:val="none"/>
          <w:lang w:val="en-US" w:eastAsia="zh-CN"/>
        </w:rPr>
        <w:t>附表说明</w:t>
      </w:r>
      <w:r>
        <w:rPr>
          <w:rFonts w:hint="eastAsia" w:ascii="Times New Roman" w:hAnsi="Times New Roman" w:eastAsia="楷体_GB2312" w:cs="楷体_GB2312"/>
          <w:b/>
          <w:bCs/>
          <w:color w:val="000000"/>
          <w:spacing w:val="0"/>
          <w:sz w:val="32"/>
          <w:szCs w:val="32"/>
          <w:u w:val="none"/>
          <w:lang w:val="en-US" w:eastAsia="zh-CN"/>
        </w:rPr>
        <w:t>）</w:t>
      </w:r>
      <w:r>
        <w:rPr>
          <w:rFonts w:hint="default" w:ascii="Times New Roman" w:hAnsi="Times New Roman" w:eastAsia="楷体_GB2312" w:cs="楷体_GB2312"/>
          <w:b/>
          <w:bCs/>
          <w:color w:val="000000"/>
          <w:spacing w:val="0"/>
          <w:sz w:val="32"/>
          <w:szCs w:val="32"/>
          <w:u w:val="none"/>
          <w:lang w:val="en-US" w:eastAsia="zh-CN"/>
        </w:rPr>
        <w:t>、评价方法、评价标准等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1、绩效评价原则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1</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科学规范原则。绩效评价应当严格执行规定的程序，按照科学可行的要求，采用定量与定性分析相结合的方法。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公开公正原则。绩效评价应当符合真实、客观、公正的要求，依法公开并接受监督。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3</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绩效相关原则。绩效评价应当针对具体支出及其产出绩效进行，评价结果应当清晰反映支出与产出绩效之间的紧密对应关系。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2、评价指标体系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绩效评价指标体系包括决策指标、过程指标、产出指标及效益指标四个部分，具体评价指标体系见《项目支出绩效评分表》。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3、评价方法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本项目采用定量与定性相结合的比较法，总分由各项指标得分汇总形成。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1</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定量指标评定方法：与年初指标值相比，完成指标值的，记该指标所赋全部分值；对完成值高于指标值较多的，要分析原因，如果是由于年初指标值设定明显偏低造成的，要按照偏高适度调减分值；未完成指标值的，按照完成值与指标值的比例记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定性指标评定方法：根据指标完成情况分为达成年度指标、部分达成年度指标并具有一定效果、未达成年度指标且效果较差三档，分别按照该指标对应分值区间100%-80%</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含</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、80%-60%</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含</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、60%-0%合理确定分值。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（三）</w:t>
      </w:r>
      <w:r>
        <w:rPr>
          <w:rFonts w:hint="default" w:ascii="Times New Roman" w:hAnsi="Times New Roman" w:eastAsia="楷体_GB2312" w:cs="楷体_GB2312"/>
          <w:b/>
          <w:bCs/>
          <w:color w:val="000000"/>
          <w:spacing w:val="0"/>
          <w:sz w:val="32"/>
          <w:szCs w:val="32"/>
          <w:u w:val="none"/>
          <w:lang w:val="en-US" w:eastAsia="zh-CN"/>
        </w:rPr>
        <w:t>绩效评价工作过程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1、前期准备：下发通知，单位自评。绩效评价小组开展调查研究、分析讨论并形成绩效评价工作方案，为后期的数据获取做了充分的准备。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2、组织实施：通过座谈、到实地核查等方式了解项目实施情况，整理项目相关资料，设计绩效评价指标体系。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3、分析评价：整理分析获取的基础数据等资料，依据制定的评价标准进行评价指标打分，根据结果提出建议并完成绩效评价报告。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三、综合评价情况及评价结论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本次绩效评价遵循科学规范、公开公正、绩效相关的原则，重点评价项目资金投入、项目组织管理、项目产出效果和效益、项目持续影响力以及社会综合评价等五方面，得出202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城市公共绿地及西山森林公园养护抚育</w:t>
      </w:r>
      <w:r>
        <w:rPr>
          <w:rFonts w:hint="default" w:ascii="Times New Roman" w:hAnsi="Times New Roman" w:eastAsia="仿宋_GB2312" w:cs="Times New Roman"/>
          <w:b w:val="0"/>
          <w:bCs w:val="0"/>
          <w:color w:val="000000"/>
          <w:spacing w:val="0"/>
          <w:sz w:val="32"/>
          <w:szCs w:val="32"/>
          <w:u w:val="none"/>
          <w:lang w:val="en-US" w:eastAsia="zh-CN"/>
        </w:rPr>
        <w:t>项目绩效评价综合得分</w:t>
      </w:r>
      <w:r>
        <w:rPr>
          <w:rFonts w:hint="eastAsia" w:eastAsia="仿宋_GB2312" w:cs="Times New Roman"/>
          <w:b w:val="0"/>
          <w:bCs w:val="0"/>
          <w:color w:val="auto"/>
          <w:spacing w:val="0"/>
          <w:sz w:val="32"/>
          <w:szCs w:val="32"/>
          <w:u w:val="none"/>
          <w:lang w:val="en-US" w:eastAsia="zh-CN"/>
        </w:rPr>
        <w:t>94</w:t>
      </w:r>
      <w:r>
        <w:rPr>
          <w:rFonts w:hint="default" w:ascii="Times New Roman" w:hAnsi="Times New Roman" w:eastAsia="仿宋_GB2312" w:cs="Times New Roman"/>
          <w:b w:val="0"/>
          <w:bCs w:val="0"/>
          <w:color w:val="auto"/>
          <w:spacing w:val="0"/>
          <w:sz w:val="32"/>
          <w:szCs w:val="32"/>
          <w:u w:val="none"/>
          <w:lang w:val="en-US" w:eastAsia="zh-CN"/>
        </w:rPr>
        <w:t>分，等级为“优”。</w:t>
      </w:r>
      <w:r>
        <w:rPr>
          <w:rFonts w:hint="default" w:ascii="Times New Roman" w:hAnsi="Times New Roman" w:eastAsia="仿宋_GB2312" w:cs="Times New Roman"/>
          <w:b w:val="0"/>
          <w:bCs w:val="0"/>
          <w:color w:val="000000"/>
          <w:spacing w:val="0"/>
          <w:sz w:val="32"/>
          <w:szCs w:val="32"/>
          <w:u w:val="none"/>
          <w:lang w:val="en-US" w:eastAsia="zh-CN"/>
        </w:rPr>
        <w:t>详细评分情况见附件</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项目支出绩效</w:t>
      </w:r>
      <w:r>
        <w:rPr>
          <w:rFonts w:hint="eastAsia" w:eastAsia="仿宋_GB2312" w:cs="Times New Roman"/>
          <w:b w:val="0"/>
          <w:bCs w:val="0"/>
          <w:color w:val="000000"/>
          <w:spacing w:val="0"/>
          <w:sz w:val="32"/>
          <w:szCs w:val="32"/>
          <w:u w:val="none"/>
          <w:lang w:val="en-US" w:eastAsia="zh-CN"/>
        </w:rPr>
        <w:t>自评</w:t>
      </w:r>
      <w:r>
        <w:rPr>
          <w:rFonts w:hint="default" w:ascii="Times New Roman" w:hAnsi="Times New Roman" w:eastAsia="仿宋_GB2312" w:cs="Times New Roman"/>
          <w:b w:val="0"/>
          <w:bCs w:val="0"/>
          <w:color w:val="000000"/>
          <w:spacing w:val="0"/>
          <w:sz w:val="32"/>
          <w:szCs w:val="32"/>
          <w:u w:val="none"/>
          <w:lang w:val="en-US" w:eastAsia="zh-CN"/>
        </w:rPr>
        <w:t>表</w:t>
      </w:r>
      <w:r>
        <w:rPr>
          <w:rFonts w:hint="eastAsia" w:ascii="Times New Roman" w:hAnsi="Times New Roman"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四、绩效评价指标分析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auto"/>
          <w:spacing w:val="0"/>
          <w:sz w:val="32"/>
          <w:szCs w:val="32"/>
          <w:u w:val="none"/>
          <w:lang w:val="en-US" w:eastAsia="zh-CN"/>
        </w:rPr>
      </w:pPr>
      <w:r>
        <w:rPr>
          <w:rFonts w:hint="eastAsia" w:ascii="Times New Roman" w:hAnsi="Times New Roman" w:eastAsia="楷体_GB2312" w:cs="楷体_GB2312"/>
          <w:b/>
          <w:bCs/>
          <w:color w:val="auto"/>
          <w:spacing w:val="0"/>
          <w:sz w:val="32"/>
          <w:szCs w:val="32"/>
          <w:u w:val="none"/>
          <w:lang w:val="en-US" w:eastAsia="zh-CN"/>
        </w:rPr>
        <w:t>（一）</w:t>
      </w:r>
      <w:r>
        <w:rPr>
          <w:rFonts w:hint="default" w:ascii="Times New Roman" w:hAnsi="Times New Roman" w:eastAsia="楷体_GB2312" w:cs="楷体_GB2312"/>
          <w:b/>
          <w:bCs/>
          <w:color w:val="auto"/>
          <w:spacing w:val="0"/>
          <w:sz w:val="32"/>
          <w:szCs w:val="32"/>
          <w:u w:val="none"/>
          <w:lang w:val="en-US" w:eastAsia="zh-CN"/>
        </w:rPr>
        <w:t>项目决策情况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项目决策类指标由3个二级指标、6个三级指标和10个四级指标构成，分值为15分，实际得分1</w:t>
      </w:r>
      <w:r>
        <w:rPr>
          <w:rFonts w:hint="eastAsia" w:eastAsia="仿宋_GB2312" w:cs="Times New Roman"/>
          <w:b w:val="0"/>
          <w:bCs w:val="0"/>
          <w:color w:val="auto"/>
          <w:spacing w:val="0"/>
          <w:sz w:val="32"/>
          <w:szCs w:val="32"/>
          <w:u w:val="none"/>
          <w:lang w:val="en-US" w:eastAsia="zh-CN"/>
        </w:rPr>
        <w:t>2.5</w:t>
      </w:r>
      <w:r>
        <w:rPr>
          <w:rFonts w:hint="default" w:ascii="Times New Roman" w:hAnsi="Times New Roman" w:eastAsia="仿宋_GB2312" w:cs="Times New Roman"/>
          <w:b w:val="0"/>
          <w:bCs w:val="0"/>
          <w:color w:val="auto"/>
          <w:spacing w:val="0"/>
          <w:sz w:val="32"/>
          <w:szCs w:val="32"/>
          <w:u w:val="none"/>
          <w:lang w:val="en-US" w:eastAsia="zh-CN"/>
        </w:rPr>
        <w:t>分。项目决策类指标主要考察项目立项依据的充分性和规范性；绩效目标设定的合理性和明确性；预算编制科学性和资金分配合理性等。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仿宋_GB2312" w:cs="仿宋_GB2312"/>
          <w:b/>
          <w:bCs/>
          <w:color w:val="auto"/>
          <w:spacing w:val="0"/>
          <w:sz w:val="32"/>
          <w:szCs w:val="32"/>
          <w:u w:val="none"/>
          <w:lang w:val="en-US" w:eastAsia="zh-CN"/>
        </w:rPr>
      </w:pPr>
      <w:r>
        <w:rPr>
          <w:rFonts w:hint="eastAsia" w:ascii="Times New Roman" w:hAnsi="Times New Roman" w:eastAsia="仿宋_GB2312" w:cs="仿宋_GB2312"/>
          <w:b/>
          <w:bCs/>
          <w:color w:val="auto"/>
          <w:spacing w:val="0"/>
          <w:sz w:val="32"/>
          <w:szCs w:val="32"/>
          <w:u w:val="none"/>
          <w:lang w:val="en-US" w:eastAsia="zh-CN"/>
        </w:rPr>
        <w:t>1、项目立项指标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项目立项指标分值5分，实际得分5分。该项目立项符合国家法律法规、国民经济发展规划和相关正常，符合行业发展规划和正常要求，项目目标设立与单位履职相适应，立项文件符合经济社会发展规划和部门年度工作计划。在项目立项过程中，严格按照规定的程序申请设立，重大项目安排和重大资金使用必须经过集体讨论研究决定，项目决策过程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auto"/>
          <w:spacing w:val="0"/>
          <w:sz w:val="32"/>
          <w:szCs w:val="32"/>
          <w:u w:val="none"/>
          <w:lang w:val="en-US" w:eastAsia="zh-CN"/>
        </w:rPr>
      </w:pPr>
      <w:r>
        <w:rPr>
          <w:rFonts w:hint="default" w:ascii="Times New Roman" w:hAnsi="Times New Roman" w:eastAsia="仿宋_GB2312" w:cs="仿宋_GB2312"/>
          <w:b/>
          <w:bCs/>
          <w:color w:val="auto"/>
          <w:spacing w:val="0"/>
          <w:sz w:val="32"/>
          <w:szCs w:val="32"/>
          <w:u w:val="none"/>
          <w:lang w:val="en-US" w:eastAsia="zh-CN"/>
        </w:rPr>
        <w:t>2、绩效目标指标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绩效目标指标分值5分，实际得分</w:t>
      </w:r>
      <w:r>
        <w:rPr>
          <w:rFonts w:hint="eastAsia" w:eastAsia="仿宋_GB2312" w:cs="Times New Roman"/>
          <w:b w:val="0"/>
          <w:bCs w:val="0"/>
          <w:color w:val="auto"/>
          <w:spacing w:val="0"/>
          <w:sz w:val="32"/>
          <w:szCs w:val="32"/>
          <w:u w:val="none"/>
          <w:lang w:val="en-US" w:eastAsia="zh-CN"/>
        </w:rPr>
        <w:t>5</w:t>
      </w:r>
      <w:r>
        <w:rPr>
          <w:rFonts w:hint="default" w:ascii="Times New Roman" w:hAnsi="Times New Roman" w:eastAsia="仿宋_GB2312" w:cs="Times New Roman"/>
          <w:b w:val="0"/>
          <w:bCs w:val="0"/>
          <w:color w:val="auto"/>
          <w:spacing w:val="0"/>
          <w:sz w:val="32"/>
          <w:szCs w:val="32"/>
          <w:u w:val="none"/>
          <w:lang w:val="en-US" w:eastAsia="zh-CN"/>
        </w:rPr>
        <w:t>分。该项目在年初进行了绩效目标申报，项目绩效目标在数量、质量、成本、时效等方面设置的绩效指标基本细化、量化，项目预期产出效益和效果符合正常的业绩水平。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auto"/>
          <w:spacing w:val="0"/>
          <w:sz w:val="32"/>
          <w:szCs w:val="32"/>
          <w:u w:val="none"/>
          <w:lang w:val="en-US" w:eastAsia="zh-CN"/>
        </w:rPr>
      </w:pPr>
      <w:r>
        <w:rPr>
          <w:rFonts w:hint="default" w:ascii="Times New Roman" w:hAnsi="Times New Roman" w:eastAsia="仿宋_GB2312" w:cs="仿宋_GB2312"/>
          <w:b/>
          <w:bCs/>
          <w:color w:val="auto"/>
          <w:spacing w:val="0"/>
          <w:sz w:val="32"/>
          <w:szCs w:val="32"/>
          <w:u w:val="none"/>
          <w:lang w:val="en-US" w:eastAsia="zh-CN"/>
        </w:rPr>
        <w:t>3、资金投入指标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资金投入指标分值</w:t>
      </w:r>
      <w:r>
        <w:rPr>
          <w:rFonts w:hint="eastAsia" w:eastAsia="仿宋_GB2312" w:cs="Times New Roman"/>
          <w:b w:val="0"/>
          <w:bCs w:val="0"/>
          <w:color w:val="auto"/>
          <w:spacing w:val="0"/>
          <w:sz w:val="32"/>
          <w:szCs w:val="32"/>
          <w:u w:val="none"/>
          <w:lang w:val="en-US" w:eastAsia="zh-CN"/>
        </w:rPr>
        <w:t>5</w:t>
      </w:r>
      <w:r>
        <w:rPr>
          <w:rFonts w:hint="default" w:ascii="Times New Roman" w:hAnsi="Times New Roman" w:eastAsia="仿宋_GB2312" w:cs="Times New Roman"/>
          <w:b w:val="0"/>
          <w:bCs w:val="0"/>
          <w:color w:val="auto"/>
          <w:spacing w:val="0"/>
          <w:sz w:val="32"/>
          <w:szCs w:val="32"/>
          <w:u w:val="none"/>
          <w:lang w:val="en-US" w:eastAsia="zh-CN"/>
        </w:rPr>
        <w:t>分，实际得分</w:t>
      </w:r>
      <w:r>
        <w:rPr>
          <w:rFonts w:hint="eastAsia" w:eastAsia="仿宋_GB2312" w:cs="Times New Roman"/>
          <w:b w:val="0"/>
          <w:bCs w:val="0"/>
          <w:color w:val="auto"/>
          <w:spacing w:val="0"/>
          <w:sz w:val="32"/>
          <w:szCs w:val="32"/>
          <w:u w:val="none"/>
          <w:lang w:val="en-US" w:eastAsia="zh-CN"/>
        </w:rPr>
        <w:t>2.5</w:t>
      </w:r>
      <w:r>
        <w:rPr>
          <w:rFonts w:hint="default" w:ascii="Times New Roman" w:hAnsi="Times New Roman" w:eastAsia="仿宋_GB2312" w:cs="Times New Roman"/>
          <w:b w:val="0"/>
          <w:bCs w:val="0"/>
          <w:color w:val="auto"/>
          <w:spacing w:val="0"/>
          <w:sz w:val="32"/>
          <w:szCs w:val="32"/>
          <w:u w:val="none"/>
          <w:lang w:val="en-US" w:eastAsia="zh-CN"/>
        </w:rPr>
        <w:t>分。该项目预算编制经过科学论证，预算内容与项目内容相匹配，</w:t>
      </w:r>
      <w:r>
        <w:rPr>
          <w:rFonts w:hint="eastAsia" w:eastAsia="仿宋_GB2312" w:cs="Times New Roman"/>
          <w:b w:val="0"/>
          <w:bCs w:val="0"/>
          <w:color w:val="auto"/>
          <w:spacing w:val="0"/>
          <w:sz w:val="32"/>
          <w:szCs w:val="32"/>
          <w:u w:val="none"/>
          <w:lang w:val="en-US" w:eastAsia="zh-CN"/>
        </w:rPr>
        <w:t>但是预算下达资金与</w:t>
      </w:r>
      <w:r>
        <w:rPr>
          <w:rFonts w:hint="default" w:ascii="Times New Roman" w:hAnsi="Times New Roman" w:eastAsia="仿宋_GB2312" w:cs="Times New Roman"/>
          <w:b w:val="0"/>
          <w:bCs w:val="0"/>
          <w:color w:val="auto"/>
          <w:spacing w:val="0"/>
          <w:sz w:val="32"/>
          <w:szCs w:val="32"/>
          <w:u w:val="none"/>
          <w:lang w:val="en-US" w:eastAsia="zh-CN"/>
        </w:rPr>
        <w:t>测算</w:t>
      </w:r>
      <w:r>
        <w:rPr>
          <w:rFonts w:hint="eastAsia" w:eastAsia="仿宋_GB2312" w:cs="Times New Roman"/>
          <w:b w:val="0"/>
          <w:bCs w:val="0"/>
          <w:color w:val="auto"/>
          <w:spacing w:val="0"/>
          <w:sz w:val="32"/>
          <w:szCs w:val="32"/>
          <w:u w:val="none"/>
          <w:lang w:val="en-US" w:eastAsia="zh-CN"/>
        </w:rPr>
        <w:t>资金差额幅度较大</w:t>
      </w:r>
      <w:r>
        <w:rPr>
          <w:rFonts w:hint="default" w:ascii="Times New Roman" w:hAnsi="Times New Roman" w:eastAsia="仿宋_GB2312" w:cs="Times New Roman"/>
          <w:b w:val="0"/>
          <w:bCs w:val="0"/>
          <w:color w:val="auto"/>
          <w:spacing w:val="0"/>
          <w:sz w:val="32"/>
          <w:szCs w:val="32"/>
          <w:u w:val="none"/>
          <w:lang w:val="en-US" w:eastAsia="zh-CN"/>
        </w:rPr>
        <w:t>，根据评分规则，扣权重分1分。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auto"/>
          <w:spacing w:val="0"/>
          <w:sz w:val="32"/>
          <w:szCs w:val="32"/>
          <w:u w:val="none"/>
          <w:lang w:val="en-US" w:eastAsia="zh-CN"/>
        </w:rPr>
      </w:pPr>
      <w:r>
        <w:rPr>
          <w:rFonts w:hint="eastAsia" w:ascii="Times New Roman" w:hAnsi="Times New Roman" w:eastAsia="楷体_GB2312" w:cs="楷体_GB2312"/>
          <w:b/>
          <w:bCs/>
          <w:color w:val="auto"/>
          <w:spacing w:val="0"/>
          <w:sz w:val="32"/>
          <w:szCs w:val="32"/>
          <w:u w:val="none"/>
          <w:lang w:val="en-US" w:eastAsia="zh-CN"/>
        </w:rPr>
        <w:t>（二）</w:t>
      </w:r>
      <w:r>
        <w:rPr>
          <w:rFonts w:hint="default" w:ascii="Times New Roman" w:hAnsi="Times New Roman" w:eastAsia="楷体_GB2312" w:cs="楷体_GB2312"/>
          <w:b/>
          <w:bCs/>
          <w:color w:val="auto"/>
          <w:spacing w:val="0"/>
          <w:sz w:val="32"/>
          <w:szCs w:val="32"/>
          <w:u w:val="none"/>
          <w:lang w:val="en-US" w:eastAsia="zh-CN"/>
        </w:rPr>
        <w:t>项目过程情况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项目过程类指标由2个二级指标、5个三级指标和7个四级指标构成，分值为20分，实际得分</w:t>
      </w:r>
      <w:r>
        <w:rPr>
          <w:rFonts w:hint="eastAsia" w:eastAsia="仿宋_GB2312" w:cs="Times New Roman"/>
          <w:b w:val="0"/>
          <w:bCs w:val="0"/>
          <w:color w:val="auto"/>
          <w:spacing w:val="0"/>
          <w:sz w:val="32"/>
          <w:szCs w:val="32"/>
          <w:u w:val="none"/>
          <w:lang w:val="en-US" w:eastAsia="zh-CN"/>
        </w:rPr>
        <w:t>16.5</w:t>
      </w:r>
      <w:r>
        <w:rPr>
          <w:rFonts w:hint="default" w:ascii="Times New Roman" w:hAnsi="Times New Roman" w:eastAsia="仿宋_GB2312" w:cs="Times New Roman"/>
          <w:b w:val="0"/>
          <w:bCs w:val="0"/>
          <w:color w:val="auto"/>
          <w:spacing w:val="0"/>
          <w:sz w:val="32"/>
          <w:szCs w:val="32"/>
          <w:u w:val="none"/>
          <w:lang w:val="en-US" w:eastAsia="zh-CN"/>
        </w:rPr>
        <w:t>分。项目过程类指标主要考察项目资金到位、执行情况及资金使用合规性情况；项目组织实施过程中管理制度健全性情况及制度执行有效性情况。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auto"/>
          <w:spacing w:val="0"/>
          <w:sz w:val="32"/>
          <w:szCs w:val="32"/>
          <w:u w:val="none"/>
          <w:lang w:val="en-US" w:eastAsia="zh-CN"/>
        </w:rPr>
      </w:pPr>
      <w:r>
        <w:rPr>
          <w:rFonts w:hint="default" w:ascii="Times New Roman" w:hAnsi="Times New Roman" w:eastAsia="仿宋_GB2312" w:cs="仿宋_GB2312"/>
          <w:b/>
          <w:bCs/>
          <w:color w:val="auto"/>
          <w:spacing w:val="0"/>
          <w:sz w:val="32"/>
          <w:szCs w:val="32"/>
          <w:u w:val="none"/>
          <w:lang w:val="en-US" w:eastAsia="zh-CN"/>
        </w:rPr>
        <w:t>1、资金管理指标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资金管理指标分值15分，实际得分1</w:t>
      </w:r>
      <w:r>
        <w:rPr>
          <w:rFonts w:hint="eastAsia" w:eastAsia="仿宋_GB2312" w:cs="Times New Roman"/>
          <w:b w:val="0"/>
          <w:bCs w:val="0"/>
          <w:color w:val="auto"/>
          <w:spacing w:val="0"/>
          <w:sz w:val="32"/>
          <w:szCs w:val="32"/>
          <w:u w:val="none"/>
          <w:lang w:val="en-US" w:eastAsia="zh-CN"/>
        </w:rPr>
        <w:t>1.5</w:t>
      </w:r>
      <w:r>
        <w:rPr>
          <w:rFonts w:hint="default" w:ascii="Times New Roman" w:hAnsi="Times New Roman" w:eastAsia="仿宋_GB2312" w:cs="Times New Roman"/>
          <w:b w:val="0"/>
          <w:bCs w:val="0"/>
          <w:color w:val="auto"/>
          <w:spacing w:val="0"/>
          <w:sz w:val="32"/>
          <w:szCs w:val="32"/>
          <w:u w:val="none"/>
          <w:lang w:val="en-US" w:eastAsia="zh-CN"/>
        </w:rPr>
        <w:t>分。202</w:t>
      </w:r>
      <w:r>
        <w:rPr>
          <w:rFonts w:hint="eastAsia" w:eastAsia="仿宋_GB2312" w:cs="Times New Roman"/>
          <w:b w:val="0"/>
          <w:bCs w:val="0"/>
          <w:color w:val="auto"/>
          <w:spacing w:val="0"/>
          <w:sz w:val="32"/>
          <w:szCs w:val="32"/>
          <w:u w:val="none"/>
          <w:lang w:val="en-US" w:eastAsia="zh-CN"/>
        </w:rPr>
        <w:t>3</w:t>
      </w:r>
      <w:r>
        <w:rPr>
          <w:rFonts w:hint="default" w:ascii="Times New Roman" w:hAnsi="Times New Roman" w:eastAsia="仿宋_GB2312" w:cs="Times New Roman"/>
          <w:b w:val="0"/>
          <w:bCs w:val="0"/>
          <w:color w:val="auto"/>
          <w:spacing w:val="0"/>
          <w:sz w:val="32"/>
          <w:szCs w:val="32"/>
          <w:u w:val="none"/>
          <w:lang w:val="en-US" w:eastAsia="zh-CN"/>
        </w:rPr>
        <w:t>年度该项目资金共</w:t>
      </w:r>
      <w:r>
        <w:rPr>
          <w:rFonts w:hint="eastAsia" w:eastAsia="仿宋_GB2312" w:cs="Times New Roman"/>
          <w:b w:val="0"/>
          <w:bCs w:val="0"/>
          <w:color w:val="auto"/>
          <w:spacing w:val="0"/>
          <w:sz w:val="32"/>
          <w:szCs w:val="32"/>
          <w:u w:val="none"/>
          <w:lang w:val="en-US" w:eastAsia="zh-CN"/>
        </w:rPr>
        <w:t>550</w:t>
      </w:r>
      <w:r>
        <w:rPr>
          <w:rFonts w:hint="default" w:ascii="Times New Roman" w:hAnsi="Times New Roman" w:eastAsia="仿宋_GB2312" w:cs="Times New Roman"/>
          <w:b w:val="0"/>
          <w:bCs w:val="0"/>
          <w:color w:val="auto"/>
          <w:spacing w:val="0"/>
          <w:sz w:val="32"/>
          <w:szCs w:val="32"/>
          <w:u w:val="none"/>
          <w:lang w:val="en-US" w:eastAsia="zh-CN"/>
        </w:rPr>
        <w:t>万元，实际到位</w:t>
      </w:r>
      <w:r>
        <w:rPr>
          <w:rFonts w:hint="eastAsia" w:eastAsia="仿宋_GB2312" w:cs="Times New Roman"/>
          <w:b w:val="0"/>
          <w:bCs w:val="0"/>
          <w:color w:val="auto"/>
          <w:spacing w:val="0"/>
          <w:sz w:val="32"/>
          <w:szCs w:val="32"/>
          <w:u w:val="none"/>
          <w:lang w:val="en-US" w:eastAsia="zh-CN"/>
        </w:rPr>
        <w:t>550</w:t>
      </w:r>
      <w:r>
        <w:rPr>
          <w:rFonts w:hint="default" w:ascii="Times New Roman" w:hAnsi="Times New Roman" w:eastAsia="仿宋_GB2312" w:cs="Times New Roman"/>
          <w:b w:val="0"/>
          <w:bCs w:val="0"/>
          <w:color w:val="auto"/>
          <w:spacing w:val="0"/>
          <w:sz w:val="32"/>
          <w:szCs w:val="32"/>
          <w:u w:val="none"/>
          <w:lang w:val="en-US" w:eastAsia="zh-CN"/>
        </w:rPr>
        <w:t>万元，资金到位率为100%。202</w:t>
      </w:r>
      <w:r>
        <w:rPr>
          <w:rFonts w:hint="eastAsia" w:eastAsia="仿宋_GB2312" w:cs="Times New Roman"/>
          <w:b w:val="0"/>
          <w:bCs w:val="0"/>
          <w:color w:val="auto"/>
          <w:spacing w:val="0"/>
          <w:sz w:val="32"/>
          <w:szCs w:val="32"/>
          <w:u w:val="none"/>
          <w:lang w:val="en-US" w:eastAsia="zh-CN"/>
        </w:rPr>
        <w:t>3</w:t>
      </w:r>
      <w:r>
        <w:rPr>
          <w:rFonts w:hint="default" w:ascii="Times New Roman" w:hAnsi="Times New Roman" w:eastAsia="仿宋_GB2312" w:cs="Times New Roman"/>
          <w:b w:val="0"/>
          <w:bCs w:val="0"/>
          <w:color w:val="auto"/>
          <w:spacing w:val="0"/>
          <w:sz w:val="32"/>
          <w:szCs w:val="32"/>
          <w:u w:val="none"/>
          <w:lang w:val="en-US" w:eastAsia="zh-CN"/>
        </w:rPr>
        <w:t>年度该项目实际支出</w:t>
      </w:r>
      <w:r>
        <w:rPr>
          <w:rFonts w:hint="eastAsia" w:eastAsia="仿宋_GB2312" w:cs="Times New Roman"/>
          <w:b w:val="0"/>
          <w:bCs w:val="0"/>
          <w:color w:val="auto"/>
          <w:spacing w:val="0"/>
          <w:sz w:val="32"/>
          <w:szCs w:val="32"/>
          <w:u w:val="none"/>
          <w:lang w:val="en-US" w:eastAsia="zh-CN"/>
        </w:rPr>
        <w:t>168.65</w:t>
      </w:r>
      <w:r>
        <w:rPr>
          <w:rFonts w:hint="default" w:ascii="Times New Roman" w:hAnsi="Times New Roman" w:eastAsia="仿宋_GB2312" w:cs="Times New Roman"/>
          <w:b w:val="0"/>
          <w:bCs w:val="0"/>
          <w:color w:val="auto"/>
          <w:spacing w:val="0"/>
          <w:sz w:val="32"/>
          <w:szCs w:val="32"/>
          <w:u w:val="none"/>
          <w:lang w:val="en-US" w:eastAsia="zh-CN"/>
        </w:rPr>
        <w:t>万元，主要用于202</w:t>
      </w:r>
      <w:r>
        <w:rPr>
          <w:rFonts w:hint="eastAsia" w:eastAsia="仿宋_GB2312" w:cs="Times New Roman"/>
          <w:b w:val="0"/>
          <w:bCs w:val="0"/>
          <w:color w:val="auto"/>
          <w:spacing w:val="0"/>
          <w:sz w:val="32"/>
          <w:szCs w:val="32"/>
          <w:u w:val="none"/>
          <w:lang w:val="en-US" w:eastAsia="zh-CN"/>
        </w:rPr>
        <w:t>3</w:t>
      </w:r>
      <w:r>
        <w:rPr>
          <w:rFonts w:hint="default" w:ascii="Times New Roman" w:hAnsi="Times New Roman" w:eastAsia="仿宋_GB2312" w:cs="Times New Roman"/>
          <w:b w:val="0"/>
          <w:bCs w:val="0"/>
          <w:color w:val="auto"/>
          <w:spacing w:val="0"/>
          <w:sz w:val="32"/>
          <w:szCs w:val="32"/>
          <w:u w:val="none"/>
          <w:lang w:val="en-US" w:eastAsia="zh-CN"/>
        </w:rPr>
        <w:t>年度</w:t>
      </w:r>
      <w:r>
        <w:rPr>
          <w:rFonts w:hint="eastAsia" w:eastAsia="仿宋_GB2312" w:cs="Times New Roman"/>
          <w:b w:val="0"/>
          <w:bCs w:val="0"/>
          <w:color w:val="auto"/>
          <w:spacing w:val="0"/>
          <w:sz w:val="32"/>
          <w:szCs w:val="32"/>
          <w:u w:val="none"/>
          <w:lang w:val="en-US" w:eastAsia="zh-CN"/>
        </w:rPr>
        <w:t>城市公共绿地及西山森林公园养护抚育</w:t>
      </w:r>
      <w:r>
        <w:rPr>
          <w:rFonts w:hint="default" w:ascii="Times New Roman" w:hAnsi="Times New Roman" w:eastAsia="仿宋_GB2312" w:cs="Times New Roman"/>
          <w:b w:val="0"/>
          <w:bCs w:val="0"/>
          <w:color w:val="auto"/>
          <w:spacing w:val="0"/>
          <w:sz w:val="32"/>
          <w:szCs w:val="32"/>
          <w:u w:val="none"/>
          <w:lang w:val="en-US" w:eastAsia="zh-CN"/>
        </w:rPr>
        <w:t>费用，预算执行率为</w:t>
      </w:r>
      <w:r>
        <w:rPr>
          <w:rFonts w:hint="eastAsia" w:eastAsia="仿宋_GB2312" w:cs="Times New Roman"/>
          <w:b w:val="0"/>
          <w:bCs w:val="0"/>
          <w:color w:val="auto"/>
          <w:spacing w:val="0"/>
          <w:sz w:val="32"/>
          <w:szCs w:val="32"/>
          <w:u w:val="none"/>
          <w:lang w:val="en-US" w:eastAsia="zh-CN"/>
        </w:rPr>
        <w:t>31.33</w:t>
      </w:r>
      <w:r>
        <w:rPr>
          <w:rFonts w:hint="default" w:ascii="Times New Roman" w:hAnsi="Times New Roman" w:eastAsia="仿宋_GB2312" w:cs="Times New Roman"/>
          <w:b w:val="0"/>
          <w:bCs w:val="0"/>
          <w:color w:val="auto"/>
          <w:spacing w:val="0"/>
          <w:sz w:val="32"/>
          <w:szCs w:val="32"/>
          <w:u w:val="none"/>
          <w:lang w:val="en-US" w:eastAsia="zh-CN"/>
        </w:rPr>
        <w:t>%。</w:t>
      </w:r>
      <w:r>
        <w:rPr>
          <w:rFonts w:hint="eastAsia" w:eastAsia="仿宋_GB2312" w:cs="Times New Roman"/>
          <w:b w:val="0"/>
          <w:bCs w:val="0"/>
          <w:color w:val="auto"/>
          <w:spacing w:val="0"/>
          <w:sz w:val="32"/>
          <w:szCs w:val="32"/>
          <w:u w:val="none"/>
          <w:lang w:val="en-US" w:eastAsia="zh-CN"/>
        </w:rPr>
        <w:t>由于资金执行率较低，按照权重扣减3.5分。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202</w:t>
      </w:r>
      <w:r>
        <w:rPr>
          <w:rFonts w:hint="eastAsia" w:eastAsia="仿宋_GB2312" w:cs="Times New Roman"/>
          <w:b w:val="0"/>
          <w:bCs w:val="0"/>
          <w:color w:val="auto"/>
          <w:spacing w:val="0"/>
          <w:sz w:val="32"/>
          <w:szCs w:val="32"/>
          <w:u w:val="none"/>
          <w:lang w:val="en-US" w:eastAsia="zh-CN"/>
        </w:rPr>
        <w:t>3</w:t>
      </w:r>
      <w:r>
        <w:rPr>
          <w:rFonts w:hint="default" w:ascii="Times New Roman" w:hAnsi="Times New Roman" w:eastAsia="仿宋_GB2312" w:cs="Times New Roman"/>
          <w:b w:val="0"/>
          <w:bCs w:val="0"/>
          <w:color w:val="auto"/>
          <w:spacing w:val="0"/>
          <w:sz w:val="32"/>
          <w:szCs w:val="32"/>
          <w:u w:val="none"/>
          <w:lang w:val="en-US" w:eastAsia="zh-CN"/>
        </w:rPr>
        <w:t>年度</w:t>
      </w:r>
      <w:r>
        <w:rPr>
          <w:rFonts w:hint="eastAsia" w:eastAsia="仿宋_GB2312" w:cs="Times New Roman"/>
          <w:b w:val="0"/>
          <w:bCs w:val="0"/>
          <w:color w:val="auto"/>
          <w:spacing w:val="0"/>
          <w:sz w:val="32"/>
          <w:szCs w:val="32"/>
          <w:u w:val="none"/>
          <w:lang w:val="en-US" w:eastAsia="zh-CN"/>
        </w:rPr>
        <w:t>城市公共绿地及西山森林公园养护抚育</w:t>
      </w:r>
      <w:r>
        <w:rPr>
          <w:rFonts w:hint="default" w:ascii="Times New Roman" w:hAnsi="Times New Roman" w:eastAsia="仿宋_GB2312" w:cs="Times New Roman"/>
          <w:b w:val="0"/>
          <w:bCs w:val="0"/>
          <w:color w:val="auto"/>
          <w:spacing w:val="0"/>
          <w:sz w:val="32"/>
          <w:szCs w:val="32"/>
          <w:u w:val="none"/>
          <w:lang w:val="en-US" w:eastAsia="zh-CN"/>
        </w:rPr>
        <w:t>项目资金支出运管处严格遵守国家财经法规和财务管理制度以及相关专项资金管理办法的规定，项目资金的拨付与预算批复一致，资金支出通过财政国库集中支付，合同规定的用途使用资金，项目资金不存在截留、挤占、挪用等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auto"/>
          <w:spacing w:val="0"/>
          <w:sz w:val="32"/>
          <w:szCs w:val="32"/>
          <w:u w:val="none"/>
          <w:lang w:val="en-US" w:eastAsia="zh-CN"/>
        </w:rPr>
      </w:pPr>
      <w:r>
        <w:rPr>
          <w:rFonts w:hint="default" w:ascii="Times New Roman" w:hAnsi="Times New Roman" w:eastAsia="仿宋_GB2312" w:cs="仿宋_GB2312"/>
          <w:b/>
          <w:bCs/>
          <w:color w:val="auto"/>
          <w:spacing w:val="0"/>
          <w:sz w:val="32"/>
          <w:szCs w:val="32"/>
          <w:u w:val="none"/>
          <w:lang w:val="en-US" w:eastAsia="zh-CN"/>
        </w:rPr>
        <w:t>2、组织实施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组织实施指标分值5分，实际得分5分。该项目支出严格执行国家有关财务管理规定及《</w:t>
      </w:r>
      <w:r>
        <w:rPr>
          <w:rFonts w:hint="eastAsia" w:eastAsia="仿宋_GB2312" w:cs="Times New Roman"/>
          <w:b w:val="0"/>
          <w:bCs w:val="0"/>
          <w:color w:val="auto"/>
          <w:spacing w:val="0"/>
          <w:sz w:val="32"/>
          <w:szCs w:val="32"/>
          <w:u w:val="none"/>
          <w:lang w:val="en-US" w:eastAsia="zh-CN"/>
        </w:rPr>
        <w:t>民乐县园林绿化局</w:t>
      </w:r>
      <w:r>
        <w:rPr>
          <w:rFonts w:hint="default" w:ascii="Times New Roman" w:hAnsi="Times New Roman" w:eastAsia="仿宋_GB2312" w:cs="Times New Roman"/>
          <w:b w:val="0"/>
          <w:bCs w:val="0"/>
          <w:color w:val="auto"/>
          <w:spacing w:val="0"/>
          <w:sz w:val="32"/>
          <w:szCs w:val="32"/>
          <w:u w:val="none"/>
          <w:lang w:val="en-US" w:eastAsia="zh-CN"/>
        </w:rPr>
        <w:t>财务管理制度》，费用支出手续齐全完备，项目相关合同书、验收报告等资料已整理并及时归档。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auto"/>
          <w:spacing w:val="0"/>
          <w:sz w:val="32"/>
          <w:szCs w:val="32"/>
          <w:u w:val="none"/>
          <w:lang w:val="en-US" w:eastAsia="zh-CN"/>
        </w:rPr>
      </w:pPr>
      <w:r>
        <w:rPr>
          <w:rFonts w:hint="eastAsia" w:ascii="Times New Roman" w:hAnsi="Times New Roman" w:eastAsia="楷体_GB2312" w:cs="楷体_GB2312"/>
          <w:b/>
          <w:bCs/>
          <w:color w:val="auto"/>
          <w:spacing w:val="0"/>
          <w:sz w:val="32"/>
          <w:szCs w:val="32"/>
          <w:u w:val="none"/>
          <w:lang w:val="en-US" w:eastAsia="zh-CN"/>
        </w:rPr>
        <w:t>（三）</w:t>
      </w:r>
      <w:r>
        <w:rPr>
          <w:rFonts w:hint="default" w:ascii="Times New Roman" w:hAnsi="Times New Roman" w:eastAsia="楷体_GB2312" w:cs="楷体_GB2312"/>
          <w:b/>
          <w:bCs/>
          <w:color w:val="auto"/>
          <w:spacing w:val="0"/>
          <w:sz w:val="32"/>
          <w:szCs w:val="32"/>
          <w:u w:val="none"/>
          <w:lang w:val="en-US" w:eastAsia="zh-CN"/>
        </w:rPr>
        <w:t>项目产出情况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项目产出类指标由4个二级指标、4个三级指标构成，分值为40分，实际得分</w:t>
      </w:r>
      <w:r>
        <w:rPr>
          <w:rFonts w:hint="eastAsia" w:eastAsia="仿宋_GB2312" w:cs="Times New Roman"/>
          <w:b w:val="0"/>
          <w:bCs w:val="0"/>
          <w:color w:val="auto"/>
          <w:spacing w:val="0"/>
          <w:sz w:val="32"/>
          <w:szCs w:val="32"/>
          <w:u w:val="none"/>
          <w:lang w:val="en-US" w:eastAsia="zh-CN"/>
        </w:rPr>
        <w:t>40</w:t>
      </w:r>
      <w:r>
        <w:rPr>
          <w:rFonts w:hint="default" w:ascii="Times New Roman" w:hAnsi="Times New Roman" w:eastAsia="仿宋_GB2312" w:cs="Times New Roman"/>
          <w:b w:val="0"/>
          <w:bCs w:val="0"/>
          <w:color w:val="auto"/>
          <w:spacing w:val="0"/>
          <w:sz w:val="32"/>
          <w:szCs w:val="32"/>
          <w:u w:val="none"/>
          <w:lang w:val="en-US" w:eastAsia="zh-CN"/>
        </w:rPr>
        <w:t>分。项目产出类指标主要是通过项目产出数量、产出质量、产出时效、产出成本指标来考核项目完成情况。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auto"/>
          <w:spacing w:val="0"/>
          <w:sz w:val="32"/>
          <w:szCs w:val="32"/>
          <w:u w:val="none"/>
          <w:lang w:val="en-US" w:eastAsia="zh-CN"/>
        </w:rPr>
      </w:pPr>
      <w:r>
        <w:rPr>
          <w:rFonts w:hint="default" w:ascii="Times New Roman" w:hAnsi="Times New Roman" w:eastAsia="仿宋_GB2312" w:cs="仿宋_GB2312"/>
          <w:b/>
          <w:bCs/>
          <w:color w:val="auto"/>
          <w:spacing w:val="0"/>
          <w:sz w:val="32"/>
          <w:szCs w:val="32"/>
          <w:u w:val="none"/>
          <w:lang w:val="en-US" w:eastAsia="zh-CN"/>
        </w:rPr>
        <w:t>1、产出数量指标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auto"/>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产出数量指标分值10分，实际得分10分。202</w:t>
      </w:r>
      <w:r>
        <w:rPr>
          <w:rFonts w:hint="eastAsia" w:eastAsia="仿宋_GB2312" w:cs="Times New Roman"/>
          <w:b w:val="0"/>
          <w:bCs w:val="0"/>
          <w:color w:val="auto"/>
          <w:spacing w:val="0"/>
          <w:sz w:val="32"/>
          <w:szCs w:val="32"/>
          <w:u w:val="none"/>
          <w:lang w:val="en-US" w:eastAsia="zh-CN"/>
        </w:rPr>
        <w:t>3</w:t>
      </w:r>
      <w:r>
        <w:rPr>
          <w:rFonts w:hint="default" w:ascii="Times New Roman" w:hAnsi="Times New Roman" w:eastAsia="仿宋_GB2312" w:cs="Times New Roman"/>
          <w:b w:val="0"/>
          <w:bCs w:val="0"/>
          <w:color w:val="auto"/>
          <w:spacing w:val="0"/>
          <w:sz w:val="32"/>
          <w:szCs w:val="32"/>
          <w:u w:val="none"/>
          <w:lang w:val="en-US" w:eastAsia="zh-CN"/>
        </w:rPr>
        <w:t>年度，按年初工作计划</w:t>
      </w:r>
      <w:r>
        <w:rPr>
          <w:rFonts w:hint="eastAsia" w:eastAsia="仿宋_GB2312" w:cs="Times New Roman"/>
          <w:b w:val="0"/>
          <w:bCs w:val="0"/>
          <w:color w:val="auto"/>
          <w:spacing w:val="0"/>
          <w:sz w:val="32"/>
          <w:szCs w:val="32"/>
          <w:u w:val="none"/>
          <w:lang w:val="en-US" w:eastAsia="zh-CN"/>
        </w:rPr>
        <w:t>绿地养护面积7555亩，</w:t>
      </w:r>
      <w:r>
        <w:rPr>
          <w:rFonts w:hint="default" w:ascii="Times New Roman" w:hAnsi="Times New Roman" w:eastAsia="仿宋_GB2312" w:cs="Times New Roman"/>
          <w:b w:val="0"/>
          <w:bCs w:val="0"/>
          <w:color w:val="auto"/>
          <w:spacing w:val="0"/>
          <w:sz w:val="32"/>
          <w:szCs w:val="32"/>
          <w:u w:val="none"/>
          <w:lang w:val="en-US" w:eastAsia="zh-CN"/>
        </w:rPr>
        <w:t>达到年初指标值。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auto"/>
          <w:spacing w:val="0"/>
          <w:sz w:val="32"/>
          <w:szCs w:val="32"/>
          <w:u w:val="none"/>
          <w:lang w:val="en-US" w:eastAsia="zh-CN"/>
        </w:rPr>
      </w:pPr>
      <w:r>
        <w:rPr>
          <w:rFonts w:hint="default" w:ascii="Times New Roman" w:hAnsi="Times New Roman" w:eastAsia="仿宋_GB2312" w:cs="仿宋_GB2312"/>
          <w:b/>
          <w:bCs/>
          <w:color w:val="auto"/>
          <w:spacing w:val="0"/>
          <w:sz w:val="32"/>
          <w:szCs w:val="32"/>
          <w:u w:val="none"/>
          <w:lang w:val="en-US" w:eastAsia="zh-CN"/>
        </w:rPr>
        <w:t>2、产出质量指标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auto"/>
          <w:spacing w:val="0"/>
          <w:sz w:val="32"/>
          <w:szCs w:val="32"/>
          <w:u w:val="none"/>
          <w:lang w:val="en-US" w:eastAsia="zh-CN"/>
        </w:rPr>
        <w:t>产出质量指标分值1</w:t>
      </w:r>
      <w:r>
        <w:rPr>
          <w:rFonts w:hint="eastAsia" w:eastAsia="仿宋_GB2312" w:cs="Times New Roman"/>
          <w:b w:val="0"/>
          <w:bCs w:val="0"/>
          <w:color w:val="auto"/>
          <w:spacing w:val="0"/>
          <w:sz w:val="32"/>
          <w:szCs w:val="32"/>
          <w:u w:val="none"/>
          <w:lang w:val="en-US" w:eastAsia="zh-CN"/>
        </w:rPr>
        <w:t>0</w:t>
      </w:r>
      <w:r>
        <w:rPr>
          <w:rFonts w:hint="default" w:ascii="Times New Roman" w:hAnsi="Times New Roman" w:eastAsia="仿宋_GB2312" w:cs="Times New Roman"/>
          <w:b w:val="0"/>
          <w:bCs w:val="0"/>
          <w:color w:val="000000"/>
          <w:spacing w:val="0"/>
          <w:sz w:val="32"/>
          <w:szCs w:val="32"/>
          <w:u w:val="none"/>
          <w:lang w:val="en-US" w:eastAsia="zh-CN"/>
        </w:rPr>
        <w:t>分，实际得分1</w:t>
      </w:r>
      <w:r>
        <w:rPr>
          <w:rFonts w:hint="eastAsia" w:eastAsia="仿宋_GB2312" w:cs="Times New Roman"/>
          <w:b w:val="0"/>
          <w:bCs w:val="0"/>
          <w:color w:val="000000"/>
          <w:spacing w:val="0"/>
          <w:sz w:val="32"/>
          <w:szCs w:val="32"/>
          <w:u w:val="none"/>
          <w:lang w:val="en-US" w:eastAsia="zh-CN"/>
        </w:rPr>
        <w:t>0</w:t>
      </w:r>
      <w:r>
        <w:rPr>
          <w:rFonts w:hint="default" w:ascii="Times New Roman" w:hAnsi="Times New Roman" w:eastAsia="仿宋_GB2312" w:cs="Times New Roman"/>
          <w:b w:val="0"/>
          <w:bCs w:val="0"/>
          <w:color w:val="000000"/>
          <w:spacing w:val="0"/>
          <w:sz w:val="32"/>
          <w:szCs w:val="32"/>
          <w:u w:val="none"/>
          <w:lang w:val="en-US" w:eastAsia="zh-CN"/>
        </w:rPr>
        <w:t>分。202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年度我</w:t>
      </w:r>
      <w:r>
        <w:rPr>
          <w:rFonts w:hint="eastAsia" w:eastAsia="仿宋_GB2312" w:cs="Times New Roman"/>
          <w:b w:val="0"/>
          <w:bCs w:val="0"/>
          <w:color w:val="000000"/>
          <w:spacing w:val="0"/>
          <w:sz w:val="32"/>
          <w:szCs w:val="32"/>
          <w:u w:val="none"/>
          <w:lang w:val="en-US" w:eastAsia="zh-CN"/>
        </w:rPr>
        <w:t>单位根据养护时效不定期开展督查验收，验收合格率</w:t>
      </w:r>
      <w:r>
        <w:rPr>
          <w:rFonts w:hint="default" w:ascii="Times New Roman" w:hAnsi="Times New Roman" w:eastAsia="仿宋_GB2312" w:cs="Times New Roman"/>
          <w:b w:val="0"/>
          <w:bCs w:val="0"/>
          <w:color w:val="000000"/>
          <w:spacing w:val="0"/>
          <w:sz w:val="32"/>
          <w:szCs w:val="32"/>
          <w:u w:val="none"/>
          <w:lang w:val="en-US" w:eastAsia="zh-CN"/>
        </w:rPr>
        <w:t>达9</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%，达到年初指标值</w:t>
      </w:r>
      <w:r>
        <w:rPr>
          <w:rFonts w:hint="default" w:ascii="Arial" w:hAnsi="Arial" w:eastAsia="仿宋_GB2312" w:cs="Arial"/>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9</w:t>
      </w:r>
      <w:r>
        <w:rPr>
          <w:rFonts w:hint="eastAsia" w:eastAsia="仿宋_GB2312" w:cs="Times New Roman"/>
          <w:b w:val="0"/>
          <w:bCs w:val="0"/>
          <w:color w:val="000000"/>
          <w:spacing w:val="0"/>
          <w:sz w:val="32"/>
          <w:szCs w:val="32"/>
          <w:u w:val="none"/>
          <w:lang w:val="en-US" w:eastAsia="zh-CN"/>
        </w:rPr>
        <w:t>0</w:t>
      </w:r>
      <w:r>
        <w:rPr>
          <w:rFonts w:hint="default" w:ascii="Times New Roman" w:hAnsi="Times New Roman" w:eastAsia="仿宋_GB2312" w:cs="Times New Roman"/>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3、产出时效指标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产出时效指标分值10分，实际得分10分。202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年度该项目在计划完成时间内完成该项目各项工作。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4、产出成本指标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产出成本指标分值1</w:t>
      </w:r>
      <w:r>
        <w:rPr>
          <w:rFonts w:hint="eastAsia" w:eastAsia="仿宋_GB2312" w:cs="Times New Roman"/>
          <w:b w:val="0"/>
          <w:bCs w:val="0"/>
          <w:color w:val="000000"/>
          <w:spacing w:val="0"/>
          <w:sz w:val="32"/>
          <w:szCs w:val="32"/>
          <w:u w:val="none"/>
          <w:lang w:val="en-US" w:eastAsia="zh-CN"/>
        </w:rPr>
        <w:t>0</w:t>
      </w:r>
      <w:r>
        <w:rPr>
          <w:rFonts w:hint="default" w:ascii="Times New Roman" w:hAnsi="Times New Roman" w:eastAsia="仿宋_GB2312" w:cs="Times New Roman"/>
          <w:b w:val="0"/>
          <w:bCs w:val="0"/>
          <w:color w:val="000000"/>
          <w:spacing w:val="0"/>
          <w:sz w:val="32"/>
          <w:szCs w:val="32"/>
          <w:u w:val="none"/>
          <w:lang w:val="en-US" w:eastAsia="zh-CN"/>
        </w:rPr>
        <w:t>分 ，实际得分</w:t>
      </w:r>
      <w:r>
        <w:rPr>
          <w:rFonts w:hint="eastAsia" w:eastAsia="仿宋_GB2312" w:cs="Times New Roman"/>
          <w:b w:val="0"/>
          <w:bCs w:val="0"/>
          <w:color w:val="000000"/>
          <w:spacing w:val="0"/>
          <w:sz w:val="32"/>
          <w:szCs w:val="32"/>
          <w:u w:val="none"/>
          <w:lang w:val="en-US" w:eastAsia="zh-CN"/>
        </w:rPr>
        <w:t>10</w:t>
      </w:r>
      <w:r>
        <w:rPr>
          <w:rFonts w:hint="default" w:ascii="Times New Roman" w:hAnsi="Times New Roman" w:eastAsia="仿宋_GB2312" w:cs="Times New Roman"/>
          <w:b w:val="0"/>
          <w:bCs w:val="0"/>
          <w:color w:val="000000"/>
          <w:spacing w:val="0"/>
          <w:sz w:val="32"/>
          <w:szCs w:val="32"/>
          <w:u w:val="none"/>
          <w:lang w:val="en-US" w:eastAsia="zh-CN"/>
        </w:rPr>
        <w:t>分。202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w:t>
      </w:r>
      <w:r>
        <w:rPr>
          <w:rFonts w:hint="eastAsia" w:eastAsia="仿宋_GB2312" w:cs="Times New Roman"/>
          <w:b w:val="0"/>
          <w:bCs w:val="0"/>
          <w:color w:val="000000"/>
          <w:spacing w:val="0"/>
          <w:sz w:val="32"/>
          <w:szCs w:val="32"/>
          <w:u w:val="none"/>
          <w:lang w:val="en-US" w:eastAsia="zh-CN"/>
        </w:rPr>
        <w:t>城市公共绿地及西山森林公园养护抚育</w:t>
      </w:r>
      <w:r>
        <w:rPr>
          <w:rFonts w:hint="default" w:ascii="Times New Roman" w:hAnsi="Times New Roman" w:eastAsia="仿宋_GB2312" w:cs="Times New Roman"/>
          <w:b w:val="0"/>
          <w:bCs w:val="0"/>
          <w:color w:val="000000"/>
          <w:spacing w:val="0"/>
          <w:sz w:val="32"/>
          <w:szCs w:val="32"/>
          <w:u w:val="none"/>
          <w:lang w:val="en-US" w:eastAsia="zh-CN"/>
        </w:rPr>
        <w:t>项目</w:t>
      </w:r>
      <w:r>
        <w:rPr>
          <w:rFonts w:hint="eastAsia" w:eastAsia="仿宋_GB2312" w:cs="Times New Roman"/>
          <w:b w:val="0"/>
          <w:bCs w:val="0"/>
          <w:color w:val="000000"/>
          <w:spacing w:val="0"/>
          <w:sz w:val="32"/>
          <w:szCs w:val="32"/>
          <w:u w:val="none"/>
          <w:lang w:val="en-US" w:eastAsia="zh-CN"/>
        </w:rPr>
        <w:t>概算总投资1150.77万元，实际合同价943万元，</w:t>
      </w:r>
      <w:r>
        <w:rPr>
          <w:rFonts w:hint="default" w:ascii="Times New Roman" w:hAnsi="Times New Roman" w:eastAsia="仿宋_GB2312" w:cs="Times New Roman"/>
          <w:b w:val="0"/>
          <w:bCs w:val="0"/>
          <w:color w:val="000000"/>
          <w:spacing w:val="0"/>
          <w:sz w:val="32"/>
          <w:szCs w:val="32"/>
          <w:u w:val="none"/>
          <w:lang w:val="en-US" w:eastAsia="zh-CN"/>
        </w:rPr>
        <w:t>指标值为</w:t>
      </w:r>
      <w:r>
        <w:rPr>
          <w:rFonts w:hint="eastAsia" w:eastAsia="仿宋_GB2312" w:cs="Times New Roman"/>
          <w:b w:val="0"/>
          <w:bCs w:val="0"/>
          <w:color w:val="000000"/>
          <w:spacing w:val="0"/>
          <w:sz w:val="32"/>
          <w:szCs w:val="32"/>
          <w:u w:val="none"/>
          <w:lang w:val="en-US" w:eastAsia="zh-CN"/>
        </w:rPr>
        <w:t>成本控制在预算价格内</w:t>
      </w:r>
      <w:r>
        <w:rPr>
          <w:rFonts w:hint="default" w:ascii="Times New Roman" w:hAnsi="Times New Roman" w:eastAsia="仿宋_GB2312" w:cs="Times New Roman"/>
          <w:b w:val="0"/>
          <w:bCs w:val="0"/>
          <w:color w:val="000000"/>
          <w:spacing w:val="0"/>
          <w:sz w:val="32"/>
          <w:szCs w:val="32"/>
          <w:u w:val="none"/>
          <w:lang w:val="en-US" w:eastAsia="zh-CN"/>
        </w:rPr>
        <w:t>，实际</w:t>
      </w:r>
      <w:r>
        <w:rPr>
          <w:rFonts w:hint="eastAsia" w:eastAsia="仿宋_GB2312" w:cs="Times New Roman"/>
          <w:b w:val="0"/>
          <w:bCs w:val="0"/>
          <w:color w:val="000000"/>
          <w:spacing w:val="0"/>
          <w:sz w:val="32"/>
          <w:szCs w:val="32"/>
          <w:u w:val="none"/>
          <w:lang w:val="en-US" w:eastAsia="zh-CN"/>
        </w:rPr>
        <w:t>招标合同价比预算价减少207.77</w:t>
      </w:r>
      <w:r>
        <w:rPr>
          <w:rFonts w:hint="default" w:ascii="Times New Roman" w:hAnsi="Times New Roman" w:eastAsia="仿宋_GB2312" w:cs="Times New Roman"/>
          <w:b w:val="0"/>
          <w:bCs w:val="0"/>
          <w:color w:val="000000"/>
          <w:spacing w:val="0"/>
          <w:sz w:val="32"/>
          <w:szCs w:val="32"/>
          <w:u w:val="none"/>
          <w:lang w:val="en-US" w:eastAsia="zh-CN"/>
        </w:rPr>
        <w:t>万元</w:t>
      </w:r>
      <w:r>
        <w:rPr>
          <w:rFonts w:hint="eastAsia" w:eastAsia="仿宋_GB2312" w:cs="Times New Roman"/>
          <w:b w:val="0"/>
          <w:bCs w:val="0"/>
          <w:color w:val="000000"/>
          <w:spacing w:val="0"/>
          <w:sz w:val="32"/>
          <w:szCs w:val="32"/>
          <w:u w:val="none"/>
          <w:lang w:val="en-US" w:eastAsia="zh-CN"/>
        </w:rPr>
        <w:t>，达到年初指标值。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default" w:ascii="Times New Roman" w:hAnsi="Times New Roman" w:eastAsia="楷体_GB2312" w:cs="楷体_GB2312"/>
          <w:b/>
          <w:bCs/>
          <w:color w:val="000000"/>
          <w:spacing w:val="0"/>
          <w:sz w:val="32"/>
          <w:szCs w:val="32"/>
          <w:u w:val="none"/>
          <w:lang w:val="en-US" w:eastAsia="zh-CN"/>
        </w:rPr>
        <w:t>（四）项目效益情况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项目效益类指标由</w:t>
      </w:r>
      <w:r>
        <w:rPr>
          <w:rFonts w:hint="eastAsia" w:eastAsia="仿宋_GB2312" w:cs="Times New Roman"/>
          <w:b w:val="0"/>
          <w:bCs w:val="0"/>
          <w:color w:val="000000"/>
          <w:spacing w:val="0"/>
          <w:sz w:val="32"/>
          <w:szCs w:val="32"/>
          <w:u w:val="none"/>
          <w:lang w:val="en-US" w:eastAsia="zh-CN"/>
        </w:rPr>
        <w:t>4</w:t>
      </w:r>
      <w:r>
        <w:rPr>
          <w:rFonts w:hint="default" w:ascii="Times New Roman" w:hAnsi="Times New Roman" w:eastAsia="仿宋_GB2312" w:cs="Times New Roman"/>
          <w:b w:val="0"/>
          <w:bCs w:val="0"/>
          <w:color w:val="000000"/>
          <w:spacing w:val="0"/>
          <w:sz w:val="32"/>
          <w:szCs w:val="32"/>
          <w:u w:val="none"/>
          <w:lang w:val="en-US" w:eastAsia="zh-CN"/>
        </w:rPr>
        <w:t>个二级指标、</w:t>
      </w:r>
      <w:r>
        <w:rPr>
          <w:rFonts w:hint="eastAsia" w:eastAsia="仿宋_GB2312" w:cs="Times New Roman"/>
          <w:b w:val="0"/>
          <w:bCs w:val="0"/>
          <w:color w:val="000000"/>
          <w:spacing w:val="0"/>
          <w:sz w:val="32"/>
          <w:szCs w:val="32"/>
          <w:u w:val="none"/>
          <w:lang w:val="en-US" w:eastAsia="zh-CN"/>
        </w:rPr>
        <w:t>4</w:t>
      </w:r>
      <w:r>
        <w:rPr>
          <w:rFonts w:hint="default" w:ascii="Times New Roman" w:hAnsi="Times New Roman" w:eastAsia="仿宋_GB2312" w:cs="Times New Roman"/>
          <w:b w:val="0"/>
          <w:bCs w:val="0"/>
          <w:color w:val="000000"/>
          <w:spacing w:val="0"/>
          <w:sz w:val="32"/>
          <w:szCs w:val="32"/>
          <w:u w:val="none"/>
          <w:lang w:val="en-US" w:eastAsia="zh-CN"/>
        </w:rPr>
        <w:t>个三级指标构成，分值为</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0分，实际得分</w:t>
      </w: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0分。项目效益类指标主要是反映项目实施取得的成效。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default" w:ascii="Times New Roman" w:hAnsi="Times New Roman" w:eastAsia="仿宋_GB2312" w:cs="仿宋_GB2312"/>
          <w:b/>
          <w:bCs/>
          <w:color w:val="000000"/>
          <w:spacing w:val="0"/>
          <w:sz w:val="32"/>
          <w:szCs w:val="32"/>
          <w:u w:val="none"/>
          <w:lang w:val="en-US" w:eastAsia="zh-CN"/>
        </w:rPr>
        <w:t>1</w:t>
      </w:r>
      <w:r>
        <w:rPr>
          <w:rFonts w:hint="eastAsia" w:eastAsia="仿宋_GB2312" w:cs="仿宋_GB2312"/>
          <w:b/>
          <w:bCs/>
          <w:color w:val="000000"/>
          <w:spacing w:val="0"/>
          <w:sz w:val="32"/>
          <w:szCs w:val="32"/>
          <w:u w:val="none"/>
          <w:lang w:val="en-US" w:eastAsia="zh-CN"/>
        </w:rPr>
        <w:t>.</w:t>
      </w:r>
      <w:r>
        <w:rPr>
          <w:rFonts w:hint="eastAsia" w:ascii="Times New Roman" w:hAnsi="Times New Roman" w:eastAsia="仿宋_GB2312" w:cs="仿宋_GB2312"/>
          <w:b/>
          <w:bCs/>
          <w:color w:val="000000"/>
          <w:spacing w:val="0"/>
          <w:sz w:val="32"/>
          <w:szCs w:val="32"/>
          <w:u w:val="none"/>
          <w:lang w:val="en-US" w:eastAsia="zh-CN"/>
        </w:rPr>
        <w:t>经济</w:t>
      </w:r>
      <w:r>
        <w:rPr>
          <w:rFonts w:hint="default" w:ascii="Times New Roman" w:hAnsi="Times New Roman" w:eastAsia="仿宋_GB2312" w:cs="仿宋_GB2312"/>
          <w:b/>
          <w:bCs/>
          <w:color w:val="000000"/>
          <w:spacing w:val="0"/>
          <w:sz w:val="32"/>
          <w:szCs w:val="32"/>
          <w:u w:val="none"/>
          <w:lang w:val="en-US" w:eastAsia="zh-CN"/>
        </w:rPr>
        <w:t>效益指标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社会效益指标分值</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分。社会效益指标年度指标值为</w:t>
      </w:r>
      <w:r>
        <w:rPr>
          <w:rFonts w:hint="eastAsia" w:eastAsia="仿宋_GB2312" w:cs="Times New Roman"/>
          <w:b w:val="0"/>
          <w:bCs w:val="0"/>
          <w:color w:val="000000"/>
          <w:spacing w:val="0"/>
          <w:sz w:val="32"/>
          <w:szCs w:val="32"/>
          <w:u w:val="none"/>
          <w:lang w:val="en-US" w:eastAsia="zh-CN"/>
        </w:rPr>
        <w:t>促进城区经济可持续发展</w:t>
      </w:r>
      <w:r>
        <w:rPr>
          <w:rFonts w:hint="default" w:ascii="Times New Roman" w:hAnsi="Times New Roman" w:eastAsia="仿宋_GB2312" w:cs="Times New Roman"/>
          <w:b w:val="0"/>
          <w:bCs w:val="0"/>
          <w:color w:val="000000"/>
          <w:spacing w:val="0"/>
          <w:sz w:val="32"/>
          <w:szCs w:val="32"/>
          <w:u w:val="none"/>
          <w:lang w:val="en-US" w:eastAsia="zh-CN"/>
        </w:rPr>
        <w:t>，实际</w:t>
      </w:r>
      <w:r>
        <w:rPr>
          <w:rFonts w:hint="eastAsia" w:eastAsia="仿宋_GB2312" w:cs="Times New Roman"/>
          <w:b w:val="0"/>
          <w:bCs w:val="0"/>
          <w:color w:val="000000"/>
          <w:spacing w:val="0"/>
          <w:sz w:val="32"/>
          <w:szCs w:val="32"/>
          <w:u w:val="none"/>
          <w:lang w:val="en-US" w:eastAsia="zh-CN"/>
        </w:rPr>
        <w:t>已完成</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eastAsia" w:eastAsia="仿宋_GB2312" w:cs="仿宋_GB2312"/>
          <w:b/>
          <w:bCs/>
          <w:color w:val="000000"/>
          <w:spacing w:val="0"/>
          <w:sz w:val="32"/>
          <w:szCs w:val="32"/>
          <w:u w:val="none"/>
          <w:lang w:val="en-US" w:eastAsia="zh-CN"/>
        </w:rPr>
        <w:t>2.</w:t>
      </w:r>
      <w:r>
        <w:rPr>
          <w:rFonts w:hint="default" w:ascii="Times New Roman" w:hAnsi="Times New Roman" w:eastAsia="仿宋_GB2312" w:cs="仿宋_GB2312"/>
          <w:b/>
          <w:bCs/>
          <w:color w:val="000000"/>
          <w:spacing w:val="0"/>
          <w:sz w:val="32"/>
          <w:szCs w:val="32"/>
          <w:u w:val="none"/>
          <w:lang w:val="en-US" w:eastAsia="zh-CN"/>
        </w:rPr>
        <w:t>社会效益指标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社会效益指标分值</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分。社会效益指标年度指标值为</w:t>
      </w:r>
      <w:r>
        <w:rPr>
          <w:rFonts w:hint="eastAsia" w:eastAsia="仿宋_GB2312" w:cs="Times New Roman"/>
          <w:b w:val="0"/>
          <w:bCs w:val="0"/>
          <w:color w:val="000000"/>
          <w:spacing w:val="0"/>
          <w:sz w:val="32"/>
          <w:szCs w:val="32"/>
          <w:u w:val="none"/>
          <w:lang w:val="en-US" w:eastAsia="zh-CN"/>
        </w:rPr>
        <w:t>养护工程带动就业人员增加</w:t>
      </w:r>
      <w:r>
        <w:rPr>
          <w:rFonts w:hint="default" w:ascii="Times New Roman" w:hAnsi="Times New Roman" w:eastAsia="仿宋_GB2312" w:cs="Times New Roman"/>
          <w:b w:val="0"/>
          <w:bCs w:val="0"/>
          <w:color w:val="000000"/>
          <w:spacing w:val="0"/>
          <w:sz w:val="32"/>
          <w:szCs w:val="32"/>
          <w:u w:val="none"/>
          <w:lang w:val="en-US" w:eastAsia="zh-CN"/>
        </w:rPr>
        <w:t>，实际</w:t>
      </w:r>
      <w:r>
        <w:rPr>
          <w:rFonts w:hint="eastAsia" w:eastAsia="仿宋_GB2312" w:cs="Times New Roman"/>
          <w:b w:val="0"/>
          <w:bCs w:val="0"/>
          <w:color w:val="000000"/>
          <w:spacing w:val="0"/>
          <w:sz w:val="32"/>
          <w:szCs w:val="32"/>
          <w:u w:val="none"/>
          <w:lang w:val="en-US" w:eastAsia="zh-CN"/>
        </w:rPr>
        <w:t>带动周边群众务工</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eastAsia" w:eastAsia="仿宋_GB2312" w:cs="仿宋_GB2312"/>
          <w:b/>
          <w:bCs/>
          <w:color w:val="000000"/>
          <w:spacing w:val="0"/>
          <w:sz w:val="32"/>
          <w:szCs w:val="32"/>
          <w:u w:val="none"/>
          <w:lang w:val="en-US" w:eastAsia="zh-CN"/>
        </w:rPr>
        <w:t>3.生态</w:t>
      </w:r>
      <w:r>
        <w:rPr>
          <w:rFonts w:hint="default" w:ascii="Times New Roman" w:hAnsi="Times New Roman" w:eastAsia="仿宋_GB2312" w:cs="仿宋_GB2312"/>
          <w:b/>
          <w:bCs/>
          <w:color w:val="000000"/>
          <w:spacing w:val="0"/>
          <w:sz w:val="32"/>
          <w:szCs w:val="32"/>
          <w:u w:val="none"/>
          <w:lang w:val="en-US" w:eastAsia="zh-CN"/>
        </w:rPr>
        <w:t>效益指标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生态</w:t>
      </w:r>
      <w:r>
        <w:rPr>
          <w:rFonts w:hint="default" w:ascii="Times New Roman" w:hAnsi="Times New Roman" w:eastAsia="仿宋_GB2312" w:cs="Times New Roman"/>
          <w:b w:val="0"/>
          <w:bCs w:val="0"/>
          <w:color w:val="000000"/>
          <w:spacing w:val="0"/>
          <w:sz w:val="32"/>
          <w:szCs w:val="32"/>
          <w:u w:val="none"/>
          <w:lang w:val="en-US" w:eastAsia="zh-CN"/>
        </w:rPr>
        <w:t>效益指标分值</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w:t>
      </w:r>
      <w:r>
        <w:rPr>
          <w:rFonts w:hint="eastAsia" w:eastAsia="仿宋_GB2312" w:cs="Times New Roman"/>
          <w:b w:val="0"/>
          <w:bCs w:val="0"/>
          <w:color w:val="000000"/>
          <w:spacing w:val="0"/>
          <w:sz w:val="32"/>
          <w:szCs w:val="32"/>
          <w:u w:val="none"/>
          <w:lang w:val="en-US" w:eastAsia="zh-CN"/>
        </w:rPr>
        <w:t>生态</w:t>
      </w:r>
      <w:r>
        <w:rPr>
          <w:rFonts w:hint="default" w:ascii="Times New Roman" w:hAnsi="Times New Roman" w:eastAsia="仿宋_GB2312" w:cs="Times New Roman"/>
          <w:b w:val="0"/>
          <w:bCs w:val="0"/>
          <w:color w:val="000000"/>
          <w:spacing w:val="0"/>
          <w:sz w:val="32"/>
          <w:szCs w:val="32"/>
          <w:u w:val="none"/>
          <w:lang w:val="en-US" w:eastAsia="zh-CN"/>
        </w:rPr>
        <w:t>效益指标年度指标值为</w:t>
      </w:r>
      <w:r>
        <w:rPr>
          <w:rFonts w:hint="eastAsia" w:eastAsia="仿宋_GB2312" w:cs="Times New Roman"/>
          <w:b w:val="0"/>
          <w:bCs w:val="0"/>
          <w:color w:val="000000"/>
          <w:spacing w:val="0"/>
          <w:sz w:val="32"/>
          <w:szCs w:val="32"/>
          <w:u w:val="none"/>
          <w:lang w:val="en-US" w:eastAsia="zh-CN"/>
        </w:rPr>
        <w:t>提高公共绿地绿化覆盖率</w:t>
      </w:r>
      <w:r>
        <w:rPr>
          <w:rFonts w:hint="default" w:ascii="Times New Roman" w:hAnsi="Times New Roman" w:eastAsia="仿宋_GB2312" w:cs="Times New Roman"/>
          <w:b w:val="0"/>
          <w:bCs w:val="0"/>
          <w:color w:val="000000"/>
          <w:spacing w:val="0"/>
          <w:sz w:val="32"/>
          <w:szCs w:val="32"/>
          <w:u w:val="none"/>
          <w:lang w:val="en-US" w:eastAsia="zh-CN"/>
        </w:rPr>
        <w:t>，实际</w:t>
      </w:r>
      <w:r>
        <w:rPr>
          <w:rFonts w:hint="eastAsia" w:eastAsia="仿宋_GB2312" w:cs="Times New Roman"/>
          <w:b w:val="0"/>
          <w:bCs w:val="0"/>
          <w:color w:val="000000"/>
          <w:spacing w:val="0"/>
          <w:sz w:val="32"/>
          <w:szCs w:val="32"/>
          <w:u w:val="none"/>
          <w:lang w:val="en-US" w:eastAsia="zh-CN"/>
        </w:rPr>
        <w:t>提高1.66</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仿宋_GB2312" w:cs="仿宋_GB2312"/>
          <w:b/>
          <w:bCs/>
          <w:color w:val="000000"/>
          <w:spacing w:val="0"/>
          <w:sz w:val="32"/>
          <w:szCs w:val="32"/>
          <w:u w:val="none"/>
          <w:lang w:val="en-US" w:eastAsia="zh-CN"/>
        </w:rPr>
      </w:pPr>
      <w:r>
        <w:rPr>
          <w:rFonts w:hint="eastAsia" w:eastAsia="仿宋_GB2312" w:cs="仿宋_GB2312"/>
          <w:b/>
          <w:bCs/>
          <w:color w:val="000000"/>
          <w:spacing w:val="0"/>
          <w:sz w:val="32"/>
          <w:szCs w:val="32"/>
          <w:u w:val="none"/>
          <w:lang w:val="en-US" w:eastAsia="zh-CN"/>
        </w:rPr>
        <w:t>4.可持续影响</w:t>
      </w:r>
      <w:r>
        <w:rPr>
          <w:rFonts w:hint="default" w:ascii="Times New Roman" w:hAnsi="Times New Roman" w:eastAsia="仿宋_GB2312" w:cs="仿宋_GB2312"/>
          <w:b/>
          <w:bCs/>
          <w:color w:val="000000"/>
          <w:spacing w:val="0"/>
          <w:sz w:val="32"/>
          <w:szCs w:val="32"/>
          <w:u w:val="none"/>
          <w:lang w:val="en-US" w:eastAsia="zh-CN"/>
        </w:rPr>
        <w:t>指标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可持续效益指标分值</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分。可持续效益指标年度指标值为</w:t>
      </w:r>
      <w:r>
        <w:rPr>
          <w:rFonts w:hint="eastAsia" w:eastAsia="仿宋_GB2312" w:cs="Times New Roman"/>
          <w:b w:val="0"/>
          <w:bCs w:val="0"/>
          <w:color w:val="000000"/>
          <w:spacing w:val="0"/>
          <w:sz w:val="32"/>
          <w:szCs w:val="32"/>
          <w:u w:val="none"/>
          <w:lang w:val="en-US" w:eastAsia="zh-CN"/>
        </w:rPr>
        <w:t>城市环境逐步改善</w:t>
      </w:r>
      <w:r>
        <w:rPr>
          <w:rFonts w:hint="default" w:ascii="Times New Roman" w:hAnsi="Times New Roman" w:eastAsia="仿宋_GB2312" w:cs="Times New Roman"/>
          <w:b w:val="0"/>
          <w:bCs w:val="0"/>
          <w:color w:val="000000"/>
          <w:spacing w:val="0"/>
          <w:sz w:val="32"/>
          <w:szCs w:val="32"/>
          <w:u w:val="none"/>
          <w:lang w:val="en-US" w:eastAsia="zh-CN"/>
        </w:rPr>
        <w:t>，实际</w:t>
      </w:r>
      <w:r>
        <w:rPr>
          <w:rFonts w:hint="eastAsia" w:eastAsia="仿宋_GB2312" w:cs="Times New Roman"/>
          <w:b w:val="0"/>
          <w:bCs w:val="0"/>
          <w:color w:val="000000"/>
          <w:spacing w:val="0"/>
          <w:sz w:val="32"/>
          <w:szCs w:val="32"/>
          <w:u w:val="none"/>
          <w:lang w:val="en-US" w:eastAsia="zh-CN"/>
        </w:rPr>
        <w:t>城市环境得到明显改善</w:t>
      </w:r>
      <w:r>
        <w:rPr>
          <w:rFonts w:hint="default" w:ascii="Times New Roman" w:hAnsi="Times New Roman"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lang w:val="en-US" w:eastAsia="zh-CN"/>
        </w:rPr>
      </w:pPr>
      <w:r>
        <w:rPr>
          <w:rFonts w:hint="eastAsia" w:eastAsia="楷体_GB2312" w:cs="楷体_GB2312"/>
          <w:b/>
          <w:bCs/>
          <w:color w:val="000000"/>
          <w:spacing w:val="0"/>
          <w:sz w:val="32"/>
          <w:szCs w:val="32"/>
          <w:u w:val="none"/>
          <w:lang w:val="en-US" w:eastAsia="zh-CN"/>
        </w:rPr>
        <w:t>（五）</w:t>
      </w:r>
      <w:r>
        <w:rPr>
          <w:rFonts w:hint="default" w:ascii="Times New Roman" w:hAnsi="Times New Roman" w:eastAsia="楷体_GB2312" w:cs="楷体_GB2312"/>
          <w:b/>
          <w:bCs/>
          <w:color w:val="000000"/>
          <w:spacing w:val="0"/>
          <w:sz w:val="32"/>
          <w:szCs w:val="32"/>
          <w:u w:val="none"/>
          <w:lang w:val="en-US" w:eastAsia="zh-CN"/>
        </w:rPr>
        <w:t>满意度情况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满意度指标分值</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分，实际得分</w:t>
      </w:r>
      <w:r>
        <w:rPr>
          <w:rFonts w:hint="eastAsia" w:eastAsia="仿宋_GB2312" w:cs="Times New Roman"/>
          <w:b w:val="0"/>
          <w:bCs w:val="0"/>
          <w:color w:val="000000"/>
          <w:spacing w:val="0"/>
          <w:sz w:val="32"/>
          <w:szCs w:val="32"/>
          <w:u w:val="none"/>
          <w:lang w:val="en-US" w:eastAsia="zh-CN"/>
        </w:rPr>
        <w:t>5</w:t>
      </w:r>
      <w:r>
        <w:rPr>
          <w:rFonts w:hint="default" w:ascii="Times New Roman" w:hAnsi="Times New Roman" w:eastAsia="仿宋_GB2312" w:cs="Times New Roman"/>
          <w:b w:val="0"/>
          <w:bCs w:val="0"/>
          <w:color w:val="000000"/>
          <w:spacing w:val="0"/>
          <w:sz w:val="32"/>
          <w:szCs w:val="32"/>
          <w:u w:val="none"/>
          <w:lang w:val="en-US" w:eastAsia="zh-CN"/>
        </w:rPr>
        <w:t>分。满意度指标年度指标值为群众满意情况</w:t>
      </w:r>
      <w:r>
        <w:rPr>
          <w:rFonts w:hint="default" w:ascii="Arial" w:hAnsi="Arial" w:eastAsia="仿宋_GB2312" w:cs="Arial"/>
          <w:b w:val="0"/>
          <w:bCs w:val="0"/>
          <w:color w:val="000000"/>
          <w:spacing w:val="0"/>
          <w:sz w:val="32"/>
          <w:szCs w:val="32"/>
          <w:u w:val="none"/>
          <w:lang w:val="en-US" w:eastAsia="zh-CN"/>
        </w:rPr>
        <w:t>≥</w:t>
      </w:r>
      <w:r>
        <w:rPr>
          <w:rFonts w:hint="eastAsia" w:eastAsia="仿宋_GB2312" w:cs="Times New Roman"/>
          <w:b w:val="0"/>
          <w:bCs w:val="0"/>
          <w:color w:val="000000"/>
          <w:spacing w:val="0"/>
          <w:sz w:val="32"/>
          <w:szCs w:val="32"/>
          <w:u w:val="none"/>
          <w:lang w:val="en-US" w:eastAsia="zh-CN"/>
        </w:rPr>
        <w:t>90</w:t>
      </w:r>
      <w:r>
        <w:rPr>
          <w:rFonts w:hint="default" w:ascii="Times New Roman" w:hAnsi="Times New Roman" w:eastAsia="仿宋_GB2312" w:cs="Times New Roman"/>
          <w:b w:val="0"/>
          <w:bCs w:val="0"/>
          <w:color w:val="000000"/>
          <w:spacing w:val="0"/>
          <w:sz w:val="32"/>
          <w:szCs w:val="32"/>
          <w:u w:val="none"/>
          <w:lang w:val="en-US" w:eastAsia="zh-CN"/>
        </w:rPr>
        <w:t>%，实际调查群众满意度91%</w:t>
      </w:r>
      <w:r>
        <w:rPr>
          <w:rFonts w:hint="eastAsia"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五、主要经验及做法、存在的问题及原因分析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default" w:ascii="Times New Roman" w:hAnsi="Times New Roman" w:eastAsia="楷体_GB2312" w:cs="楷体_GB2312"/>
          <w:b/>
          <w:bCs/>
          <w:color w:val="000000"/>
          <w:spacing w:val="0"/>
          <w:sz w:val="32"/>
          <w:szCs w:val="32"/>
          <w:u w:val="none"/>
          <w:lang w:val="en-US" w:eastAsia="zh-CN"/>
        </w:rPr>
      </w:pPr>
      <w:r>
        <w:rPr>
          <w:rFonts w:hint="default" w:ascii="Times New Roman" w:hAnsi="Times New Roman" w:eastAsia="楷体_GB2312" w:cs="楷体_GB2312"/>
          <w:b/>
          <w:bCs/>
          <w:color w:val="000000"/>
          <w:spacing w:val="0"/>
          <w:sz w:val="32"/>
          <w:szCs w:val="32"/>
          <w:u w:val="none"/>
          <w:lang w:val="en-US" w:eastAsia="zh-CN"/>
        </w:rPr>
        <w:t>（一）主要经验及做法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202</w:t>
      </w:r>
      <w:r>
        <w:rPr>
          <w:rFonts w:hint="eastAsia" w:eastAsia="仿宋_GB2312" w:cs="Times New Roman"/>
          <w:b w:val="0"/>
          <w:bCs w:val="0"/>
          <w:color w:val="000000"/>
          <w:spacing w:val="0"/>
          <w:sz w:val="32"/>
          <w:szCs w:val="32"/>
          <w:u w:val="none"/>
          <w:lang w:val="en-US" w:eastAsia="zh-CN"/>
        </w:rPr>
        <w:t>3</w:t>
      </w:r>
      <w:r>
        <w:rPr>
          <w:rFonts w:hint="default" w:ascii="Times New Roman" w:hAnsi="Times New Roman" w:eastAsia="仿宋_GB2312" w:cs="Times New Roman"/>
          <w:b w:val="0"/>
          <w:bCs w:val="0"/>
          <w:color w:val="000000"/>
          <w:spacing w:val="0"/>
          <w:sz w:val="32"/>
          <w:szCs w:val="32"/>
          <w:u w:val="none"/>
          <w:lang w:val="en-US" w:eastAsia="zh-CN"/>
        </w:rPr>
        <w:t>年度，在</w:t>
      </w:r>
      <w:r>
        <w:rPr>
          <w:rFonts w:hint="eastAsia" w:eastAsia="仿宋_GB2312" w:cs="Times New Roman"/>
          <w:b w:val="0"/>
          <w:bCs w:val="0"/>
          <w:color w:val="000000"/>
          <w:spacing w:val="0"/>
          <w:sz w:val="32"/>
          <w:szCs w:val="32"/>
          <w:u w:val="none"/>
          <w:lang w:val="en-US" w:eastAsia="zh-CN"/>
        </w:rPr>
        <w:t>园林绿化</w:t>
      </w:r>
      <w:r>
        <w:rPr>
          <w:rFonts w:hint="default" w:ascii="Times New Roman" w:hAnsi="Times New Roman" w:eastAsia="仿宋_GB2312" w:cs="Times New Roman"/>
          <w:b w:val="0"/>
          <w:bCs w:val="0"/>
          <w:color w:val="000000"/>
          <w:spacing w:val="0"/>
          <w:sz w:val="32"/>
          <w:szCs w:val="32"/>
          <w:u w:val="none"/>
          <w:lang w:val="en-US" w:eastAsia="zh-CN"/>
        </w:rPr>
        <w:t>局绩效评价工作小组的领导下，及时协调相关业务</w:t>
      </w:r>
      <w:r>
        <w:rPr>
          <w:rFonts w:hint="eastAsia" w:eastAsia="仿宋_GB2312" w:cs="Times New Roman"/>
          <w:b w:val="0"/>
          <w:bCs w:val="0"/>
          <w:color w:val="000000"/>
          <w:spacing w:val="0"/>
          <w:sz w:val="32"/>
          <w:szCs w:val="32"/>
          <w:u w:val="none"/>
          <w:lang w:val="en-US" w:eastAsia="zh-CN"/>
        </w:rPr>
        <w:t>股</w:t>
      </w:r>
      <w:r>
        <w:rPr>
          <w:rFonts w:hint="default" w:ascii="Times New Roman" w:hAnsi="Times New Roman" w:eastAsia="仿宋_GB2312" w:cs="Times New Roman"/>
          <w:b w:val="0"/>
          <w:bCs w:val="0"/>
          <w:color w:val="000000"/>
          <w:spacing w:val="0"/>
          <w:sz w:val="32"/>
          <w:szCs w:val="32"/>
          <w:u w:val="none"/>
          <w:lang w:val="en-US" w:eastAsia="zh-CN"/>
        </w:rPr>
        <w:t>室，形成了财务</w:t>
      </w:r>
      <w:r>
        <w:rPr>
          <w:rFonts w:hint="eastAsia" w:eastAsia="仿宋_GB2312" w:cs="Times New Roman"/>
          <w:b w:val="0"/>
          <w:bCs w:val="0"/>
          <w:color w:val="000000"/>
          <w:spacing w:val="0"/>
          <w:sz w:val="32"/>
          <w:szCs w:val="32"/>
          <w:u w:val="none"/>
          <w:lang w:val="en-US" w:eastAsia="zh-CN"/>
        </w:rPr>
        <w:t>室</w:t>
      </w:r>
      <w:r>
        <w:rPr>
          <w:rFonts w:hint="default" w:ascii="Times New Roman" w:hAnsi="Times New Roman" w:eastAsia="仿宋_GB2312" w:cs="Times New Roman"/>
          <w:b w:val="0"/>
          <w:bCs w:val="0"/>
          <w:color w:val="000000"/>
          <w:spacing w:val="0"/>
          <w:sz w:val="32"/>
          <w:szCs w:val="32"/>
          <w:u w:val="none"/>
          <w:lang w:val="en-US" w:eastAsia="zh-CN"/>
        </w:rPr>
        <w:t>牵头，具体项目实施</w:t>
      </w:r>
      <w:r>
        <w:rPr>
          <w:rFonts w:hint="eastAsia" w:eastAsia="仿宋_GB2312" w:cs="Times New Roman"/>
          <w:b w:val="0"/>
          <w:bCs w:val="0"/>
          <w:color w:val="000000"/>
          <w:spacing w:val="0"/>
          <w:sz w:val="32"/>
          <w:szCs w:val="32"/>
          <w:u w:val="none"/>
          <w:lang w:val="en-US" w:eastAsia="zh-CN"/>
        </w:rPr>
        <w:t>股</w:t>
      </w:r>
      <w:r>
        <w:rPr>
          <w:rFonts w:hint="default" w:ascii="Times New Roman" w:hAnsi="Times New Roman" w:eastAsia="仿宋_GB2312" w:cs="Times New Roman"/>
          <w:b w:val="0"/>
          <w:bCs w:val="0"/>
          <w:color w:val="000000"/>
          <w:spacing w:val="0"/>
          <w:sz w:val="32"/>
          <w:szCs w:val="32"/>
          <w:u w:val="none"/>
          <w:lang w:val="en-US" w:eastAsia="zh-CN"/>
        </w:rPr>
        <w:t>室为主体的预算编制、评价工作机制，预算编制、执行、监督、评价各工作环节均明确责任和完成时限，有效保证各项工件的顺利推进。</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3" w:firstLineChars="200"/>
        <w:jc w:val="both"/>
        <w:textAlignment w:val="auto"/>
        <w:outlineLvl w:val="9"/>
        <w:rPr>
          <w:rFonts w:hint="eastAsia" w:ascii="Times New Roman" w:hAnsi="Times New Roman" w:eastAsia="楷体_GB2312" w:cs="楷体_GB2312"/>
          <w:b/>
          <w:bCs/>
          <w:color w:val="000000"/>
          <w:spacing w:val="0"/>
          <w:sz w:val="32"/>
          <w:szCs w:val="32"/>
          <w:u w:val="none"/>
          <w:lang w:val="en-US" w:eastAsia="zh-CN"/>
        </w:rPr>
      </w:pPr>
      <w:r>
        <w:rPr>
          <w:rFonts w:hint="eastAsia" w:ascii="Times New Roman" w:hAnsi="Times New Roman" w:eastAsia="楷体_GB2312" w:cs="楷体_GB2312"/>
          <w:b/>
          <w:bCs/>
          <w:color w:val="000000"/>
          <w:spacing w:val="0"/>
          <w:sz w:val="32"/>
          <w:szCs w:val="32"/>
          <w:u w:val="none"/>
          <w:lang w:val="en-US" w:eastAsia="zh-CN"/>
        </w:rPr>
        <w:t>存在的问题及原因分析</w:t>
      </w:r>
    </w:p>
    <w:p>
      <w:pPr>
        <w:pStyle w:val="2"/>
        <w:keepNext w:val="0"/>
        <w:keepLines w:val="0"/>
        <w:pageBreakBefore w:val="0"/>
        <w:widowControl w:val="0"/>
        <w:kinsoku/>
        <w:wordWrap/>
        <w:overflowPunct/>
        <w:topLinePunct w:val="0"/>
        <w:autoSpaceDE/>
        <w:autoSpaceDN/>
        <w:bidi w:val="0"/>
        <w:adjustRightInd/>
        <w:snapToGrid/>
        <w:spacing w:after="0" w:afterLines="0" w:line="540" w:lineRule="exact"/>
        <w:ind w:left="0" w:leftChars="0" w:firstLine="640" w:firstLineChars="200"/>
        <w:textAlignment w:val="auto"/>
        <w:rPr>
          <w:rFonts w:hint="default" w:ascii="Times New Roman" w:hAnsi="Times New Roman" w:eastAsia="仿宋_GB2312" w:cs="Times New Roman"/>
          <w:b w:val="0"/>
          <w:bCs w:val="0"/>
          <w:color w:val="000000"/>
          <w:spacing w:val="0"/>
          <w:kern w:val="2"/>
          <w:sz w:val="32"/>
          <w:szCs w:val="32"/>
          <w:u w:val="none"/>
          <w:lang w:val="en-US" w:eastAsia="zh-CN" w:bidi="ar-SA"/>
        </w:rPr>
      </w:pPr>
      <w:r>
        <w:rPr>
          <w:rFonts w:hint="eastAsia" w:ascii="仿宋_GB2312" w:hAnsi="仿宋_GB2312" w:eastAsia="仿宋_GB2312" w:cs="仿宋_GB2312"/>
          <w:sz w:val="32"/>
          <w:szCs w:val="32"/>
          <w:lang w:val="en-US" w:eastAsia="zh-CN"/>
        </w:rPr>
        <w:t>1.项目资金支付率低。</w:t>
      </w:r>
      <w:r>
        <w:rPr>
          <w:rFonts w:hint="eastAsia" w:ascii="Times New Roman" w:hAnsi="Times New Roman" w:eastAsia="仿宋_GB2312" w:cs="Times New Roman"/>
          <w:b w:val="0"/>
          <w:bCs w:val="0"/>
          <w:color w:val="000000"/>
          <w:spacing w:val="0"/>
          <w:kern w:val="2"/>
          <w:sz w:val="32"/>
          <w:szCs w:val="32"/>
          <w:u w:val="none"/>
          <w:lang w:val="en-US" w:eastAsia="zh-CN" w:bidi="ar-SA"/>
        </w:rPr>
        <w:t xml:space="preserve">财政拨付资金有限，未能及时对所有绿地养护项目进行资金拨付；养护面积较大，单位现有专业技术人员有限，不能做到对所有绿地养护项目进行技术指导。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eastAsia" w:eastAsia="仿宋_GB2312" w:cs="Times New Roman"/>
          <w:b w:val="0"/>
          <w:bCs w:val="0"/>
          <w:color w:val="000000"/>
          <w:spacing w:val="0"/>
          <w:sz w:val="32"/>
          <w:szCs w:val="32"/>
          <w:u w:val="none"/>
          <w:lang w:val="en-US" w:eastAsia="zh-CN"/>
        </w:rPr>
        <w:t>2.</w:t>
      </w:r>
      <w:r>
        <w:rPr>
          <w:rFonts w:hint="default" w:ascii="Times New Roman" w:hAnsi="Times New Roman" w:eastAsia="仿宋_GB2312" w:cs="Times New Roman"/>
          <w:b w:val="0"/>
          <w:bCs w:val="0"/>
          <w:color w:val="000000"/>
          <w:spacing w:val="0"/>
          <w:sz w:val="32"/>
          <w:szCs w:val="32"/>
          <w:u w:val="none"/>
          <w:lang w:val="en-US" w:eastAsia="zh-CN"/>
        </w:rPr>
        <w:t>绩效监控力度不足，预算执行力有待提高</w:t>
      </w:r>
      <w:r>
        <w:rPr>
          <w:rFonts w:hint="eastAsia" w:eastAsia="仿宋_GB2312" w:cs="Times New Roman"/>
          <w:b w:val="0"/>
          <w:bCs w:val="0"/>
          <w:color w:val="000000"/>
          <w:spacing w:val="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六、有关建议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1</w:t>
      </w:r>
      <w:r>
        <w:rPr>
          <w:rFonts w:hint="eastAsia"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进一步加强预算管理工作，参考上一年度绩效评价结果科学预测下一年度收支情况，进行科学合理单位预算编制。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2</w:t>
      </w:r>
      <w:r>
        <w:rPr>
          <w:rFonts w:hint="eastAsia" w:eastAsia="仿宋_GB2312" w:cs="Times New Roman"/>
          <w:b w:val="0"/>
          <w:bCs w:val="0"/>
          <w:color w:val="000000"/>
          <w:spacing w:val="0"/>
          <w:sz w:val="32"/>
          <w:szCs w:val="32"/>
          <w:u w:val="none"/>
          <w:lang w:val="en-US" w:eastAsia="zh-CN"/>
        </w:rPr>
        <w:t>.</w:t>
      </w:r>
      <w:r>
        <w:rPr>
          <w:rFonts w:hint="default" w:ascii="Times New Roman" w:hAnsi="Times New Roman" w:eastAsia="仿宋_GB2312" w:cs="Times New Roman"/>
          <w:b w:val="0"/>
          <w:bCs w:val="0"/>
          <w:color w:val="000000"/>
          <w:spacing w:val="0"/>
          <w:sz w:val="32"/>
          <w:szCs w:val="32"/>
          <w:u w:val="none"/>
          <w:lang w:val="en-US" w:eastAsia="zh-CN"/>
        </w:rPr>
        <w:t>建立比较完善的监督机制，强化预算绩效管理，提高财政资金使用效率。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黑体" w:cs="黑体"/>
          <w:b w:val="0"/>
          <w:bCs w:val="0"/>
          <w:color w:val="000000"/>
          <w:spacing w:val="0"/>
          <w:sz w:val="32"/>
          <w:szCs w:val="32"/>
          <w:u w:val="none"/>
          <w:lang w:val="en-US" w:eastAsia="zh-CN"/>
        </w:rPr>
      </w:pPr>
      <w:r>
        <w:rPr>
          <w:rFonts w:hint="default" w:ascii="Times New Roman" w:hAnsi="Times New Roman" w:eastAsia="黑体" w:cs="黑体"/>
          <w:b w:val="0"/>
          <w:bCs w:val="0"/>
          <w:color w:val="000000"/>
          <w:spacing w:val="0"/>
          <w:sz w:val="32"/>
          <w:szCs w:val="32"/>
          <w:u w:val="none"/>
          <w:lang w:val="en-US" w:eastAsia="zh-CN"/>
        </w:rPr>
        <w:t>七、其他需要说明的问题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spacing w:val="0"/>
          <w:sz w:val="32"/>
          <w:szCs w:val="32"/>
          <w:u w:val="none"/>
          <w:lang w:val="en-US" w:eastAsia="zh-CN"/>
        </w:rPr>
      </w:pPr>
      <w:r>
        <w:rPr>
          <w:rFonts w:hint="default" w:ascii="Times New Roman" w:hAnsi="Times New Roman" w:eastAsia="仿宋_GB2312" w:cs="Times New Roman"/>
          <w:b w:val="0"/>
          <w:bCs w:val="0"/>
          <w:color w:val="000000"/>
          <w:spacing w:val="0"/>
          <w:sz w:val="32"/>
          <w:szCs w:val="32"/>
          <w:u w:val="none"/>
          <w:lang w:val="en-US" w:eastAsia="zh-CN"/>
        </w:rPr>
        <w:t>无。</w:t>
      </w:r>
    </w:p>
    <w:p/>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5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11052C"/>
    <w:multiLevelType w:val="singleLevel"/>
    <w:tmpl w:val="8211052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xZmRhZDYwNGU4NjgyOTMyN2RiN2E4NmVhN2JhNWEifQ=="/>
  </w:docVars>
  <w:rsids>
    <w:rsidRoot w:val="4E3C4A8E"/>
    <w:rsid w:val="003C6768"/>
    <w:rsid w:val="09862E1C"/>
    <w:rsid w:val="0DAF0B93"/>
    <w:rsid w:val="28C730F1"/>
    <w:rsid w:val="2A020C0A"/>
    <w:rsid w:val="2B614F57"/>
    <w:rsid w:val="2DCC3E50"/>
    <w:rsid w:val="32D00AE0"/>
    <w:rsid w:val="33356B95"/>
    <w:rsid w:val="382A2971"/>
    <w:rsid w:val="44F66DE0"/>
    <w:rsid w:val="45B23293"/>
    <w:rsid w:val="468E5D67"/>
    <w:rsid w:val="4A8E6E5F"/>
    <w:rsid w:val="4B3E5A34"/>
    <w:rsid w:val="4D125AC0"/>
    <w:rsid w:val="4E3C4A8E"/>
    <w:rsid w:val="531574E5"/>
    <w:rsid w:val="565C42B5"/>
    <w:rsid w:val="56B91708"/>
    <w:rsid w:val="5BA807D9"/>
    <w:rsid w:val="5C6B34A4"/>
    <w:rsid w:val="5D3237F0"/>
    <w:rsid w:val="64947310"/>
    <w:rsid w:val="67817DD1"/>
    <w:rsid w:val="67F1426D"/>
    <w:rsid w:val="7343262D"/>
    <w:rsid w:val="7E6055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楷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customStyle="1" w:styleId="2">
    <w:name w:val="Body Text First Indent 21"/>
    <w:basedOn w:val="3"/>
    <w:autoRedefine/>
    <w:qFormat/>
    <w:uiPriority w:val="0"/>
    <w:pPr>
      <w:ind w:firstLine="420" w:firstLineChars="200"/>
    </w:pPr>
  </w:style>
  <w:style w:type="paragraph" w:customStyle="1" w:styleId="3">
    <w:name w:val="Body Text Indent1"/>
    <w:basedOn w:val="1"/>
    <w:autoRedefine/>
    <w:qFormat/>
    <w:uiPriority w:val="0"/>
    <w:pPr>
      <w:spacing w:after="120" w:afterLines="0"/>
      <w:ind w:left="420" w:leftChars="200"/>
    </w:pPr>
  </w:style>
  <w:style w:type="paragraph" w:styleId="4">
    <w:name w:val="Body Text Indent 2"/>
    <w:basedOn w:val="1"/>
    <w:next w:val="1"/>
    <w:autoRedefine/>
    <w:qFormat/>
    <w:uiPriority w:val="0"/>
    <w:pPr>
      <w:spacing w:after="120" w:line="480" w:lineRule="auto"/>
      <w:ind w:left="420" w:leftChars="200"/>
    </w:pPr>
    <w:rPr>
      <w:rFonts w:cs="Times New Roman"/>
      <w:szCs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3966</Words>
  <Characters>4178</Characters>
  <Lines>0</Lines>
  <Paragraphs>0</Paragraphs>
  <TotalTime>8</TotalTime>
  <ScaleCrop>false</ScaleCrop>
  <LinksUpToDate>false</LinksUpToDate>
  <CharactersWithSpaces>4180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2024-05-21T00:36:00Z</dcterms:created>
  <dc:creator>莫斯</dc:creator>
  <cp:lastModifiedBy>莫斯</cp:lastModifiedBy>
  <cp:lastPrinted>2024-07-12T01:38:11Z</cp:lastPrinted>
  <dcterms:modified xsi:type="dcterms:W3CDTF">2024-07-12T01:39:18Z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87FFB46F78B341539434C8ABC49A2C8D_11</vt:lpwstr>
  </property>
</Properties>
</file>