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4108" w:firstLineChars="1300"/>
        <w:jc w:val="both"/>
        <w:textAlignment w:val="auto"/>
        <w:rPr>
          <w:rFonts w:hint="eastAsia" w:ascii="仿宋_GB2312" w:hAnsi="Times New Roman" w:cs="仿宋_GB2312"/>
          <w:color w:val="auto"/>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4108" w:firstLineChars="1300"/>
        <w:jc w:val="both"/>
        <w:textAlignment w:val="auto"/>
        <w:rPr>
          <w:rFonts w:hint="eastAsia" w:ascii="仿宋_GB2312" w:hAnsi="Times New Roman" w:cs="仿宋_GB2312"/>
          <w:color w:val="auto"/>
          <w:kern w:val="2"/>
          <w:sz w:val="32"/>
          <w:szCs w:val="32"/>
          <w:lang w:val="en-US" w:eastAsia="zh-CN" w:bidi="ar"/>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70" w:lineRule="exact"/>
        <w:ind w:leftChars="0" w:right="0"/>
        <w:jc w:val="center"/>
        <w:textAlignment w:val="auto"/>
        <w:rPr>
          <w:rFonts w:hint="eastAsia" w:ascii="方正小标宋简体" w:hAnsi="方正小标宋简体" w:eastAsia="方正小标宋简体" w:cs="方正小标宋简体"/>
          <w:sz w:val="44"/>
          <w:szCs w:val="44"/>
          <w:lang w:val="en-US" w:eastAsia="zh-CN"/>
        </w:rPr>
      </w:pPr>
      <w:r>
        <w:rPr>
          <w:rFonts w:hint="eastAsia" w:ascii="仿宋_GB2312" w:hAnsi="Times New Roman" w:cs="仿宋_GB2312"/>
          <w:color w:val="auto"/>
          <w:kern w:val="2"/>
          <w:sz w:val="32"/>
          <w:szCs w:val="32"/>
          <w:lang w:val="en-US" w:eastAsia="zh-CN" w:bidi="ar"/>
        </w:rPr>
        <w:t xml:space="preserve"> </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52" w:lineRule="exact"/>
        <w:ind w:leftChars="0" w:right="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民乐县退役军人事务局</w:t>
      </w:r>
    </w:p>
    <w:p>
      <w:pPr>
        <w:keepNext w:val="0"/>
        <w:keepLines w:val="0"/>
        <w:pageBreakBefore w:val="0"/>
        <w:widowControl w:val="0"/>
        <w:kinsoku/>
        <w:wordWrap/>
        <w:overflowPunct/>
        <w:topLinePunct w:val="0"/>
        <w:autoSpaceDE/>
        <w:autoSpaceDN/>
        <w:bidi w:val="0"/>
        <w:adjustRightInd/>
        <w:snapToGrid/>
        <w:spacing w:line="552" w:lineRule="exact"/>
        <w:ind w:left="0" w:leftChars="0"/>
        <w:jc w:val="center"/>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方正小标宋简体" w:hAnsi="方正小标宋简体" w:eastAsia="方正小标宋简体" w:cs="方正小标宋简体"/>
          <w:color w:val="auto"/>
          <w:sz w:val="44"/>
          <w:szCs w:val="44"/>
          <w:highlight w:val="none"/>
        </w:rPr>
        <w:t>202</w:t>
      </w:r>
      <w:r>
        <w:rPr>
          <w:rFonts w:hint="eastAsia" w:ascii="方正小标宋简体" w:hAnsi="方正小标宋简体" w:eastAsia="方正小标宋简体" w:cs="方正小标宋简体"/>
          <w:color w:val="auto"/>
          <w:sz w:val="44"/>
          <w:szCs w:val="44"/>
          <w:highlight w:val="none"/>
          <w:lang w:val="en-US" w:eastAsia="zh-CN"/>
        </w:rPr>
        <w:t>3</w:t>
      </w:r>
      <w:r>
        <w:rPr>
          <w:rFonts w:hint="eastAsia" w:ascii="方正小标宋简体" w:hAnsi="方正小标宋简体" w:eastAsia="方正小标宋简体" w:cs="方正小标宋简体"/>
          <w:color w:val="auto"/>
          <w:sz w:val="44"/>
          <w:szCs w:val="44"/>
          <w:highlight w:val="none"/>
        </w:rPr>
        <w:t>年度</w:t>
      </w:r>
      <w:r>
        <w:rPr>
          <w:rFonts w:hint="eastAsia" w:ascii="方正小标宋简体" w:hAnsi="方正小标宋简体" w:eastAsia="方正小标宋简体" w:cs="方正小标宋简体"/>
          <w:color w:val="auto"/>
          <w:sz w:val="44"/>
          <w:szCs w:val="44"/>
          <w:highlight w:val="none"/>
          <w:lang w:val="en-US" w:eastAsia="zh-CN"/>
        </w:rPr>
        <w:t>单位整体支出绩效目标监控</w:t>
      </w:r>
      <w:r>
        <w:rPr>
          <w:rFonts w:hint="eastAsia" w:ascii="方正小标宋简体" w:hAnsi="方正小标宋简体" w:eastAsia="方正小标宋简体" w:cs="方正小标宋简体"/>
          <w:color w:val="auto"/>
          <w:sz w:val="44"/>
          <w:szCs w:val="44"/>
          <w:highlight w:val="none"/>
        </w:rPr>
        <w:t>报告</w:t>
      </w:r>
      <w:r>
        <w:rPr>
          <w:rFonts w:hint="eastAsia" w:ascii="方正小标宋简体" w:hAnsi="方正小标宋简体" w:eastAsia="方正小标宋简体" w:cs="方正小标宋简体"/>
          <w:color w:val="auto"/>
          <w:sz w:val="44"/>
          <w:szCs w:val="44"/>
          <w:highlight w:val="none"/>
        </w:rPr>
        <w:br w:type="textWrapping"/>
      </w:r>
    </w:p>
    <w:p>
      <w:pPr>
        <w:pStyle w:val="10"/>
        <w:keepNext w:val="0"/>
        <w:keepLines w:val="0"/>
        <w:pageBreakBefore w:val="0"/>
        <w:widowControl w:val="0"/>
        <w:kinsoku/>
        <w:wordWrap/>
        <w:overflowPunct/>
        <w:topLinePunct w:val="0"/>
        <w:autoSpaceDE/>
        <w:autoSpaceDN/>
        <w:bidi w:val="0"/>
        <w:adjustRightInd/>
        <w:snapToGrid/>
        <w:spacing w:line="552" w:lineRule="exact"/>
        <w:ind w:left="0" w:leftChars="0" w:firstLine="0" w:firstLineChars="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县财政局：</w:t>
      </w:r>
    </w:p>
    <w:p>
      <w:pPr>
        <w:keepNext w:val="0"/>
        <w:keepLines w:val="0"/>
        <w:pageBreakBefore w:val="0"/>
        <w:widowControl w:val="0"/>
        <w:numPr>
          <w:ilvl w:val="0"/>
          <w:numId w:val="0"/>
        </w:numPr>
        <w:kinsoku/>
        <w:wordWrap/>
        <w:overflowPunct/>
        <w:topLinePunct w:val="0"/>
        <w:autoSpaceDE/>
        <w:autoSpaceDN/>
        <w:bidi w:val="0"/>
        <w:adjustRightInd/>
        <w:snapToGrid/>
        <w:spacing w:line="552" w:lineRule="exact"/>
        <w:ind w:leftChars="0" w:firstLine="632"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根据</w:t>
      </w:r>
      <w:r>
        <w:rPr>
          <w:rFonts w:hint="eastAsia" w:ascii="仿宋_GB2312" w:hAnsi="仿宋_GB2312" w:eastAsia="仿宋_GB2312" w:cs="仿宋_GB2312"/>
          <w:color w:val="auto"/>
          <w:sz w:val="32"/>
          <w:szCs w:val="32"/>
          <w:highlight w:val="none"/>
          <w:lang w:val="en-US" w:eastAsia="zh-CN"/>
        </w:rPr>
        <w:t>《关于开展2023年度县级预算执行情况绩效单位自评暨2024年度绩效目标申报和事前绩效评估工作的通知》要求，我部门高度重视，认真组织开展县级预算执行情况绩效单位自评工作，现将2023年度单位整体支出绩效目标监控报告如下：</w:t>
      </w:r>
    </w:p>
    <w:p>
      <w:pPr>
        <w:keepNext w:val="0"/>
        <w:keepLines w:val="0"/>
        <w:pageBreakBefore w:val="0"/>
        <w:widowControl w:val="0"/>
        <w:numPr>
          <w:ilvl w:val="0"/>
          <w:numId w:val="0"/>
        </w:numPr>
        <w:kinsoku/>
        <w:wordWrap/>
        <w:overflowPunct/>
        <w:topLinePunct w:val="0"/>
        <w:autoSpaceDE/>
        <w:autoSpaceDN/>
        <w:bidi w:val="0"/>
        <w:adjustRightInd/>
        <w:snapToGrid/>
        <w:spacing w:line="552" w:lineRule="exact"/>
        <w:ind w:leftChars="0" w:firstLine="632" w:firstLineChars="2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一、</w:t>
      </w:r>
      <w:r>
        <w:rPr>
          <w:rFonts w:hint="eastAsia" w:ascii="黑体" w:hAnsi="黑体" w:eastAsia="黑体" w:cs="黑体"/>
          <w:color w:val="auto"/>
          <w:sz w:val="32"/>
          <w:szCs w:val="32"/>
          <w:highlight w:val="none"/>
        </w:rPr>
        <w:t>基本情况</w:t>
      </w:r>
    </w:p>
    <w:p>
      <w:pPr>
        <w:keepNext w:val="0"/>
        <w:keepLines w:val="0"/>
        <w:pageBreakBefore w:val="0"/>
        <w:widowControl w:val="0"/>
        <w:numPr>
          <w:ilvl w:val="0"/>
          <w:numId w:val="0"/>
        </w:numPr>
        <w:kinsoku/>
        <w:wordWrap/>
        <w:overflowPunct/>
        <w:topLinePunct w:val="0"/>
        <w:autoSpaceDE/>
        <w:autoSpaceDN/>
        <w:bidi w:val="0"/>
        <w:adjustRightInd/>
        <w:snapToGrid/>
        <w:spacing w:line="552" w:lineRule="exact"/>
        <w:ind w:leftChars="0" w:firstLine="632" w:firstLineChars="200"/>
        <w:jc w:val="both"/>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color w:val="auto"/>
          <w:sz w:val="32"/>
          <w:szCs w:val="32"/>
          <w:highlight w:val="none"/>
          <w:lang w:eastAsia="zh-CN"/>
        </w:rPr>
        <w:t>（</w:t>
      </w:r>
      <w:r>
        <w:rPr>
          <w:rFonts w:hint="eastAsia" w:ascii="楷体_GB2312" w:hAnsi="楷体_GB2312" w:eastAsia="楷体_GB2312" w:cs="楷体_GB2312"/>
          <w:color w:val="auto"/>
          <w:sz w:val="32"/>
          <w:szCs w:val="32"/>
          <w:highlight w:val="none"/>
          <w:lang w:val="en-US" w:eastAsia="zh-CN"/>
        </w:rPr>
        <w:t>一</w:t>
      </w:r>
      <w:r>
        <w:rPr>
          <w:rFonts w:hint="eastAsia" w:ascii="楷体_GB2312" w:hAnsi="楷体_GB2312" w:eastAsia="楷体_GB2312" w:cs="楷体_GB2312"/>
          <w:color w:val="auto"/>
          <w:sz w:val="32"/>
          <w:szCs w:val="32"/>
          <w:highlight w:val="none"/>
          <w:lang w:eastAsia="zh-CN"/>
        </w:rPr>
        <w:t>）</w:t>
      </w:r>
      <w:r>
        <w:rPr>
          <w:rFonts w:hint="eastAsia" w:ascii="楷体_GB2312" w:hAnsi="楷体_GB2312" w:eastAsia="楷体_GB2312" w:cs="楷体_GB2312"/>
          <w:color w:val="auto"/>
          <w:sz w:val="32"/>
          <w:szCs w:val="32"/>
          <w:highlight w:val="none"/>
        </w:rPr>
        <w:t>部门主要职能</w:t>
      </w:r>
    </w:p>
    <w:p>
      <w:pPr>
        <w:keepNext w:val="0"/>
        <w:keepLines w:val="0"/>
        <w:pageBreakBefore w:val="0"/>
        <w:widowControl w:val="0"/>
        <w:numPr>
          <w:ilvl w:val="0"/>
          <w:numId w:val="0"/>
        </w:numPr>
        <w:kinsoku/>
        <w:wordWrap/>
        <w:overflowPunct/>
        <w:topLinePunct w:val="0"/>
        <w:autoSpaceDE/>
        <w:autoSpaceDN/>
        <w:bidi w:val="0"/>
        <w:adjustRightInd/>
        <w:snapToGrid/>
        <w:spacing w:line="552" w:lineRule="exact"/>
        <w:ind w:leftChars="0" w:firstLine="632"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县退役军人事务局贯彻落实党中央和省市县委关于退役军人事务工作的方针政策和决策部署，在履行职责过程中坚持和加强党对退役军人事务工作的集中统一领导。加强退役军人思想政治工作和服务保障体系建设，建立健全集中统一、职责清晰的退役军人管理保障体制，协调各方力量更好为军人军属服务，维护军人军属合法权益，让军人成为全社会尊崇的职业，褒扬彰显退役军人为党、国家和人民牺牲奉献的精神风范和价值导向，更好地为增强部队战斗力和凝聚力做好组织保障。</w:t>
      </w:r>
    </w:p>
    <w:p>
      <w:pPr>
        <w:keepNext w:val="0"/>
        <w:keepLines w:val="0"/>
        <w:pageBreakBefore w:val="0"/>
        <w:widowControl w:val="0"/>
        <w:numPr>
          <w:ilvl w:val="0"/>
          <w:numId w:val="0"/>
        </w:numPr>
        <w:kinsoku/>
        <w:wordWrap/>
        <w:overflowPunct/>
        <w:topLinePunct w:val="0"/>
        <w:autoSpaceDE/>
        <w:autoSpaceDN/>
        <w:bidi w:val="0"/>
        <w:adjustRightInd/>
        <w:snapToGrid/>
        <w:spacing w:line="552" w:lineRule="exact"/>
        <w:ind w:leftChars="0" w:firstLine="632" w:firstLineChars="200"/>
        <w:jc w:val="both"/>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color w:val="auto"/>
          <w:sz w:val="32"/>
          <w:szCs w:val="32"/>
          <w:highlight w:val="none"/>
          <w:lang w:eastAsia="zh-CN"/>
        </w:rPr>
        <w:t>（</w:t>
      </w:r>
      <w:r>
        <w:rPr>
          <w:rFonts w:hint="eastAsia" w:ascii="楷体_GB2312" w:hAnsi="楷体_GB2312" w:eastAsia="楷体_GB2312" w:cs="楷体_GB2312"/>
          <w:color w:val="auto"/>
          <w:sz w:val="32"/>
          <w:szCs w:val="32"/>
          <w:highlight w:val="none"/>
          <w:lang w:val="en-US" w:eastAsia="zh-CN"/>
        </w:rPr>
        <w:t>二</w:t>
      </w:r>
      <w:r>
        <w:rPr>
          <w:rFonts w:hint="eastAsia" w:ascii="楷体_GB2312" w:hAnsi="楷体_GB2312" w:eastAsia="楷体_GB2312" w:cs="楷体_GB2312"/>
          <w:color w:val="auto"/>
          <w:sz w:val="32"/>
          <w:szCs w:val="32"/>
          <w:highlight w:val="none"/>
          <w:lang w:eastAsia="zh-CN"/>
        </w:rPr>
        <w:t>）</w:t>
      </w:r>
      <w:r>
        <w:rPr>
          <w:rFonts w:hint="eastAsia" w:ascii="楷体_GB2312" w:hAnsi="楷体_GB2312" w:eastAsia="楷体_GB2312" w:cs="楷体_GB2312"/>
          <w:color w:val="auto"/>
          <w:sz w:val="32"/>
          <w:szCs w:val="32"/>
          <w:highlight w:val="none"/>
        </w:rPr>
        <w:t>内设机构及所属单位概况</w:t>
      </w:r>
    </w:p>
    <w:p>
      <w:pPr>
        <w:keepNext w:val="0"/>
        <w:keepLines w:val="0"/>
        <w:pageBreakBefore w:val="0"/>
        <w:widowControl w:val="0"/>
        <w:numPr>
          <w:ilvl w:val="0"/>
          <w:numId w:val="0"/>
        </w:numPr>
        <w:kinsoku/>
        <w:wordWrap/>
        <w:overflowPunct/>
        <w:topLinePunct w:val="0"/>
        <w:autoSpaceDE/>
        <w:autoSpaceDN/>
        <w:bidi w:val="0"/>
        <w:adjustRightInd/>
        <w:snapToGrid/>
        <w:spacing w:line="552" w:lineRule="exact"/>
        <w:ind w:leftChars="0" w:firstLine="632"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退役军人事务局设下列内设机构：办公室、移交安置和权益保障股、拥军优抚股。核定行政编制</w:t>
      </w:r>
      <w:r>
        <w:rPr>
          <w:rFonts w:hint="eastAsia" w:ascii="仿宋_GB2312" w:hAnsi="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名，其中，领导职数3名（局长1名，副局长2名）。所属事业单位分别是民乐县退役军人服务中心、民乐县河西解放纪念馆。</w:t>
      </w:r>
    </w:p>
    <w:p>
      <w:pPr>
        <w:keepNext w:val="0"/>
        <w:keepLines w:val="0"/>
        <w:pageBreakBefore w:val="0"/>
        <w:widowControl w:val="0"/>
        <w:numPr>
          <w:ilvl w:val="0"/>
          <w:numId w:val="0"/>
        </w:numPr>
        <w:kinsoku/>
        <w:wordWrap/>
        <w:overflowPunct/>
        <w:topLinePunct w:val="0"/>
        <w:autoSpaceDE/>
        <w:autoSpaceDN/>
        <w:bidi w:val="0"/>
        <w:adjustRightInd/>
        <w:snapToGrid/>
        <w:spacing w:line="552" w:lineRule="exact"/>
        <w:ind w:leftChars="0" w:firstLine="632" w:firstLineChars="2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二、单位整体支出目标监控工作组织</w:t>
      </w:r>
      <w:r>
        <w:rPr>
          <w:rFonts w:hint="eastAsia" w:ascii="黑体" w:hAnsi="黑体" w:eastAsia="黑体" w:cs="黑体"/>
          <w:color w:val="auto"/>
          <w:sz w:val="32"/>
          <w:szCs w:val="32"/>
          <w:highlight w:val="none"/>
        </w:rPr>
        <w:t>开展情况</w:t>
      </w:r>
    </w:p>
    <w:p>
      <w:pPr>
        <w:keepNext w:val="0"/>
        <w:keepLines w:val="0"/>
        <w:pageBreakBefore w:val="0"/>
        <w:widowControl w:val="0"/>
        <w:numPr>
          <w:ilvl w:val="0"/>
          <w:numId w:val="0"/>
        </w:numPr>
        <w:kinsoku/>
        <w:wordWrap/>
        <w:overflowPunct/>
        <w:topLinePunct w:val="0"/>
        <w:autoSpaceDE/>
        <w:autoSpaceDN/>
        <w:bidi w:val="0"/>
        <w:adjustRightInd/>
        <w:snapToGrid/>
        <w:spacing w:line="552" w:lineRule="exact"/>
        <w:ind w:leftChars="0" w:firstLine="632"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我单位依据科学部署、统一管理、过程监督、有序推进的指导方针，对县级项目专项资金项目预算执行、绩效指标执行等各方面开展情况进行绩效监控。</w:t>
      </w:r>
    </w:p>
    <w:p>
      <w:pPr>
        <w:keepNext w:val="0"/>
        <w:keepLines w:val="0"/>
        <w:pageBreakBefore w:val="0"/>
        <w:widowControl w:val="0"/>
        <w:numPr>
          <w:ilvl w:val="0"/>
          <w:numId w:val="0"/>
        </w:numPr>
        <w:kinsoku/>
        <w:wordWrap/>
        <w:overflowPunct/>
        <w:topLinePunct w:val="0"/>
        <w:autoSpaceDE/>
        <w:autoSpaceDN/>
        <w:bidi w:val="0"/>
        <w:adjustRightInd/>
        <w:snapToGrid/>
        <w:spacing w:line="552" w:lineRule="exact"/>
        <w:ind w:leftChars="0" w:firstLine="632"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（一）明确项目跟踪监控。年初我局明确了</w:t>
      </w:r>
      <w:r>
        <w:rPr>
          <w:rFonts w:hint="eastAsia" w:ascii="仿宋_GB2312" w:hAnsi="仿宋_GB2312" w:cs="仿宋_GB2312"/>
          <w:color w:val="auto"/>
          <w:sz w:val="32"/>
          <w:szCs w:val="32"/>
          <w:highlight w:val="none"/>
          <w:lang w:val="en-US" w:eastAsia="zh-CN"/>
        </w:rPr>
        <w:t>2023年</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cs="仿宋_GB2312"/>
          <w:color w:val="auto"/>
          <w:sz w:val="32"/>
          <w:szCs w:val="32"/>
          <w:highlight w:val="none"/>
          <w:lang w:val="en-US" w:eastAsia="zh-CN"/>
        </w:rPr>
        <w:t>整体支出</w:t>
      </w:r>
      <w:r>
        <w:rPr>
          <w:rFonts w:hint="eastAsia" w:ascii="仿宋_GB2312" w:hAnsi="仿宋_GB2312" w:eastAsia="仿宋_GB2312" w:cs="仿宋_GB2312"/>
          <w:color w:val="auto"/>
          <w:sz w:val="32"/>
          <w:szCs w:val="32"/>
          <w:highlight w:val="none"/>
          <w:lang w:val="en-US" w:eastAsia="zh-CN"/>
        </w:rPr>
        <w:t>任务、绩效目标和考核要求，要求各股室按照“一个项目一个绩效目标”的原则，对照绩效目标进行跟踪监控。</w:t>
      </w:r>
    </w:p>
    <w:p>
      <w:pPr>
        <w:keepNext w:val="0"/>
        <w:keepLines w:val="0"/>
        <w:pageBreakBefore w:val="0"/>
        <w:widowControl w:val="0"/>
        <w:numPr>
          <w:ilvl w:val="0"/>
          <w:numId w:val="0"/>
        </w:numPr>
        <w:kinsoku/>
        <w:wordWrap/>
        <w:overflowPunct/>
        <w:topLinePunct w:val="0"/>
        <w:autoSpaceDE/>
        <w:autoSpaceDN/>
        <w:bidi w:val="0"/>
        <w:adjustRightInd/>
        <w:snapToGrid/>
        <w:spacing w:line="552" w:lineRule="exact"/>
        <w:ind w:leftChars="0" w:firstLine="632"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（二）加强过程管理。加强绩效目标过程管理，及时调度项目进展和资金支出进度，及时掌握工作进度，协调解决工作中遇到的难点和问题。</w:t>
      </w:r>
    </w:p>
    <w:p>
      <w:pPr>
        <w:keepNext w:val="0"/>
        <w:keepLines w:val="0"/>
        <w:pageBreakBefore w:val="0"/>
        <w:widowControl w:val="0"/>
        <w:numPr>
          <w:ilvl w:val="0"/>
          <w:numId w:val="0"/>
        </w:numPr>
        <w:kinsoku/>
        <w:wordWrap/>
        <w:overflowPunct/>
        <w:topLinePunct w:val="0"/>
        <w:autoSpaceDE/>
        <w:autoSpaceDN/>
        <w:bidi w:val="0"/>
        <w:adjustRightInd/>
        <w:snapToGrid/>
        <w:spacing w:line="552" w:lineRule="exact"/>
        <w:ind w:leftChars="0" w:firstLine="632"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（三）强化日常监督。结合日常调研、检查等，对项目实施和资金使用情况进行检查，压实工作责任，加快项目进度，并督促及时总结。</w:t>
      </w:r>
    </w:p>
    <w:p>
      <w:pPr>
        <w:keepNext w:val="0"/>
        <w:keepLines w:val="0"/>
        <w:pageBreakBefore w:val="0"/>
        <w:widowControl w:val="0"/>
        <w:kinsoku/>
        <w:wordWrap/>
        <w:overflowPunct/>
        <w:topLinePunct w:val="0"/>
        <w:autoSpaceDE/>
        <w:autoSpaceDN/>
        <w:bidi w:val="0"/>
        <w:adjustRightInd/>
        <w:snapToGrid/>
        <w:spacing w:line="552" w:lineRule="exact"/>
        <w:ind w:left="0" w:leftChars="0" w:firstLine="632" w:firstLineChars="200"/>
        <w:textAlignment w:val="auto"/>
        <w:rPr>
          <w:rFonts w:hint="eastAsia"/>
          <w:lang w:val="en-US" w:eastAsia="zh-CN"/>
        </w:rPr>
      </w:pPr>
      <w:r>
        <w:rPr>
          <w:rFonts w:hint="eastAsia" w:ascii="黑体" w:hAnsi="黑体" w:eastAsia="黑体" w:cs="黑体"/>
          <w:color w:val="auto"/>
          <w:sz w:val="32"/>
          <w:szCs w:val="32"/>
          <w:highlight w:val="none"/>
          <w:lang w:val="en-US" w:eastAsia="zh-CN"/>
        </w:rPr>
        <w:t>三、</w:t>
      </w:r>
      <w:r>
        <w:rPr>
          <w:rFonts w:hint="eastAsia" w:ascii="黑体" w:hAnsi="黑体" w:eastAsia="黑体" w:cs="黑体"/>
          <w:color w:val="auto"/>
          <w:sz w:val="32"/>
          <w:szCs w:val="32"/>
          <w:highlight w:val="none"/>
          <w:lang w:val="en"/>
        </w:rPr>
        <w:t>支出绩效</w:t>
      </w:r>
      <w:r>
        <w:rPr>
          <w:rFonts w:hint="eastAsia" w:ascii="黑体" w:hAnsi="黑体" w:eastAsia="黑体" w:cs="黑体"/>
          <w:color w:val="auto"/>
          <w:sz w:val="32"/>
          <w:szCs w:val="32"/>
          <w:highlight w:val="none"/>
          <w:lang w:val="en" w:eastAsia="zh-CN"/>
        </w:rPr>
        <w:t>监控</w:t>
      </w:r>
      <w:r>
        <w:rPr>
          <w:rFonts w:hint="eastAsia" w:ascii="黑体" w:hAnsi="黑体" w:eastAsia="黑体" w:cs="黑体"/>
          <w:color w:val="auto"/>
          <w:sz w:val="32"/>
          <w:szCs w:val="32"/>
          <w:highlight w:val="none"/>
          <w:lang w:val="en"/>
        </w:rPr>
        <w:t>情况分析</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2" w:lineRule="exact"/>
        <w:ind w:leftChars="0" w:firstLine="632" w:firstLineChars="200"/>
        <w:jc w:val="both"/>
        <w:textAlignment w:val="auto"/>
        <w:rPr>
          <w:rFonts w:hint="eastAsia" w:ascii="仿宋_GB2312" w:eastAsia="仿宋_GB2312"/>
          <w:spacing w:val="0"/>
          <w:kern w:val="16"/>
          <w:sz w:val="32"/>
          <w:szCs w:val="32"/>
          <w:lang w:val="en-US" w:eastAsia="zh-CN"/>
        </w:rPr>
      </w:pPr>
      <w:r>
        <w:rPr>
          <w:rFonts w:hint="eastAsia" w:ascii="仿宋_GB2312" w:eastAsia="仿宋_GB2312"/>
          <w:spacing w:val="0"/>
          <w:kern w:val="16"/>
          <w:sz w:val="32"/>
          <w:szCs w:val="32"/>
          <w:lang w:val="en-US" w:eastAsia="zh-CN"/>
        </w:rPr>
        <w:t>2023年</w:t>
      </w:r>
      <w:r>
        <w:rPr>
          <w:rFonts w:hint="eastAsia" w:ascii="仿宋_GB2312"/>
          <w:spacing w:val="0"/>
          <w:kern w:val="16"/>
          <w:sz w:val="32"/>
          <w:szCs w:val="32"/>
          <w:lang w:val="en-US" w:eastAsia="zh-CN"/>
        </w:rPr>
        <w:t>，</w:t>
      </w:r>
      <w:r>
        <w:rPr>
          <w:rFonts w:hint="default" w:ascii="仿宋_GB2312" w:eastAsia="仿宋_GB2312"/>
          <w:spacing w:val="0"/>
          <w:kern w:val="16"/>
          <w:sz w:val="32"/>
          <w:szCs w:val="32"/>
          <w:lang w:val="en-US" w:eastAsia="zh-CN"/>
        </w:rPr>
        <w:t>县</w:t>
      </w:r>
      <w:r>
        <w:rPr>
          <w:rFonts w:hint="eastAsia" w:ascii="仿宋_GB2312" w:eastAsia="仿宋_GB2312"/>
          <w:spacing w:val="0"/>
          <w:kern w:val="16"/>
          <w:sz w:val="32"/>
          <w:szCs w:val="32"/>
          <w:lang w:val="en-US" w:eastAsia="zh-CN"/>
        </w:rPr>
        <w:t>退役军人事务</w:t>
      </w:r>
      <w:r>
        <w:rPr>
          <w:rFonts w:hint="default" w:ascii="仿宋_GB2312" w:eastAsia="仿宋_GB2312"/>
          <w:spacing w:val="0"/>
          <w:kern w:val="16"/>
          <w:sz w:val="32"/>
          <w:szCs w:val="32"/>
          <w:lang w:val="en-US" w:eastAsia="zh-CN"/>
        </w:rPr>
        <w:t>局</w:t>
      </w:r>
      <w:r>
        <w:rPr>
          <w:rFonts w:hint="eastAsia" w:ascii="仿宋_GB2312"/>
          <w:spacing w:val="0"/>
          <w:kern w:val="16"/>
          <w:sz w:val="32"/>
          <w:szCs w:val="32"/>
          <w:lang w:val="en-US" w:eastAsia="zh-CN"/>
        </w:rPr>
        <w:t>县级</w:t>
      </w:r>
      <w:r>
        <w:rPr>
          <w:rFonts w:hint="default" w:ascii="仿宋_GB2312" w:eastAsia="仿宋_GB2312"/>
          <w:spacing w:val="0"/>
          <w:kern w:val="16"/>
          <w:sz w:val="32"/>
          <w:szCs w:val="32"/>
          <w:lang w:val="en-US" w:eastAsia="zh-CN"/>
        </w:rPr>
        <w:t>收入预算总额为</w:t>
      </w:r>
      <w:r>
        <w:rPr>
          <w:rFonts w:hint="eastAsia" w:ascii="仿宋_GB2312" w:eastAsia="仿宋_GB2312"/>
          <w:spacing w:val="0"/>
          <w:kern w:val="16"/>
          <w:sz w:val="32"/>
          <w:szCs w:val="32"/>
          <w:lang w:val="en-US" w:eastAsia="zh-CN"/>
        </w:rPr>
        <w:t>679.71</w:t>
      </w:r>
      <w:r>
        <w:rPr>
          <w:rFonts w:hint="default" w:ascii="仿宋_GB2312" w:eastAsia="仿宋_GB2312"/>
          <w:spacing w:val="0"/>
          <w:kern w:val="16"/>
          <w:sz w:val="32"/>
          <w:szCs w:val="32"/>
          <w:lang w:val="en-US" w:eastAsia="zh-CN"/>
        </w:rPr>
        <w:t>万元</w:t>
      </w:r>
      <w:r>
        <w:rPr>
          <w:rFonts w:hint="eastAsia" w:ascii="仿宋_GB2312" w:eastAsia="仿宋_GB2312"/>
          <w:spacing w:val="0"/>
          <w:kern w:val="16"/>
          <w:sz w:val="32"/>
          <w:szCs w:val="32"/>
          <w:lang w:val="en-US" w:eastAsia="zh-CN"/>
        </w:rPr>
        <w:t>，</w:t>
      </w:r>
      <w:r>
        <w:rPr>
          <w:rFonts w:hint="default" w:ascii="仿宋_GB2312" w:eastAsia="仿宋_GB2312"/>
          <w:spacing w:val="0"/>
          <w:kern w:val="16"/>
          <w:sz w:val="32"/>
          <w:szCs w:val="32"/>
          <w:lang w:val="en-US" w:eastAsia="zh-CN"/>
        </w:rPr>
        <w:t>财政拨款收入</w:t>
      </w:r>
      <w:r>
        <w:rPr>
          <w:rFonts w:hint="eastAsia" w:ascii="仿宋_GB2312" w:eastAsia="仿宋_GB2312"/>
          <w:spacing w:val="0"/>
          <w:kern w:val="16"/>
          <w:sz w:val="32"/>
          <w:szCs w:val="32"/>
          <w:lang w:val="en-US" w:eastAsia="zh-CN"/>
        </w:rPr>
        <w:t>679.71</w:t>
      </w:r>
      <w:r>
        <w:rPr>
          <w:rFonts w:hint="default" w:ascii="仿宋_GB2312" w:eastAsia="仿宋_GB2312"/>
          <w:spacing w:val="0"/>
          <w:kern w:val="16"/>
          <w:sz w:val="32"/>
          <w:szCs w:val="32"/>
          <w:lang w:val="en-US" w:eastAsia="zh-CN"/>
        </w:rPr>
        <w:t>万元。</w:t>
      </w:r>
      <w:r>
        <w:rPr>
          <w:rFonts w:hint="eastAsia" w:ascii="仿宋_GB2312" w:eastAsia="仿宋_GB2312"/>
          <w:spacing w:val="0"/>
          <w:kern w:val="16"/>
          <w:sz w:val="32"/>
          <w:szCs w:val="32"/>
          <w:lang w:val="en-US" w:eastAsia="zh-CN"/>
        </w:rPr>
        <w:t>其中：工资</w:t>
      </w:r>
      <w:r>
        <w:rPr>
          <w:rFonts w:hint="eastAsia" w:ascii="仿宋_GB2312"/>
          <w:spacing w:val="0"/>
          <w:kern w:val="16"/>
          <w:sz w:val="32"/>
          <w:szCs w:val="32"/>
          <w:lang w:val="en-US" w:eastAsia="zh-CN"/>
        </w:rPr>
        <w:t>福利支出</w:t>
      </w:r>
      <w:r>
        <w:rPr>
          <w:rFonts w:hint="eastAsia" w:ascii="仿宋_GB2312" w:eastAsia="仿宋_GB2312"/>
          <w:spacing w:val="0"/>
          <w:kern w:val="16"/>
          <w:sz w:val="32"/>
          <w:szCs w:val="32"/>
          <w:lang w:val="en-US" w:eastAsia="zh-CN"/>
        </w:rPr>
        <w:t>187.65万元，</w:t>
      </w:r>
      <w:r>
        <w:rPr>
          <w:rFonts w:hint="eastAsia" w:ascii="仿宋_GB2312"/>
          <w:spacing w:val="0"/>
          <w:kern w:val="16"/>
          <w:sz w:val="32"/>
          <w:szCs w:val="32"/>
          <w:lang w:val="en-US" w:eastAsia="zh-CN"/>
        </w:rPr>
        <w:t>商品服务</w:t>
      </w:r>
      <w:r>
        <w:rPr>
          <w:rFonts w:hint="eastAsia" w:ascii="仿宋_GB2312" w:eastAsia="仿宋_GB2312"/>
          <w:spacing w:val="0"/>
          <w:kern w:val="16"/>
          <w:sz w:val="32"/>
          <w:szCs w:val="32"/>
          <w:lang w:val="en-US" w:eastAsia="zh-CN"/>
        </w:rPr>
        <w:t>支出20.41万元，对</w:t>
      </w:r>
      <w:r>
        <w:rPr>
          <w:rFonts w:hint="eastAsia" w:ascii="仿宋_GB2312"/>
          <w:spacing w:val="0"/>
          <w:kern w:val="16"/>
          <w:sz w:val="32"/>
          <w:szCs w:val="32"/>
          <w:lang w:val="en-US" w:eastAsia="zh-CN"/>
        </w:rPr>
        <w:t>个人和家庭的</w:t>
      </w:r>
      <w:r>
        <w:rPr>
          <w:rFonts w:hint="eastAsia" w:ascii="仿宋_GB2312" w:eastAsia="仿宋_GB2312"/>
          <w:spacing w:val="0"/>
          <w:kern w:val="16"/>
          <w:sz w:val="32"/>
          <w:szCs w:val="32"/>
          <w:lang w:val="en-US" w:eastAsia="zh-CN"/>
        </w:rPr>
        <w:t>补助支出471.65万元。</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2" w:lineRule="exact"/>
        <w:ind w:leftChars="0" w:firstLine="632"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cs="仿宋_GB2312"/>
          <w:b/>
          <w:bCs/>
          <w:color w:val="auto"/>
          <w:sz w:val="32"/>
          <w:szCs w:val="32"/>
          <w:highlight w:val="none"/>
          <w:lang w:val="en-US" w:eastAsia="zh-CN"/>
        </w:rPr>
        <w:t>整体支出</w:t>
      </w:r>
      <w:r>
        <w:rPr>
          <w:rFonts w:hint="eastAsia" w:ascii="仿宋_GB2312" w:hAnsi="仿宋_GB2312" w:eastAsia="仿宋_GB2312" w:cs="仿宋_GB2312"/>
          <w:b/>
          <w:bCs/>
          <w:color w:val="auto"/>
          <w:sz w:val="32"/>
          <w:szCs w:val="32"/>
          <w:highlight w:val="none"/>
          <w:lang w:val="en-US" w:eastAsia="zh-CN"/>
        </w:rPr>
        <w:t>预算执行情况</w:t>
      </w:r>
    </w:p>
    <w:p>
      <w:pPr>
        <w:keepNext w:val="0"/>
        <w:keepLines w:val="0"/>
        <w:pageBreakBefore w:val="0"/>
        <w:widowControl w:val="0"/>
        <w:numPr>
          <w:ilvl w:val="0"/>
          <w:numId w:val="0"/>
        </w:numPr>
        <w:kinsoku/>
        <w:wordWrap/>
        <w:overflowPunct/>
        <w:topLinePunct w:val="0"/>
        <w:autoSpaceDE/>
        <w:autoSpaceDN/>
        <w:bidi w:val="0"/>
        <w:adjustRightInd/>
        <w:snapToGrid/>
        <w:spacing w:line="552" w:lineRule="exact"/>
        <w:ind w:left="0" w:leftChars="0" w:firstLine="632"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sz w:val="32"/>
          <w:szCs w:val="32"/>
          <w:lang w:val="en-US" w:eastAsia="zh-CN"/>
        </w:rPr>
        <w:t>1-6月</w:t>
      </w:r>
      <w:r>
        <w:rPr>
          <w:rFonts w:hint="eastAsia" w:ascii="仿宋_GB2312" w:hAnsi="仿宋_GB2312" w:eastAsia="仿宋_GB2312" w:cs="仿宋_GB2312"/>
          <w:b w:val="0"/>
          <w:bCs w:val="0"/>
          <w:sz w:val="32"/>
          <w:szCs w:val="32"/>
        </w:rPr>
        <w:t>执行数为</w:t>
      </w:r>
      <w:r>
        <w:rPr>
          <w:rFonts w:hint="eastAsia" w:ascii="仿宋_GB2312" w:hAnsi="仿宋_GB2312" w:cs="仿宋_GB2312"/>
          <w:b w:val="0"/>
          <w:bCs w:val="0"/>
          <w:sz w:val="32"/>
          <w:szCs w:val="32"/>
          <w:lang w:val="en-US" w:eastAsia="zh-CN"/>
        </w:rPr>
        <w:t>458.11</w:t>
      </w:r>
      <w:r>
        <w:rPr>
          <w:rFonts w:hint="eastAsia" w:ascii="仿宋_GB2312" w:hAnsi="仿宋_GB2312" w:eastAsia="仿宋_GB2312" w:cs="仿宋_GB2312"/>
          <w:b w:val="0"/>
          <w:bCs w:val="0"/>
          <w:sz w:val="32"/>
          <w:szCs w:val="32"/>
        </w:rPr>
        <w:t>万元，</w:t>
      </w:r>
      <w:r>
        <w:rPr>
          <w:rFonts w:hint="eastAsia" w:ascii="仿宋_GB2312" w:eastAsia="仿宋_GB2312"/>
          <w:spacing w:val="0"/>
          <w:kern w:val="16"/>
          <w:sz w:val="32"/>
          <w:szCs w:val="32"/>
          <w:lang w:val="en-US" w:eastAsia="zh-CN"/>
        </w:rPr>
        <w:t>其中：工资</w:t>
      </w:r>
      <w:r>
        <w:rPr>
          <w:rFonts w:hint="eastAsia" w:ascii="仿宋_GB2312"/>
          <w:spacing w:val="0"/>
          <w:kern w:val="16"/>
          <w:sz w:val="32"/>
          <w:szCs w:val="32"/>
          <w:lang w:val="en-US" w:eastAsia="zh-CN"/>
        </w:rPr>
        <w:t>福利支出</w:t>
      </w:r>
      <w:r>
        <w:rPr>
          <w:rFonts w:hint="eastAsia" w:ascii="仿宋_GB2312" w:eastAsia="仿宋_GB2312"/>
          <w:spacing w:val="0"/>
          <w:kern w:val="16"/>
          <w:sz w:val="32"/>
          <w:szCs w:val="32"/>
          <w:lang w:val="en-US" w:eastAsia="zh-CN"/>
        </w:rPr>
        <w:t>132.16万元，</w:t>
      </w:r>
      <w:r>
        <w:rPr>
          <w:rFonts w:hint="eastAsia" w:ascii="仿宋_GB2312"/>
          <w:spacing w:val="0"/>
          <w:kern w:val="16"/>
          <w:sz w:val="32"/>
          <w:szCs w:val="32"/>
          <w:lang w:val="en-US" w:eastAsia="zh-CN"/>
        </w:rPr>
        <w:t>商品服务</w:t>
      </w:r>
      <w:r>
        <w:rPr>
          <w:rFonts w:hint="eastAsia" w:ascii="仿宋_GB2312" w:eastAsia="仿宋_GB2312"/>
          <w:spacing w:val="0"/>
          <w:kern w:val="16"/>
          <w:sz w:val="32"/>
          <w:szCs w:val="32"/>
          <w:lang w:val="en-US" w:eastAsia="zh-CN"/>
        </w:rPr>
        <w:t>支出9.94万元，对</w:t>
      </w:r>
      <w:r>
        <w:rPr>
          <w:rFonts w:hint="eastAsia" w:ascii="仿宋_GB2312"/>
          <w:spacing w:val="0"/>
          <w:kern w:val="16"/>
          <w:sz w:val="32"/>
          <w:szCs w:val="32"/>
          <w:lang w:val="en-US" w:eastAsia="zh-CN"/>
        </w:rPr>
        <w:t>个人和家庭的</w:t>
      </w:r>
      <w:r>
        <w:rPr>
          <w:rFonts w:hint="eastAsia" w:ascii="仿宋_GB2312" w:eastAsia="仿宋_GB2312"/>
          <w:spacing w:val="0"/>
          <w:kern w:val="16"/>
          <w:sz w:val="32"/>
          <w:szCs w:val="32"/>
          <w:lang w:val="en-US" w:eastAsia="zh-CN"/>
        </w:rPr>
        <w:t>补助支出316.01万元。</w:t>
      </w:r>
      <w:r>
        <w:rPr>
          <w:rFonts w:hint="eastAsia" w:ascii="仿宋_GB2312"/>
          <w:spacing w:val="0"/>
          <w:kern w:val="16"/>
          <w:sz w:val="32"/>
          <w:szCs w:val="32"/>
          <w:lang w:val="en-US" w:eastAsia="zh-CN"/>
        </w:rPr>
        <w:t>执行数率67.4%。</w:t>
      </w:r>
    </w:p>
    <w:p>
      <w:pPr>
        <w:keepNext w:val="0"/>
        <w:keepLines w:val="0"/>
        <w:pageBreakBefore w:val="0"/>
        <w:widowControl w:val="0"/>
        <w:numPr>
          <w:ilvl w:val="0"/>
          <w:numId w:val="0"/>
        </w:numPr>
        <w:kinsoku/>
        <w:wordWrap/>
        <w:overflowPunct/>
        <w:topLinePunct w:val="0"/>
        <w:autoSpaceDE/>
        <w:autoSpaceDN/>
        <w:bidi w:val="0"/>
        <w:adjustRightInd/>
        <w:snapToGrid/>
        <w:spacing w:line="552" w:lineRule="exact"/>
        <w:ind w:leftChars="0" w:firstLine="632"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2.总体绩效目标完成情况分析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52" w:lineRule="exact"/>
        <w:ind w:leftChars="0" w:firstLine="632" w:firstLineChars="200"/>
        <w:jc w:val="both"/>
        <w:textAlignment w:val="auto"/>
        <w:rPr>
          <w:rFonts w:hint="eastAsia" w:ascii="仿宋_GB2312" w:eastAsia="仿宋_GB2312" w:cstheme="minorBidi"/>
          <w:bCs/>
          <w:color w:val="auto"/>
          <w:kern w:val="2"/>
          <w:sz w:val="32"/>
          <w:szCs w:val="24"/>
          <w:highlight w:val="none"/>
          <w:lang w:val="en-US" w:eastAsia="zh-CN" w:bidi="ar-SA"/>
        </w:rPr>
      </w:pPr>
      <w:r>
        <w:rPr>
          <w:rFonts w:hint="eastAsia" w:ascii="仿宋_GB2312" w:eastAsia="仿宋_GB2312" w:cstheme="minorBidi"/>
          <w:bCs/>
          <w:color w:val="auto"/>
          <w:kern w:val="2"/>
          <w:sz w:val="32"/>
          <w:szCs w:val="24"/>
          <w:highlight w:val="none"/>
          <w:lang w:val="en-US" w:eastAsia="zh-CN" w:bidi="ar-SA"/>
        </w:rPr>
        <w:t>保证日常开支，保障机关办公正常运转，不断提高服务水平。按时足额发放各类优抚补助资金，维护优抚对象合法权益，维护社会稳定。</w:t>
      </w:r>
    </w:p>
    <w:p>
      <w:pPr>
        <w:keepNext w:val="0"/>
        <w:keepLines w:val="0"/>
        <w:pageBreakBefore w:val="0"/>
        <w:widowControl w:val="0"/>
        <w:numPr>
          <w:ilvl w:val="0"/>
          <w:numId w:val="0"/>
        </w:numPr>
        <w:kinsoku/>
        <w:wordWrap/>
        <w:overflowPunct/>
        <w:topLinePunct w:val="0"/>
        <w:autoSpaceDE/>
        <w:autoSpaceDN/>
        <w:bidi w:val="0"/>
        <w:adjustRightInd/>
        <w:snapToGrid/>
        <w:spacing w:line="552" w:lineRule="exact"/>
        <w:ind w:leftChars="0" w:firstLine="632"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3.各项指标完成情况分析</w:t>
      </w:r>
    </w:p>
    <w:p>
      <w:pPr>
        <w:keepNext w:val="0"/>
        <w:keepLines w:val="0"/>
        <w:pageBreakBefore w:val="0"/>
        <w:widowControl w:val="0"/>
        <w:kinsoku/>
        <w:overflowPunct/>
        <w:topLinePunct w:val="0"/>
        <w:autoSpaceDE/>
        <w:autoSpaceDN/>
        <w:bidi w:val="0"/>
        <w:adjustRightInd/>
        <w:snapToGrid/>
        <w:spacing w:line="552" w:lineRule="exact"/>
        <w:ind w:left="0" w:leftChars="0" w:firstLine="632" w:firstLineChars="200"/>
        <w:textAlignment w:val="auto"/>
        <w:rPr>
          <w:rFonts w:hint="eastAsia" w:ascii="仿宋_GB2312" w:hAnsi="仿宋_GB2312" w:eastAsia="仿宋_GB2312" w:cs="仿宋_GB2312"/>
          <w:color w:val="auto"/>
          <w:sz w:val="32"/>
          <w:szCs w:val="32"/>
          <w:lang w:val="en"/>
        </w:rPr>
      </w:pPr>
      <w:r>
        <w:rPr>
          <w:rFonts w:hint="eastAsia" w:ascii="仿宋_GB2312" w:hAnsi="仿宋_GB2312" w:eastAsia="仿宋_GB2312" w:cs="仿宋_GB2312"/>
          <w:color w:val="auto"/>
          <w:sz w:val="32"/>
          <w:szCs w:val="32"/>
          <w:lang w:val="en"/>
        </w:rPr>
        <w:t xml:space="preserve"> </w:t>
      </w:r>
      <w:r>
        <w:rPr>
          <w:rFonts w:hint="eastAsia" w:ascii="仿宋_GB2312" w:hAnsi="仿宋_GB2312" w:cs="仿宋_GB2312"/>
          <w:color w:val="auto"/>
          <w:sz w:val="32"/>
          <w:szCs w:val="32"/>
          <w:lang w:val="en-US" w:eastAsia="zh-CN"/>
        </w:rPr>
        <w:t>1.</w:t>
      </w:r>
      <w:r>
        <w:rPr>
          <w:rFonts w:hint="eastAsia" w:ascii="仿宋_GB2312" w:hAnsi="仿宋_GB2312" w:eastAsia="仿宋_GB2312" w:cs="仿宋_GB2312"/>
          <w:color w:val="auto"/>
          <w:sz w:val="32"/>
          <w:szCs w:val="32"/>
          <w:lang w:val="en"/>
        </w:rPr>
        <w:t>部门管理</w:t>
      </w:r>
    </w:p>
    <w:p>
      <w:pPr>
        <w:keepNext w:val="0"/>
        <w:keepLines w:val="0"/>
        <w:pageBreakBefore w:val="0"/>
        <w:widowControl w:val="0"/>
        <w:kinsoku/>
        <w:overflowPunct/>
        <w:topLinePunct w:val="0"/>
        <w:autoSpaceDE/>
        <w:autoSpaceDN/>
        <w:bidi w:val="0"/>
        <w:adjustRightInd/>
        <w:snapToGrid/>
        <w:spacing w:line="552" w:lineRule="exact"/>
        <w:ind w:left="0" w:leftChars="0" w:firstLine="63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资金投入：基本支出预算执行率</w:t>
      </w:r>
      <w:r>
        <w:rPr>
          <w:rFonts w:hint="eastAsia" w:ascii="仿宋_GB2312" w:hAnsi="仿宋_GB2312" w:cs="仿宋_GB2312"/>
          <w:color w:val="auto"/>
          <w:sz w:val="32"/>
          <w:szCs w:val="32"/>
          <w:lang w:val="en-US" w:eastAsia="zh-CN"/>
        </w:rPr>
        <w:t>达到</w:t>
      </w:r>
      <w:r>
        <w:rPr>
          <w:rFonts w:hint="eastAsia" w:ascii="仿宋_GB2312" w:hAnsi="仿宋_GB2312" w:eastAsia="仿宋_GB2312" w:cs="仿宋_GB2312"/>
          <w:color w:val="auto"/>
          <w:sz w:val="32"/>
          <w:szCs w:val="32"/>
          <w:lang w:val="en-US" w:eastAsia="zh-CN"/>
        </w:rPr>
        <w:t>100%，项目支出预算执行率</w:t>
      </w:r>
      <w:r>
        <w:rPr>
          <w:rFonts w:hint="eastAsia" w:ascii="仿宋_GB2312" w:hAnsi="仿宋_GB2312" w:cs="仿宋_GB2312"/>
          <w:color w:val="auto"/>
          <w:sz w:val="32"/>
          <w:szCs w:val="32"/>
          <w:lang w:val="en-US" w:eastAsia="zh-CN"/>
        </w:rPr>
        <w:t>达到</w:t>
      </w:r>
      <w:r>
        <w:rPr>
          <w:rFonts w:hint="eastAsia" w:ascii="仿宋_GB2312" w:hAnsi="仿宋_GB2312" w:eastAsia="仿宋_GB2312" w:cs="仿宋_GB2312"/>
          <w:color w:val="auto"/>
          <w:sz w:val="32"/>
          <w:szCs w:val="32"/>
          <w:lang w:val="en-US" w:eastAsia="zh-CN"/>
        </w:rPr>
        <w:t>100%</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“三公经费”控制率≥</w:t>
      </w:r>
      <w:r>
        <w:rPr>
          <w:rFonts w:hint="eastAsia" w:ascii="仿宋_GB2312" w:hAnsi="仿宋_GB2312" w:cs="仿宋_GB2312"/>
          <w:color w:val="auto"/>
          <w:sz w:val="32"/>
          <w:szCs w:val="32"/>
          <w:lang w:val="en-US" w:eastAsia="zh-CN"/>
        </w:rPr>
        <w:t>10</w:t>
      </w:r>
      <w:r>
        <w:rPr>
          <w:rFonts w:hint="eastAsia" w:ascii="仿宋_GB2312" w:hAnsi="仿宋_GB2312" w:eastAsia="仿宋_GB2312" w:cs="仿宋_GB2312"/>
          <w:color w:val="auto"/>
          <w:sz w:val="32"/>
          <w:szCs w:val="32"/>
          <w:lang w:val="en-US" w:eastAsia="zh-CN"/>
        </w:rPr>
        <w:t>%</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结转结余变动率</w:t>
      </w:r>
      <w:r>
        <w:rPr>
          <w:rFonts w:hint="eastAsia" w:ascii="仿宋_GB2312" w:hAnsi="仿宋_GB2312" w:cs="仿宋_GB2312"/>
          <w:color w:val="auto"/>
          <w:sz w:val="32"/>
          <w:szCs w:val="32"/>
          <w:lang w:val="en-US" w:eastAsia="zh-CN"/>
        </w:rPr>
        <w:t>为0</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overflowPunct/>
        <w:topLinePunct w:val="0"/>
        <w:autoSpaceDE/>
        <w:autoSpaceDN/>
        <w:bidi w:val="0"/>
        <w:adjustRightInd/>
        <w:snapToGrid/>
        <w:spacing w:line="552" w:lineRule="exact"/>
        <w:ind w:left="0" w:leftChars="0" w:firstLine="63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（2）财务管理：财务管理制度健全</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资金使用规范</w:t>
      </w:r>
      <w:r>
        <w:rPr>
          <w:rFonts w:hint="eastAsia" w:ascii="仿宋_GB2312" w:hAnsi="仿宋_GB2312" w:cs="仿宋_GB2312"/>
          <w:color w:val="auto"/>
          <w:sz w:val="32"/>
          <w:szCs w:val="32"/>
          <w:lang w:val="en-US" w:eastAsia="zh-CN"/>
        </w:rPr>
        <w:t>。</w:t>
      </w:r>
    </w:p>
    <w:p>
      <w:pPr>
        <w:keepNext w:val="0"/>
        <w:keepLines w:val="0"/>
        <w:pageBreakBefore w:val="0"/>
        <w:widowControl w:val="0"/>
        <w:kinsoku/>
        <w:overflowPunct/>
        <w:topLinePunct w:val="0"/>
        <w:autoSpaceDE/>
        <w:autoSpaceDN/>
        <w:bidi w:val="0"/>
        <w:adjustRightInd/>
        <w:snapToGrid/>
        <w:spacing w:line="552" w:lineRule="exact"/>
        <w:ind w:left="0" w:leftChars="0" w:firstLine="63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cs="仿宋_GB2312"/>
          <w:color w:val="auto"/>
          <w:sz w:val="32"/>
          <w:szCs w:val="32"/>
          <w:lang w:val="en-US" w:eastAsia="zh-CN"/>
        </w:rPr>
        <w:t>（3）采购管理：</w:t>
      </w:r>
      <w:r>
        <w:rPr>
          <w:rFonts w:hint="eastAsia" w:ascii="仿宋_GB2312" w:hAnsi="仿宋_GB2312" w:eastAsia="仿宋_GB2312" w:cs="仿宋_GB2312"/>
          <w:color w:val="auto"/>
          <w:sz w:val="32"/>
          <w:szCs w:val="32"/>
          <w:lang w:val="en-US" w:eastAsia="zh-CN"/>
        </w:rPr>
        <w:t>政府采购规范。</w:t>
      </w:r>
    </w:p>
    <w:p>
      <w:pPr>
        <w:keepNext w:val="0"/>
        <w:keepLines w:val="0"/>
        <w:pageBreakBefore w:val="0"/>
        <w:widowControl w:val="0"/>
        <w:kinsoku/>
        <w:overflowPunct/>
        <w:topLinePunct w:val="0"/>
        <w:autoSpaceDE/>
        <w:autoSpaceDN/>
        <w:bidi w:val="0"/>
        <w:adjustRightInd/>
        <w:snapToGrid/>
        <w:spacing w:line="552" w:lineRule="exact"/>
        <w:ind w:left="0" w:leftChars="0" w:firstLine="632"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cs="仿宋_GB2312"/>
          <w:color w:val="auto"/>
          <w:sz w:val="32"/>
          <w:szCs w:val="32"/>
          <w:lang w:val="en-US" w:eastAsia="zh-CN"/>
        </w:rPr>
        <w:t>（4）</w:t>
      </w:r>
      <w:r>
        <w:rPr>
          <w:rFonts w:hint="eastAsia" w:ascii="仿宋_GB2312" w:hAnsi="仿宋_GB2312" w:eastAsia="仿宋_GB2312" w:cs="仿宋_GB2312"/>
          <w:color w:val="auto"/>
          <w:sz w:val="32"/>
          <w:szCs w:val="32"/>
          <w:lang w:val="en-US" w:eastAsia="zh-CN"/>
        </w:rPr>
        <w:t>资产管理</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资产管理规范。</w:t>
      </w:r>
    </w:p>
    <w:p>
      <w:pPr>
        <w:keepNext w:val="0"/>
        <w:keepLines w:val="0"/>
        <w:pageBreakBefore w:val="0"/>
        <w:widowControl w:val="0"/>
        <w:kinsoku/>
        <w:overflowPunct/>
        <w:topLinePunct w:val="0"/>
        <w:autoSpaceDE/>
        <w:autoSpaceDN/>
        <w:bidi w:val="0"/>
        <w:adjustRightInd/>
        <w:snapToGrid/>
        <w:spacing w:line="552" w:lineRule="exact"/>
        <w:ind w:left="0" w:leftChars="0" w:firstLine="632"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cs="仿宋_GB2312"/>
          <w:color w:val="auto"/>
          <w:sz w:val="32"/>
          <w:szCs w:val="32"/>
          <w:lang w:val="en-US" w:eastAsia="zh-CN"/>
        </w:rPr>
        <w:t>（5）</w:t>
      </w:r>
      <w:r>
        <w:rPr>
          <w:rFonts w:hint="eastAsia" w:ascii="仿宋_GB2312" w:hAnsi="仿宋_GB2312" w:eastAsia="仿宋_GB2312" w:cs="仿宋_GB2312"/>
          <w:color w:val="auto"/>
          <w:sz w:val="32"/>
          <w:szCs w:val="32"/>
          <w:lang w:val="en-US" w:eastAsia="zh-CN"/>
        </w:rPr>
        <w:t>人员管理</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在职人员控制率</w:t>
      </w:r>
      <w:r>
        <w:rPr>
          <w:rFonts w:hint="eastAsia" w:ascii="仿宋_GB2312" w:hAnsi="仿宋_GB2312" w:cs="仿宋_GB2312"/>
          <w:color w:val="auto"/>
          <w:sz w:val="32"/>
          <w:szCs w:val="32"/>
          <w:lang w:val="en-US" w:eastAsia="zh-CN"/>
        </w:rPr>
        <w:t>小于100%</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overflowPunct/>
        <w:topLinePunct w:val="0"/>
        <w:autoSpaceDE/>
        <w:autoSpaceDN/>
        <w:bidi w:val="0"/>
        <w:adjustRightInd/>
        <w:snapToGrid/>
        <w:spacing w:line="552" w:lineRule="exact"/>
        <w:ind w:left="0" w:leftChars="0" w:firstLine="63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cs="仿宋_GB2312"/>
          <w:color w:val="auto"/>
          <w:sz w:val="32"/>
          <w:szCs w:val="32"/>
          <w:lang w:val="en-US" w:eastAsia="zh-CN"/>
        </w:rPr>
        <w:t>（6）</w:t>
      </w:r>
      <w:r>
        <w:rPr>
          <w:rFonts w:hint="eastAsia" w:ascii="仿宋_GB2312" w:hAnsi="仿宋_GB2312" w:eastAsia="仿宋_GB2312" w:cs="仿宋_GB2312"/>
          <w:color w:val="auto"/>
          <w:sz w:val="32"/>
          <w:szCs w:val="32"/>
          <w:lang w:val="en-US" w:eastAsia="zh-CN"/>
        </w:rPr>
        <w:t>重点工作管理</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重点工作管理制度健全。</w:t>
      </w:r>
    </w:p>
    <w:p>
      <w:pPr>
        <w:pStyle w:val="10"/>
        <w:keepNext w:val="0"/>
        <w:keepLines w:val="0"/>
        <w:pageBreakBefore w:val="0"/>
        <w:widowControl w:val="0"/>
        <w:kinsoku/>
        <w:overflowPunct/>
        <w:topLinePunct w:val="0"/>
        <w:autoSpaceDE/>
        <w:autoSpaceDN/>
        <w:bidi w:val="0"/>
        <w:adjustRightInd/>
        <w:snapToGrid/>
        <w:spacing w:line="552" w:lineRule="exact"/>
        <w:ind w:left="0" w:leftChars="0" w:firstLine="632" w:firstLineChars="200"/>
        <w:textAlignment w:val="auto"/>
        <w:rPr>
          <w:rFonts w:hint="default"/>
          <w:lang w:val="en-US" w:eastAsia="zh-CN"/>
        </w:rPr>
      </w:pPr>
      <w:r>
        <w:rPr>
          <w:rFonts w:hint="eastAsia" w:ascii="仿宋_GB2312" w:hAnsi="仿宋_GB2312" w:cs="仿宋_GB2312"/>
          <w:color w:val="auto"/>
          <w:sz w:val="32"/>
          <w:szCs w:val="32"/>
          <w:lang w:val="en-US" w:eastAsia="zh-CN"/>
        </w:rPr>
        <w:t>2.履职效果</w:t>
      </w:r>
    </w:p>
    <w:p>
      <w:pPr>
        <w:keepNext w:val="0"/>
        <w:keepLines w:val="0"/>
        <w:pageBreakBefore w:val="0"/>
        <w:widowControl w:val="0"/>
        <w:kinsoku/>
        <w:overflowPunct/>
        <w:topLinePunct w:val="0"/>
        <w:autoSpaceDE/>
        <w:autoSpaceDN/>
        <w:bidi w:val="0"/>
        <w:adjustRightInd/>
        <w:snapToGrid/>
        <w:spacing w:line="552" w:lineRule="exact"/>
        <w:ind w:left="0" w:leftChars="0" w:firstLine="63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部门履职目标</w:t>
      </w:r>
      <w:r>
        <w:rPr>
          <w:rFonts w:hint="eastAsia" w:ascii="仿宋_GB2312" w:hAnsi="仿宋_GB2312" w:cs="仿宋_GB2312"/>
          <w:color w:val="auto"/>
          <w:sz w:val="32"/>
          <w:szCs w:val="32"/>
          <w:lang w:val="en-US" w:eastAsia="zh-CN"/>
        </w:rPr>
        <w:t>：严格按政策标准，及时足额发放在职在职人员工资、优抚对象各类政策性资金，维护社会稳定。</w:t>
      </w:r>
    </w:p>
    <w:p>
      <w:pPr>
        <w:keepNext w:val="0"/>
        <w:keepLines w:val="0"/>
        <w:pageBreakBefore w:val="0"/>
        <w:widowControl w:val="0"/>
        <w:kinsoku/>
        <w:overflowPunct/>
        <w:topLinePunct w:val="0"/>
        <w:autoSpaceDE/>
        <w:autoSpaceDN/>
        <w:bidi w:val="0"/>
        <w:adjustRightInd/>
        <w:snapToGrid/>
        <w:spacing w:line="552" w:lineRule="exact"/>
        <w:ind w:left="0" w:leftChars="0" w:firstLine="63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能力建设</w:t>
      </w:r>
    </w:p>
    <w:p>
      <w:pPr>
        <w:keepNext w:val="0"/>
        <w:keepLines w:val="0"/>
        <w:pageBreakBefore w:val="0"/>
        <w:widowControl w:val="0"/>
        <w:kinsoku/>
        <w:overflowPunct/>
        <w:topLinePunct w:val="0"/>
        <w:autoSpaceDE/>
        <w:autoSpaceDN/>
        <w:bidi w:val="0"/>
        <w:adjustRightInd/>
        <w:snapToGrid/>
        <w:spacing w:line="552" w:lineRule="exact"/>
        <w:ind w:left="0" w:leftChars="0" w:firstLine="632"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能力建设包括长效管理、组织建设、信息化建设情况、人力资源建设、档案管理。其中：长效管理的中期规划建设完备程度，年度指标值≥98%。组织建设的党建工作开展的规范性比较规范，年度指标值≥98%。信息化建设情况的信息化管理的覆盖率，年度指标值覆盖率≥</w:t>
      </w:r>
      <w:r>
        <w:rPr>
          <w:rFonts w:hint="eastAsia" w:ascii="仿宋_GB2312" w:hAnsi="仿宋_GB2312" w:cs="仿宋_GB2312"/>
          <w:color w:val="auto"/>
          <w:sz w:val="32"/>
          <w:szCs w:val="32"/>
          <w:lang w:val="en-US" w:eastAsia="zh-CN"/>
        </w:rPr>
        <w:t>9</w:t>
      </w:r>
      <w:r>
        <w:rPr>
          <w:rFonts w:hint="eastAsia" w:ascii="仿宋_GB2312" w:hAnsi="仿宋_GB2312" w:eastAsia="仿宋_GB2312" w:cs="仿宋_GB2312"/>
          <w:color w:val="auto"/>
          <w:sz w:val="32"/>
          <w:szCs w:val="32"/>
          <w:lang w:val="en-US" w:eastAsia="zh-CN"/>
        </w:rPr>
        <w:t>0%。人力资源建设里人员培训机制完备，年度指标值达到90%以上。档案管理完备，年度指标值达到90%以上。</w:t>
      </w:r>
    </w:p>
    <w:p>
      <w:pPr>
        <w:keepNext w:val="0"/>
        <w:keepLines w:val="0"/>
        <w:pageBreakBefore w:val="0"/>
        <w:widowControl w:val="0"/>
        <w:numPr>
          <w:ilvl w:val="0"/>
          <w:numId w:val="0"/>
        </w:numPr>
        <w:kinsoku/>
        <w:wordWrap/>
        <w:overflowPunct/>
        <w:topLinePunct w:val="0"/>
        <w:autoSpaceDE/>
        <w:autoSpaceDN/>
        <w:bidi w:val="0"/>
        <w:adjustRightInd/>
        <w:snapToGrid/>
        <w:spacing w:line="552" w:lineRule="exact"/>
        <w:ind w:leftChars="0" w:firstLine="632"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4.服务对象满意度主要是职工满意度，年度指标值满意度≥80%。单位职工工资在规定时间内发放率达到</w:t>
      </w:r>
      <w:r>
        <w:rPr>
          <w:rFonts w:hint="eastAsia" w:ascii="仿宋_GB2312" w:hAnsi="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00%，社会保险缴费凭证、日常考勤台账等，单位工资发放、社保缴费及时申报补贴资料提交及时，确保补贴发放时效。</w:t>
      </w:r>
    </w:p>
    <w:p>
      <w:pPr>
        <w:keepNext w:val="0"/>
        <w:keepLines w:val="0"/>
        <w:pageBreakBefore w:val="0"/>
        <w:widowControl w:val="0"/>
        <w:numPr>
          <w:ilvl w:val="0"/>
          <w:numId w:val="0"/>
        </w:numPr>
        <w:kinsoku/>
        <w:wordWrap/>
        <w:overflowPunct/>
        <w:topLinePunct w:val="0"/>
        <w:autoSpaceDE/>
        <w:autoSpaceDN/>
        <w:bidi w:val="0"/>
        <w:adjustRightInd/>
        <w:snapToGrid/>
        <w:spacing w:line="552" w:lineRule="exact"/>
        <w:ind w:leftChars="0" w:firstLine="632" w:firstLineChars="2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四、下一步改进工作的举措</w:t>
      </w:r>
    </w:p>
    <w:p>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eastAsia"/>
          <w:color w:val="auto"/>
          <w:highlight w:val="none"/>
          <w:lang w:val="en-US" w:eastAsia="zh-CN"/>
        </w:rPr>
      </w:pPr>
      <w:r>
        <w:rPr>
          <w:rFonts w:hint="eastAsia"/>
          <w:color w:val="auto"/>
          <w:highlight w:val="none"/>
        </w:rPr>
        <w:t>加强项目谋划，充分考虑实际情况进行认真分析研究，按照有关规范和规定要求精准测算预算资金，保障</w:t>
      </w:r>
      <w:r>
        <w:rPr>
          <w:rFonts w:hint="eastAsia"/>
          <w:color w:val="auto"/>
          <w:highlight w:val="none"/>
          <w:lang w:eastAsia="zh-CN"/>
        </w:rPr>
        <w:t>项目</w:t>
      </w:r>
      <w:r>
        <w:rPr>
          <w:rFonts w:hint="eastAsia"/>
          <w:color w:val="auto"/>
          <w:highlight w:val="none"/>
        </w:rPr>
        <w:t>顺利实施，提高财政资金使用效益。进一步结合实际建立健全有关项目管理制度，落实专人负责制，规范项目工程和资金管理，加强督促协调，要求设计、建设、管理等单位和部门按照合同及约定对工程实施情况、日常管理维护情况和质量状况严格把控，保障项目及时实施完成，发挥预期效益。</w:t>
      </w:r>
    </w:p>
    <w:p>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default"/>
          <w:color w:val="auto"/>
          <w:highlight w:val="none"/>
          <w:lang w:val="en-US" w:eastAsia="zh-CN"/>
        </w:rPr>
      </w:pPr>
      <w:r>
        <w:rPr>
          <w:rFonts w:hint="eastAsia"/>
          <w:color w:val="auto"/>
          <w:highlight w:val="none"/>
          <w:lang w:val="en-US" w:eastAsia="zh-CN"/>
        </w:rPr>
        <w:t>附件：单位整体支出绩效目标监控表</w:t>
      </w:r>
      <w:bookmarkStart w:id="0" w:name="_GoBack"/>
      <w:bookmarkEnd w:id="0"/>
    </w:p>
    <w:p>
      <w:pPr>
        <w:keepNext w:val="0"/>
        <w:keepLines w:val="0"/>
        <w:pageBreakBefore w:val="0"/>
        <w:widowControl w:val="0"/>
        <w:kinsoku/>
        <w:wordWrap/>
        <w:overflowPunct/>
        <w:topLinePunct w:val="0"/>
        <w:autoSpaceDE/>
        <w:autoSpaceDN/>
        <w:bidi w:val="0"/>
        <w:adjustRightInd/>
        <w:snapToGrid/>
        <w:spacing w:line="552" w:lineRule="exact"/>
        <w:textAlignment w:val="auto"/>
        <w:rPr>
          <w:rFonts w:hint="eastAsia"/>
          <w:color w:val="auto"/>
          <w:highlight w:val="yellow"/>
          <w:lang w:val="en-US" w:eastAsia="zh-CN"/>
        </w:rPr>
      </w:pPr>
    </w:p>
    <w:p>
      <w:pPr>
        <w:pStyle w:val="7"/>
        <w:keepNext w:val="0"/>
        <w:keepLines w:val="0"/>
        <w:pageBreakBefore w:val="0"/>
        <w:widowControl w:val="0"/>
        <w:kinsoku/>
        <w:wordWrap/>
        <w:overflowPunct/>
        <w:topLinePunct w:val="0"/>
        <w:autoSpaceDE/>
        <w:autoSpaceDN/>
        <w:bidi w:val="0"/>
        <w:adjustRightInd/>
        <w:snapToGrid/>
        <w:spacing w:after="0" w:line="552" w:lineRule="exact"/>
        <w:textAlignment w:val="auto"/>
        <w:rPr>
          <w:rFonts w:hint="eastAsia" w:ascii="仿宋_GB2312" w:hAnsi="仿宋_GB2312" w:cs="仿宋_GB2312"/>
          <w:color w:val="auto"/>
          <w:kern w:val="2"/>
          <w:sz w:val="32"/>
          <w:szCs w:val="32"/>
          <w:highlight w:val="none"/>
          <w:lang w:val="en-US" w:eastAsia="zh-CN" w:bidi="ar-SA"/>
        </w:rPr>
      </w:pPr>
    </w:p>
    <w:p>
      <w:pPr>
        <w:pStyle w:val="7"/>
        <w:keepNext w:val="0"/>
        <w:keepLines w:val="0"/>
        <w:pageBreakBefore w:val="0"/>
        <w:widowControl w:val="0"/>
        <w:kinsoku/>
        <w:wordWrap/>
        <w:overflowPunct/>
        <w:topLinePunct w:val="0"/>
        <w:autoSpaceDE/>
        <w:autoSpaceDN/>
        <w:bidi w:val="0"/>
        <w:adjustRightInd/>
        <w:snapToGrid/>
        <w:spacing w:after="0" w:line="552" w:lineRule="exact"/>
        <w:textAlignment w:val="auto"/>
        <w:rPr>
          <w:rFonts w:hint="eastAsia" w:ascii="仿宋_GB2312" w:hAnsi="仿宋_GB2312" w:cs="仿宋_GB2312"/>
          <w:color w:val="auto"/>
          <w:kern w:val="2"/>
          <w:sz w:val="32"/>
          <w:szCs w:val="32"/>
          <w:highlight w:val="none"/>
          <w:lang w:val="en-US" w:eastAsia="zh-CN" w:bidi="ar-SA"/>
        </w:rPr>
      </w:pPr>
    </w:p>
    <w:p>
      <w:pPr>
        <w:pStyle w:val="7"/>
        <w:keepNext w:val="0"/>
        <w:keepLines w:val="0"/>
        <w:pageBreakBefore w:val="0"/>
        <w:widowControl w:val="0"/>
        <w:kinsoku/>
        <w:wordWrap/>
        <w:overflowPunct/>
        <w:topLinePunct w:val="0"/>
        <w:autoSpaceDE/>
        <w:autoSpaceDN/>
        <w:bidi w:val="0"/>
        <w:adjustRightInd/>
        <w:snapToGrid/>
        <w:spacing w:after="0" w:line="552" w:lineRule="exact"/>
        <w:ind w:left="0" w:leftChars="0" w:firstLine="4421" w:firstLineChars="1399"/>
        <w:textAlignment w:val="auto"/>
        <w:rPr>
          <w:rFonts w:hint="default" w:ascii="仿宋_GB2312" w:hAnsi="仿宋_GB2312" w:cs="仿宋_GB2312"/>
          <w:color w:val="auto"/>
          <w:kern w:val="2"/>
          <w:sz w:val="32"/>
          <w:szCs w:val="32"/>
          <w:highlight w:val="none"/>
          <w:lang w:val="en-US" w:eastAsia="zh-CN" w:bidi="ar-SA"/>
        </w:rPr>
      </w:pPr>
      <w:r>
        <w:rPr>
          <w:rFonts w:hint="eastAsia" w:ascii="仿宋_GB2312" w:hAnsi="仿宋_GB2312" w:cs="仿宋_GB2312"/>
          <w:color w:val="auto"/>
          <w:kern w:val="2"/>
          <w:sz w:val="32"/>
          <w:szCs w:val="32"/>
          <w:highlight w:val="none"/>
          <w:lang w:val="en-US" w:eastAsia="zh-CN" w:bidi="ar-SA"/>
        </w:rPr>
        <w:t>民乐县退役军人事务局</w:t>
      </w:r>
    </w:p>
    <w:p>
      <w:pPr>
        <w:pStyle w:val="7"/>
        <w:keepNext w:val="0"/>
        <w:keepLines w:val="0"/>
        <w:pageBreakBefore w:val="0"/>
        <w:widowControl w:val="0"/>
        <w:kinsoku/>
        <w:wordWrap/>
        <w:overflowPunct/>
        <w:topLinePunct w:val="0"/>
        <w:autoSpaceDE/>
        <w:autoSpaceDN/>
        <w:bidi w:val="0"/>
        <w:adjustRightInd/>
        <w:snapToGrid/>
        <w:spacing w:after="0" w:line="552" w:lineRule="exact"/>
        <w:ind w:firstLine="4740" w:firstLineChars="1500"/>
        <w:textAlignment w:val="auto"/>
        <w:rPr>
          <w:rFonts w:hint="default" w:ascii="仿宋_GB2312" w:hAnsi="仿宋_GB2312" w:eastAsia="仿宋_GB2312" w:cs="仿宋_GB2312"/>
          <w:color w:val="FF0000"/>
          <w:sz w:val="32"/>
          <w:szCs w:val="32"/>
          <w:highlight w:val="yellow"/>
          <w:lang w:val="en-US" w:eastAsia="zh-CN"/>
        </w:rPr>
      </w:pPr>
      <w:r>
        <w:rPr>
          <w:rFonts w:hint="eastAsia" w:ascii="仿宋_GB2312" w:hAnsi="仿宋_GB2312" w:cs="仿宋_GB2312"/>
          <w:color w:val="auto"/>
          <w:kern w:val="2"/>
          <w:sz w:val="32"/>
          <w:szCs w:val="32"/>
          <w:highlight w:val="none"/>
          <w:lang w:val="en-US" w:eastAsia="zh-CN" w:bidi="ar-SA"/>
        </w:rPr>
        <w:t>2023年10月17日</w:t>
      </w:r>
    </w:p>
    <w:sectPr>
      <w:footerReference r:id="rId3" w:type="default"/>
      <w:pgSz w:w="11906" w:h="16838"/>
      <w:pgMar w:top="2098" w:right="1474" w:bottom="1984" w:left="1587" w:header="851" w:footer="992" w:gutter="0"/>
      <w:pgNumType w:fmt="numberInDash"/>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keepNext w:val="0"/>
                            <w:keepLines w:val="0"/>
                            <w:pageBreakBefore w:val="0"/>
                            <w:widowControl w:val="0"/>
                            <w:kinsoku/>
                            <w:wordWrap/>
                            <w:overflowPunct/>
                            <w:topLinePunct w:val="0"/>
                            <w:autoSpaceDE/>
                            <w:autoSpaceDN/>
                            <w:bidi w:val="0"/>
                            <w:adjustRightInd/>
                            <w:snapToGrid w:val="0"/>
                            <w:ind w:left="640" w:leftChars="200" w:right="640" w:rightChars="200"/>
                            <w:textAlignment w:val="auto"/>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keepNext w:val="0"/>
                      <w:keepLines w:val="0"/>
                      <w:pageBreakBefore w:val="0"/>
                      <w:widowControl w:val="0"/>
                      <w:kinsoku/>
                      <w:wordWrap/>
                      <w:overflowPunct/>
                      <w:topLinePunct w:val="0"/>
                      <w:autoSpaceDE/>
                      <w:autoSpaceDN/>
                      <w:bidi w:val="0"/>
                      <w:adjustRightInd/>
                      <w:snapToGrid w:val="0"/>
                      <w:ind w:left="640" w:leftChars="200" w:right="640" w:rightChars="200"/>
                      <w:textAlignment w:val="auto"/>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4ZGVlNTJhODU0NTJjYjljMzAyOWNhYWNiMjIwYTEifQ=="/>
  </w:docVars>
  <w:rsids>
    <w:rsidRoot w:val="4A586F4D"/>
    <w:rsid w:val="032A4C70"/>
    <w:rsid w:val="036A2808"/>
    <w:rsid w:val="051840C8"/>
    <w:rsid w:val="093478C1"/>
    <w:rsid w:val="09813405"/>
    <w:rsid w:val="09F75A39"/>
    <w:rsid w:val="0CC42C8F"/>
    <w:rsid w:val="0F506C15"/>
    <w:rsid w:val="0FDF5034"/>
    <w:rsid w:val="11664386"/>
    <w:rsid w:val="119F32FB"/>
    <w:rsid w:val="182C1032"/>
    <w:rsid w:val="1CED5103"/>
    <w:rsid w:val="1D415550"/>
    <w:rsid w:val="1D7D373C"/>
    <w:rsid w:val="21115269"/>
    <w:rsid w:val="2C210A56"/>
    <w:rsid w:val="2CDA4378"/>
    <w:rsid w:val="2CE657FC"/>
    <w:rsid w:val="338A4FC3"/>
    <w:rsid w:val="39F24110"/>
    <w:rsid w:val="3BD553B9"/>
    <w:rsid w:val="3E06185A"/>
    <w:rsid w:val="3F194570"/>
    <w:rsid w:val="447B4246"/>
    <w:rsid w:val="47953C4F"/>
    <w:rsid w:val="49A770F1"/>
    <w:rsid w:val="4A586F4D"/>
    <w:rsid w:val="4C247146"/>
    <w:rsid w:val="516C5A2A"/>
    <w:rsid w:val="60600A87"/>
    <w:rsid w:val="644A3EEF"/>
    <w:rsid w:val="71483955"/>
    <w:rsid w:val="787B56D0"/>
    <w:rsid w:val="78EB5BE1"/>
    <w:rsid w:val="7EE139A8"/>
    <w:rsid w:val="7EF54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eastAsia="仿宋_GB2312" w:asciiTheme="minorAscii" w:hAnsiTheme="minorAscii" w:cstheme="minorBidi"/>
      <w:kern w:val="2"/>
      <w:sz w:val="32"/>
      <w:szCs w:val="24"/>
      <w:lang w:val="en-US" w:eastAsia="zh-CN" w:bidi="ar-SA"/>
    </w:rPr>
  </w:style>
  <w:style w:type="paragraph" w:styleId="4">
    <w:name w:val="heading 5"/>
    <w:basedOn w:val="1"/>
    <w:next w:val="1"/>
    <w:autoRedefine/>
    <w:qFormat/>
    <w:uiPriority w:val="0"/>
    <w:pPr>
      <w:tabs>
        <w:tab w:val="left" w:pos="525"/>
        <w:tab w:val="left" w:pos="992"/>
      </w:tabs>
      <w:ind w:left="567" w:firstLine="425"/>
      <w:outlineLvl w:val="4"/>
    </w:pPr>
    <w:rPr>
      <w:rFonts w:cs="Times New Roman"/>
      <w:bCs/>
      <w:szCs w:val="28"/>
    </w:rPr>
  </w:style>
  <w:style w:type="character" w:default="1" w:styleId="17">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customStyle="1" w:styleId="2">
    <w:name w:val="Body Text First Indent 21"/>
    <w:basedOn w:val="3"/>
    <w:autoRedefine/>
    <w:qFormat/>
    <w:uiPriority w:val="0"/>
    <w:pPr>
      <w:ind w:firstLine="420" w:firstLineChars="200"/>
    </w:pPr>
  </w:style>
  <w:style w:type="paragraph" w:customStyle="1" w:styleId="3">
    <w:name w:val="Body Text Indent1"/>
    <w:basedOn w:val="1"/>
    <w:autoRedefine/>
    <w:qFormat/>
    <w:uiPriority w:val="0"/>
    <w:pPr>
      <w:spacing w:after="120" w:afterLines="0"/>
      <w:ind w:left="420" w:leftChars="200"/>
    </w:pPr>
  </w:style>
  <w:style w:type="paragraph" w:styleId="5">
    <w:name w:val="Note Heading"/>
    <w:basedOn w:val="4"/>
    <w:next w:val="1"/>
    <w:autoRedefine/>
    <w:qFormat/>
    <w:uiPriority w:val="0"/>
    <w:pPr>
      <w:jc w:val="center"/>
    </w:pPr>
    <w:rPr>
      <w:rFonts w:ascii="Arial" w:hAnsi="Arial" w:eastAsia="宋体" w:cs="Times New Roman"/>
      <w:szCs w:val="28"/>
    </w:rPr>
  </w:style>
  <w:style w:type="paragraph" w:styleId="6">
    <w:name w:val="index 5"/>
    <w:basedOn w:val="1"/>
    <w:next w:val="1"/>
    <w:qFormat/>
    <w:uiPriority w:val="0"/>
    <w:pPr>
      <w:ind w:left="800" w:leftChars="800"/>
    </w:pPr>
  </w:style>
  <w:style w:type="paragraph" w:styleId="7">
    <w:name w:val="Body Text"/>
    <w:basedOn w:val="1"/>
    <w:autoRedefine/>
    <w:qFormat/>
    <w:uiPriority w:val="0"/>
    <w:pPr>
      <w:spacing w:after="120"/>
    </w:pPr>
    <w:rPr>
      <w:rFonts w:eastAsia="仿宋_GB2312"/>
      <w:sz w:val="32"/>
    </w:rPr>
  </w:style>
  <w:style w:type="paragraph" w:styleId="8">
    <w:name w:val="Body Text Indent"/>
    <w:basedOn w:val="1"/>
    <w:next w:val="5"/>
    <w:autoRedefine/>
    <w:qFormat/>
    <w:uiPriority w:val="0"/>
    <w:pPr>
      <w:ind w:firstLine="640"/>
    </w:pPr>
    <w:rPr>
      <w:rFonts w:ascii="Times New Roman" w:hAnsi="Times New Roman" w:eastAsia="仿宋_GB2312" w:cs="Times New Roman"/>
      <w:sz w:val="32"/>
      <w:szCs w:val="24"/>
    </w:rPr>
  </w:style>
  <w:style w:type="paragraph" w:styleId="9">
    <w:name w:val="Plain Text"/>
    <w:basedOn w:val="1"/>
    <w:autoRedefine/>
    <w:qFormat/>
    <w:uiPriority w:val="0"/>
    <w:pPr>
      <w:widowControl/>
      <w:spacing w:line="351" w:lineRule="atLeast"/>
      <w:ind w:firstLine="419"/>
      <w:textAlignment w:val="baseline"/>
    </w:pPr>
    <w:rPr>
      <w:rFonts w:ascii="宋体"/>
      <w:color w:val="000000"/>
      <w:kern w:val="0"/>
      <w:szCs w:val="20"/>
      <w:u w:val="none" w:color="000000"/>
    </w:rPr>
  </w:style>
  <w:style w:type="paragraph" w:styleId="10">
    <w:name w:val="Body Text Indent 2"/>
    <w:basedOn w:val="1"/>
    <w:next w:val="7"/>
    <w:autoRedefine/>
    <w:qFormat/>
    <w:uiPriority w:val="99"/>
    <w:pPr>
      <w:spacing w:line="480" w:lineRule="auto"/>
      <w:ind w:left="420" w:leftChars="200"/>
    </w:p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Subtitle"/>
    <w:basedOn w:val="1"/>
    <w:next w:val="1"/>
    <w:qFormat/>
    <w:uiPriority w:val="0"/>
    <w:pPr>
      <w:spacing w:before="240" w:beforeLines="0" w:after="60" w:afterLines="0" w:line="312" w:lineRule="auto"/>
      <w:jc w:val="center"/>
      <w:outlineLvl w:val="1"/>
    </w:pPr>
    <w:rPr>
      <w:rFonts w:ascii="Cambria" w:hAnsi="Cambria" w:eastAsia="宋体" w:cs="Times New Roman"/>
      <w:b/>
      <w:bCs/>
      <w:kern w:val="28"/>
      <w:sz w:val="32"/>
      <w:szCs w:val="32"/>
    </w:rPr>
  </w:style>
  <w:style w:type="paragraph" w:styleId="14">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5">
    <w:name w:val="Body Text First Indent 2"/>
    <w:basedOn w:val="8"/>
    <w:autoRedefine/>
    <w:qFormat/>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2786</Words>
  <Characters>3027</Characters>
  <Lines>0</Lines>
  <Paragraphs>0</Paragraphs>
  <TotalTime>0</TotalTime>
  <ScaleCrop>false</ScaleCrop>
  <LinksUpToDate>false</LinksUpToDate>
  <CharactersWithSpaces>3091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2022-01-25T03:13:00Z</dcterms:created>
  <dc:creator>西原</dc:creator>
  <cp:lastModifiedBy>sophiay</cp:lastModifiedBy>
  <cp:lastPrinted>2023-06-12T12:07:00Z</cp:lastPrinted>
  <dcterms:modified xsi:type="dcterms:W3CDTF">2024-03-20T03:38:54Z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6CA389A53B774811A7A3F9D2C09FCA12</vt:lpwstr>
  </property>
</Properties>
</file>