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108" w:firstLineChars="1300"/>
        <w:jc w:val="both"/>
        <w:textAlignment w:val="auto"/>
        <w:rPr>
          <w:rFonts w:hint="eastAsia" w:ascii="仿宋_GB2312" w:hAnsi="Times New Roman" w:cs="仿宋_GB2312"/>
          <w:color w:val="auto"/>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108" w:firstLineChars="1300"/>
        <w:jc w:val="both"/>
        <w:textAlignment w:val="auto"/>
        <w:rPr>
          <w:rFonts w:hint="eastAsia" w:ascii="仿宋_GB2312" w:hAnsi="Times New Roman" w:cs="仿宋_GB2312"/>
          <w:color w:val="auto"/>
          <w:kern w:val="2"/>
          <w:sz w:val="32"/>
          <w:szCs w:val="32"/>
          <w:lang w:val="en-US" w:eastAsia="zh-CN" w:bidi="ar"/>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0" w:lineRule="exact"/>
        <w:ind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Times New Roman" w:cs="仿宋_GB2312"/>
          <w:color w:val="auto"/>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52" w:lineRule="exact"/>
        <w:ind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民乐县退役军人事务局</w:t>
      </w:r>
    </w:p>
    <w:p>
      <w:pPr>
        <w:keepNext w:val="0"/>
        <w:keepLines w:val="0"/>
        <w:pageBreakBefore w:val="0"/>
        <w:widowControl w:val="0"/>
        <w:kinsoku/>
        <w:wordWrap/>
        <w:overflowPunct/>
        <w:topLinePunct w:val="0"/>
        <w:autoSpaceDE/>
        <w:autoSpaceDN/>
        <w:bidi w:val="0"/>
        <w:adjustRightInd/>
        <w:snapToGrid/>
        <w:spacing w:line="552"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年度</w:t>
      </w:r>
      <w:r>
        <w:rPr>
          <w:rFonts w:hint="eastAsia" w:ascii="方正小标宋简体" w:hAnsi="方正小标宋简体" w:eastAsia="方正小标宋简体" w:cs="方正小标宋简体"/>
          <w:color w:val="auto"/>
          <w:sz w:val="44"/>
          <w:szCs w:val="44"/>
          <w:highlight w:val="none"/>
          <w:lang w:val="en-US" w:eastAsia="zh-CN"/>
        </w:rPr>
        <w:t>政府采购（公用经费类）支出</w:t>
      </w:r>
    </w:p>
    <w:p>
      <w:pPr>
        <w:keepNext w:val="0"/>
        <w:keepLines w:val="0"/>
        <w:pageBreakBefore w:val="0"/>
        <w:widowControl w:val="0"/>
        <w:kinsoku/>
        <w:wordWrap/>
        <w:overflowPunct/>
        <w:topLinePunct w:val="0"/>
        <w:autoSpaceDE/>
        <w:autoSpaceDN/>
        <w:bidi w:val="0"/>
        <w:adjustRightInd/>
        <w:snapToGrid/>
        <w:spacing w:line="552" w:lineRule="exact"/>
        <w:ind w:left="0" w:left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绩自评</w:t>
      </w:r>
      <w:r>
        <w:rPr>
          <w:rFonts w:hint="eastAsia" w:ascii="方正小标宋简体" w:hAnsi="方正小标宋简体" w:eastAsia="方正小标宋简体" w:cs="方正小标宋简体"/>
          <w:color w:val="auto"/>
          <w:sz w:val="44"/>
          <w:szCs w:val="44"/>
          <w:highlight w:val="none"/>
        </w:rPr>
        <w:t>报告</w:t>
      </w:r>
      <w:r>
        <w:rPr>
          <w:rFonts w:hint="eastAsia" w:ascii="方正小标宋简体" w:hAnsi="方正小标宋简体" w:eastAsia="方正小标宋简体" w:cs="方正小标宋简体"/>
          <w:color w:val="auto"/>
          <w:sz w:val="44"/>
          <w:szCs w:val="44"/>
          <w:highlight w:val="none"/>
        </w:rPr>
        <w:br w:type="textWrapping"/>
      </w:r>
    </w:p>
    <w:p>
      <w:pPr>
        <w:pStyle w:val="9"/>
        <w:keepNext w:val="0"/>
        <w:keepLines w:val="0"/>
        <w:pageBreakBefore w:val="0"/>
        <w:widowControl w:val="0"/>
        <w:kinsoku/>
        <w:wordWrap/>
        <w:overflowPunct/>
        <w:topLinePunct w:val="0"/>
        <w:autoSpaceDE/>
        <w:autoSpaceDN/>
        <w:bidi w:val="0"/>
        <w:adjustRightInd/>
        <w:snapToGrid/>
        <w:spacing w:line="552" w:lineRule="exact"/>
        <w:ind w:left="0" w:leftChars="0"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县财政局：</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val="en-US" w:eastAsia="zh-CN"/>
        </w:rPr>
        <w:t>《关于开展2023年度县级预算执行情况绩效单位自评暨2024年度绩效目标申报和事前绩效评估工作的通知》要求，我部门高度重视，认真组织开展县级预算执行情况绩效单位自评工作，现将2023年度政府采购（公用经费类）支出绩效目标</w:t>
      </w:r>
      <w:r>
        <w:rPr>
          <w:rFonts w:hint="eastAsia" w:ascii="仿宋_GB2312" w:hAnsi="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val="en-US" w:eastAsia="zh-CN"/>
        </w:rPr>
        <w:t>报告如下：</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部门主要职能</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退役军人事务局贯彻落实党中央和省市县委关于退役军人事务工作的方针政策和决策部署，在履行职责过程中坚持和加强党对退役军人事务工作的集中统一领导。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内设机构及所属单位概况</w:t>
      </w:r>
    </w:p>
    <w:p>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退役军人事务局设下列内设机构：办公室、移交安置和权益保障股、拥军优抚股。核定行政编制</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名，其中，领导职数3名（局长1名，副局长2名）。所属事业单位分别是民乐县退役军人服务中心、民乐县河西解放纪念馆。</w:t>
      </w:r>
    </w:p>
    <w:p>
      <w:pPr>
        <w:keepNext w:val="0"/>
        <w:keepLines w:val="0"/>
        <w:pageBreakBefore w:val="0"/>
        <w:widowControl w:val="0"/>
        <w:kinsoku/>
        <w:wordWrap/>
        <w:overflowPunct/>
        <w:topLinePunct w:val="0"/>
        <w:autoSpaceDE/>
        <w:autoSpaceDN/>
        <w:bidi w:val="0"/>
        <w:adjustRightInd/>
        <w:spacing w:line="552" w:lineRule="exact"/>
        <w:ind w:firstLine="632" w:firstLineChars="200"/>
        <w:textAlignment w:val="auto"/>
        <w:rPr>
          <w:rFonts w:hint="eastAsia" w:ascii="黑体" w:hAnsi="黑体" w:eastAsia="黑体" w:cs="黑体"/>
          <w:color w:val="auto"/>
          <w:sz w:val="32"/>
          <w:szCs w:val="32"/>
          <w:lang w:val="en"/>
        </w:rPr>
      </w:pPr>
      <w:r>
        <w:rPr>
          <w:rFonts w:hint="eastAsia" w:ascii="黑体" w:hAnsi="黑体" w:eastAsia="黑体" w:cs="黑体"/>
          <w:color w:val="auto"/>
          <w:sz w:val="32"/>
          <w:szCs w:val="32"/>
          <w:lang w:val="en"/>
        </w:rPr>
        <w:t>二、绩效自评工作组织开展情况</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公用经费</w:t>
      </w:r>
      <w:r>
        <w:rPr>
          <w:rFonts w:hint="eastAsia" w:ascii="楷体_GB2312" w:hAnsi="楷体_GB2312" w:eastAsia="楷体_GB2312" w:cs="楷体_GB2312"/>
          <w:b w:val="0"/>
          <w:bCs w:val="0"/>
          <w:sz w:val="32"/>
          <w:szCs w:val="32"/>
        </w:rPr>
        <w:t>支出预算执行情况</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kern w:val="2"/>
          <w:sz w:val="32"/>
          <w:szCs w:val="32"/>
          <w:highlight w:val="none"/>
          <w:lang w:val="en-US" w:eastAsia="zh-CN" w:bidi="ar-SA"/>
        </w:rPr>
        <w:t>2023年，</w:t>
      </w:r>
      <w:r>
        <w:rPr>
          <w:rFonts w:hint="default" w:ascii="仿宋_GB2312" w:hAnsi="仿宋_GB2312" w:eastAsia="仿宋_GB2312" w:cs="仿宋_GB2312"/>
          <w:b w:val="0"/>
          <w:bCs w:val="0"/>
          <w:color w:val="auto"/>
          <w:kern w:val="2"/>
          <w:sz w:val="32"/>
          <w:szCs w:val="32"/>
          <w:highlight w:val="none"/>
          <w:lang w:val="en-US" w:eastAsia="zh-CN" w:bidi="ar-SA"/>
        </w:rPr>
        <w:t>县</w:t>
      </w:r>
      <w:r>
        <w:rPr>
          <w:rFonts w:hint="eastAsia" w:ascii="仿宋_GB2312" w:hAnsi="仿宋_GB2312" w:eastAsia="仿宋_GB2312" w:cs="仿宋_GB2312"/>
          <w:b w:val="0"/>
          <w:bCs w:val="0"/>
          <w:color w:val="auto"/>
          <w:kern w:val="2"/>
          <w:sz w:val="32"/>
          <w:szCs w:val="32"/>
          <w:highlight w:val="none"/>
          <w:lang w:val="en-US" w:eastAsia="zh-CN" w:bidi="ar-SA"/>
        </w:rPr>
        <w:t>退役军人事务</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公用经费</w:t>
      </w:r>
      <w:r>
        <w:rPr>
          <w:rFonts w:hint="default" w:ascii="仿宋_GB2312" w:hAnsi="仿宋_GB2312" w:eastAsia="仿宋_GB2312" w:cs="仿宋_GB2312"/>
          <w:b w:val="0"/>
          <w:bCs w:val="0"/>
          <w:color w:val="auto"/>
          <w:kern w:val="2"/>
          <w:sz w:val="32"/>
          <w:szCs w:val="32"/>
          <w:highlight w:val="none"/>
          <w:lang w:val="en-US" w:eastAsia="zh-CN" w:bidi="ar-SA"/>
        </w:rPr>
        <w:t>收入预算总额为</w:t>
      </w:r>
      <w:r>
        <w:rPr>
          <w:rFonts w:hint="eastAsia" w:ascii="仿宋_GB2312" w:hAnsi="仿宋_GB2312" w:eastAsia="仿宋_GB2312" w:cs="仿宋_GB2312"/>
          <w:b w:val="0"/>
          <w:bCs w:val="0"/>
          <w:color w:val="auto"/>
          <w:kern w:val="2"/>
          <w:sz w:val="32"/>
          <w:szCs w:val="32"/>
          <w:highlight w:val="none"/>
          <w:lang w:val="en-US" w:eastAsia="zh-CN" w:bidi="ar-SA"/>
        </w:rPr>
        <w:t>67.46</w:t>
      </w:r>
      <w:r>
        <w:rPr>
          <w:rFonts w:hint="default" w:ascii="仿宋_GB2312" w:hAnsi="仿宋_GB2312" w:eastAsia="仿宋_GB2312" w:cs="仿宋_GB2312"/>
          <w:b w:val="0"/>
          <w:bCs w:val="0"/>
          <w:color w:val="auto"/>
          <w:kern w:val="2"/>
          <w:sz w:val="32"/>
          <w:szCs w:val="32"/>
          <w:highlight w:val="none"/>
          <w:lang w:val="en-US" w:eastAsia="zh-CN" w:bidi="ar-SA"/>
        </w:rPr>
        <w:t>万元</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财政拨款收入</w:t>
      </w:r>
      <w:r>
        <w:rPr>
          <w:rFonts w:hint="eastAsia" w:ascii="仿宋_GB2312" w:hAnsi="仿宋_GB2312" w:eastAsia="仿宋_GB2312" w:cs="仿宋_GB2312"/>
          <w:b w:val="0"/>
          <w:bCs w:val="0"/>
          <w:color w:val="auto"/>
          <w:kern w:val="2"/>
          <w:sz w:val="32"/>
          <w:szCs w:val="32"/>
          <w:highlight w:val="none"/>
          <w:lang w:val="en-US" w:eastAsia="zh-CN" w:bidi="ar-SA"/>
        </w:rPr>
        <w:t>67.46</w:t>
      </w:r>
      <w:r>
        <w:rPr>
          <w:rFonts w:hint="default" w:ascii="仿宋_GB2312" w:hAnsi="仿宋_GB2312" w:eastAsia="仿宋_GB2312" w:cs="仿宋_GB2312"/>
          <w:b w:val="0"/>
          <w:bCs w:val="0"/>
          <w:color w:val="auto"/>
          <w:kern w:val="2"/>
          <w:sz w:val="32"/>
          <w:szCs w:val="32"/>
          <w:highlight w:val="none"/>
          <w:lang w:val="en-US" w:eastAsia="zh-CN" w:bidi="ar-SA"/>
        </w:rPr>
        <w:t>万元。</w:t>
      </w:r>
      <w:r>
        <w:rPr>
          <w:rFonts w:hint="eastAsia" w:ascii="仿宋_GB2312" w:hAnsi="仿宋_GB2312" w:eastAsia="仿宋_GB2312" w:cs="仿宋_GB2312"/>
          <w:b w:val="0"/>
          <w:bCs w:val="0"/>
          <w:sz w:val="32"/>
          <w:szCs w:val="32"/>
        </w:rPr>
        <w:t>全年执行数为</w:t>
      </w:r>
      <w:r>
        <w:rPr>
          <w:rFonts w:hint="eastAsia" w:ascii="仿宋_GB2312" w:hAnsi="仿宋_GB2312" w:eastAsia="仿宋_GB2312" w:cs="仿宋_GB2312"/>
          <w:b w:val="0"/>
          <w:bCs w:val="0"/>
          <w:color w:val="auto"/>
          <w:kern w:val="2"/>
          <w:sz w:val="32"/>
          <w:szCs w:val="32"/>
          <w:highlight w:val="none"/>
          <w:lang w:val="en-US" w:eastAsia="zh-CN" w:bidi="ar-SA"/>
        </w:rPr>
        <w:t>67.46</w:t>
      </w:r>
      <w:r>
        <w:rPr>
          <w:rFonts w:hint="eastAsia" w:ascii="仿宋_GB2312" w:hAnsi="仿宋_GB2312" w:eastAsia="仿宋_GB2312" w:cs="仿宋_GB2312"/>
          <w:b w:val="0"/>
          <w:bCs w:val="0"/>
          <w:sz w:val="32"/>
          <w:szCs w:val="32"/>
        </w:rPr>
        <w:t>万元，执行率为</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3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kern w:val="28"/>
          <w:sz w:val="32"/>
          <w:szCs w:val="32"/>
          <w:lang w:val="en-US" w:eastAsia="zh-CN" w:bidi="ar-SA"/>
        </w:rPr>
        <w:t>1.</w:t>
      </w:r>
      <w:r>
        <w:rPr>
          <w:rFonts w:hint="eastAsia" w:ascii="仿宋_GB2312" w:hAnsi="仿宋_GB2312" w:eastAsia="仿宋_GB2312" w:cs="仿宋_GB2312"/>
          <w:b/>
          <w:bCs/>
          <w:kern w:val="28"/>
          <w:sz w:val="32"/>
          <w:szCs w:val="32"/>
          <w:lang w:val="en-US" w:eastAsia="zh-CN" w:bidi="ar-SA"/>
        </w:rPr>
        <w:t>总体绩效目标：</w:t>
      </w:r>
      <w:r>
        <w:rPr>
          <w:rFonts w:hint="eastAsia" w:ascii="仿宋_GB2312" w:eastAsia="仿宋_GB2312" w:cstheme="minorBidi"/>
          <w:bCs/>
          <w:color w:val="auto"/>
          <w:kern w:val="2"/>
          <w:sz w:val="32"/>
          <w:szCs w:val="24"/>
          <w:highlight w:val="none"/>
          <w:lang w:val="en-US" w:eastAsia="zh-CN" w:bidi="ar-SA"/>
        </w:rPr>
        <w:t>政府采购计划编制规范，采购方式合理</w:t>
      </w:r>
      <w:r>
        <w:rPr>
          <w:rFonts w:hint="eastAsia" w:ascii="仿宋_GB2312" w:cstheme="minorBidi"/>
          <w:bCs/>
          <w:color w:val="auto"/>
          <w:kern w:val="2"/>
          <w:sz w:val="32"/>
          <w:szCs w:val="24"/>
          <w:highlight w:val="none"/>
          <w:lang w:val="en-US" w:eastAsia="zh-CN" w:bidi="ar-SA"/>
        </w:rPr>
        <w:t>，</w:t>
      </w:r>
      <w:r>
        <w:rPr>
          <w:rFonts w:hint="eastAsia" w:ascii="仿宋_GB2312" w:eastAsia="仿宋_GB2312" w:cstheme="minorBidi"/>
          <w:bCs/>
          <w:color w:val="auto"/>
          <w:kern w:val="2"/>
          <w:sz w:val="32"/>
          <w:szCs w:val="24"/>
          <w:highlight w:val="none"/>
          <w:lang w:val="en-US" w:eastAsia="zh-CN" w:bidi="ar-SA"/>
        </w:rPr>
        <w:t>保证</w:t>
      </w:r>
      <w:r>
        <w:rPr>
          <w:rFonts w:hint="eastAsia" w:ascii="仿宋_GB2312" w:cstheme="minorBidi"/>
          <w:bCs/>
          <w:color w:val="auto"/>
          <w:kern w:val="2"/>
          <w:sz w:val="32"/>
          <w:szCs w:val="24"/>
          <w:highlight w:val="none"/>
          <w:lang w:val="en-US" w:eastAsia="zh-CN" w:bidi="ar-SA"/>
        </w:rPr>
        <w:t>了</w:t>
      </w:r>
      <w:r>
        <w:rPr>
          <w:rFonts w:hint="eastAsia" w:ascii="仿宋_GB2312" w:eastAsia="仿宋_GB2312" w:cstheme="minorBidi"/>
          <w:bCs/>
          <w:color w:val="auto"/>
          <w:kern w:val="2"/>
          <w:sz w:val="32"/>
          <w:szCs w:val="24"/>
          <w:highlight w:val="none"/>
          <w:lang w:val="en-US" w:eastAsia="zh-CN" w:bidi="ar-SA"/>
        </w:rPr>
        <w:t>日常开支，保障机关办公正常运转，不断提高服务水平</w:t>
      </w:r>
      <w:r>
        <w:rPr>
          <w:rFonts w:hint="eastAsia" w:ascii="仿宋_GB2312" w:cstheme="minorBidi"/>
          <w:bCs/>
          <w:color w:val="auto"/>
          <w:kern w:val="2"/>
          <w:sz w:val="32"/>
          <w:szCs w:val="24"/>
          <w:highlight w:val="none"/>
          <w:lang w:val="en-US" w:eastAsia="zh-CN" w:bidi="ar-SA"/>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项目资金情况分析</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资金到位情况分析</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公用经费</w:t>
      </w:r>
      <w:r>
        <w:rPr>
          <w:rFonts w:hint="eastAsia" w:ascii="仿宋_GB2312" w:hAnsi="仿宋_GB2312" w:eastAsia="仿宋_GB2312" w:cs="仿宋_GB2312"/>
          <w:b w:val="0"/>
          <w:bCs w:val="0"/>
          <w:sz w:val="32"/>
          <w:szCs w:val="32"/>
          <w:highlight w:val="none"/>
        </w:rPr>
        <w:t>资金及时下达，均于</w:t>
      </w:r>
      <w:r>
        <w:rPr>
          <w:rFonts w:hint="eastAsia" w:ascii="仿宋_GB2312" w:hAnsi="仿宋_GB2312" w:eastAsia="仿宋_GB2312" w:cs="仿宋_GB2312"/>
          <w:b w:val="0"/>
          <w:bCs w:val="0"/>
          <w:sz w:val="32"/>
          <w:szCs w:val="32"/>
          <w:highlight w:val="none"/>
          <w:lang w:val="en-US" w:eastAsia="zh-CN"/>
        </w:rPr>
        <w:t>年初拨付到位</w:t>
      </w:r>
      <w:r>
        <w:rPr>
          <w:rFonts w:hint="eastAsia" w:ascii="仿宋_GB2312" w:hAnsi="仿宋_GB2312" w:eastAsia="仿宋_GB2312" w:cs="仿宋_GB2312"/>
          <w:b w:val="0"/>
          <w:bCs w:val="0"/>
          <w:sz w:val="32"/>
          <w:szCs w:val="32"/>
          <w:highlight w:val="non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资金执行情况分析</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2023年，</w:t>
      </w:r>
      <w:r>
        <w:rPr>
          <w:rFonts w:hint="eastAsia" w:ascii="仿宋_GB2312" w:hAnsi="仿宋_GB2312" w:eastAsia="仿宋_GB2312" w:cs="仿宋_GB2312"/>
          <w:b w:val="0"/>
          <w:bCs w:val="0"/>
          <w:color w:val="auto"/>
          <w:kern w:val="2"/>
          <w:sz w:val="32"/>
          <w:szCs w:val="32"/>
          <w:highlight w:val="none"/>
          <w:lang w:val="en-US" w:eastAsia="zh-CN" w:bidi="ar-SA"/>
        </w:rPr>
        <w:t>公用经费</w:t>
      </w:r>
      <w:r>
        <w:rPr>
          <w:rFonts w:hint="default" w:ascii="仿宋_GB2312" w:hAnsi="仿宋_GB2312" w:eastAsia="仿宋_GB2312" w:cs="仿宋_GB2312"/>
          <w:b w:val="0"/>
          <w:bCs w:val="0"/>
          <w:color w:val="auto"/>
          <w:kern w:val="2"/>
          <w:sz w:val="32"/>
          <w:szCs w:val="32"/>
          <w:highlight w:val="none"/>
          <w:lang w:val="en-US" w:eastAsia="zh-CN" w:bidi="ar-SA"/>
        </w:rPr>
        <w:t>收入预算总额为</w:t>
      </w:r>
      <w:r>
        <w:rPr>
          <w:rFonts w:hint="eastAsia" w:ascii="仿宋_GB2312" w:hAnsi="仿宋_GB2312" w:eastAsia="仿宋_GB2312" w:cs="仿宋_GB2312"/>
          <w:b w:val="0"/>
          <w:bCs w:val="0"/>
          <w:color w:val="auto"/>
          <w:kern w:val="2"/>
          <w:sz w:val="32"/>
          <w:szCs w:val="32"/>
          <w:highlight w:val="none"/>
          <w:lang w:val="en-US" w:eastAsia="zh-CN" w:bidi="ar-SA"/>
        </w:rPr>
        <w:t>67.46</w:t>
      </w:r>
      <w:r>
        <w:rPr>
          <w:rFonts w:hint="default" w:ascii="仿宋_GB2312" w:hAnsi="仿宋_GB2312" w:eastAsia="仿宋_GB2312" w:cs="仿宋_GB2312"/>
          <w:b w:val="0"/>
          <w:bCs w:val="0"/>
          <w:color w:val="auto"/>
          <w:kern w:val="2"/>
          <w:sz w:val="32"/>
          <w:szCs w:val="32"/>
          <w:highlight w:val="none"/>
          <w:lang w:val="en-US" w:eastAsia="zh-CN" w:bidi="ar-SA"/>
        </w:rPr>
        <w:t>万元</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财政拨款收入</w:t>
      </w:r>
      <w:r>
        <w:rPr>
          <w:rFonts w:hint="eastAsia" w:ascii="仿宋_GB2312" w:hAnsi="仿宋_GB2312" w:eastAsia="仿宋_GB2312" w:cs="仿宋_GB2312"/>
          <w:b w:val="0"/>
          <w:bCs w:val="0"/>
          <w:color w:val="auto"/>
          <w:kern w:val="2"/>
          <w:sz w:val="32"/>
          <w:szCs w:val="32"/>
          <w:highlight w:val="none"/>
          <w:lang w:val="en-US" w:eastAsia="zh-CN" w:bidi="ar-SA"/>
        </w:rPr>
        <w:t>67.46</w:t>
      </w:r>
      <w:r>
        <w:rPr>
          <w:rFonts w:hint="default" w:ascii="仿宋_GB2312" w:hAnsi="仿宋_GB2312" w:eastAsia="仿宋_GB2312" w:cs="仿宋_GB2312"/>
          <w:b w:val="0"/>
          <w:bCs w:val="0"/>
          <w:color w:val="auto"/>
          <w:kern w:val="2"/>
          <w:sz w:val="32"/>
          <w:szCs w:val="32"/>
          <w:highlight w:val="none"/>
          <w:lang w:val="en-US" w:eastAsia="zh-CN" w:bidi="ar-SA"/>
        </w:rPr>
        <w:t>万元。</w:t>
      </w:r>
      <w:r>
        <w:rPr>
          <w:rFonts w:hint="eastAsia" w:ascii="仿宋_GB2312" w:hAnsi="仿宋_GB2312" w:eastAsia="仿宋_GB2312" w:cs="仿宋_GB2312"/>
          <w:b w:val="0"/>
          <w:bCs w:val="0"/>
          <w:sz w:val="32"/>
          <w:szCs w:val="32"/>
        </w:rPr>
        <w:t>全年执行数为</w:t>
      </w:r>
      <w:r>
        <w:rPr>
          <w:rFonts w:hint="eastAsia" w:ascii="仿宋_GB2312" w:hAnsi="仿宋_GB2312" w:eastAsia="仿宋_GB2312" w:cs="仿宋_GB2312"/>
          <w:b w:val="0"/>
          <w:bCs w:val="0"/>
          <w:color w:val="auto"/>
          <w:kern w:val="2"/>
          <w:sz w:val="32"/>
          <w:szCs w:val="32"/>
          <w:highlight w:val="none"/>
          <w:lang w:val="en-US" w:eastAsia="zh-CN" w:bidi="ar-SA"/>
        </w:rPr>
        <w:t>67.46</w:t>
      </w:r>
      <w:r>
        <w:rPr>
          <w:rFonts w:hint="eastAsia" w:ascii="仿宋_GB2312" w:hAnsi="仿宋_GB2312" w:eastAsia="仿宋_GB2312" w:cs="仿宋_GB2312"/>
          <w:b w:val="0"/>
          <w:bCs w:val="0"/>
          <w:sz w:val="32"/>
          <w:szCs w:val="32"/>
        </w:rPr>
        <w:t>万元，执行率为</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项目资金管理情况分析</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kern w:val="28"/>
          <w:sz w:val="32"/>
          <w:szCs w:val="32"/>
          <w:lang w:val="en-US" w:eastAsia="zh-CN" w:bidi="ar-SA"/>
        </w:rPr>
      </w:pPr>
      <w:r>
        <w:rPr>
          <w:rFonts w:hint="eastAsia" w:ascii="仿宋_GB2312" w:hAnsi="仿宋_GB2312" w:eastAsia="仿宋_GB2312" w:cs="仿宋_GB2312"/>
          <w:b w:val="0"/>
          <w:bCs w:val="0"/>
          <w:kern w:val="28"/>
          <w:sz w:val="32"/>
          <w:szCs w:val="32"/>
          <w:lang w:val="en-US" w:eastAsia="zh-CN" w:bidi="ar-SA"/>
        </w:rPr>
        <w:t>在项目运行和资金管理方面按照专项资金管理使用制度的规定和要求进行资金的管理。资金使用符合相关规定，有完整的审批程序和手续，未发生截留、挤占、挪用、虚列支出等情况。政府采购计划编制规范，采购方式合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（三）各项指标完成情况分析</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val="en-US" w:eastAsia="zh-CN"/>
        </w:rPr>
        <w:t>公用经费</w:t>
      </w:r>
      <w:r>
        <w:rPr>
          <w:rFonts w:hint="eastAsia" w:ascii="仿宋_GB2312" w:hAnsi="仿宋_GB2312" w:eastAsia="仿宋_GB2312" w:cs="仿宋_GB2312"/>
          <w:b w:val="0"/>
          <w:bCs w:val="0"/>
          <w:sz w:val="32"/>
          <w:szCs w:val="32"/>
        </w:rPr>
        <w:t>绩效自评分为</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分，评价结果为</w:t>
      </w:r>
      <w:r>
        <w:rPr>
          <w:rFonts w:hint="eastAsia" w:ascii="仿宋_GB2312" w:hAnsi="仿宋_GB2312" w:eastAsia="仿宋_GB2312" w:cs="仿宋_GB2312"/>
          <w:b w:val="0"/>
          <w:bCs w:val="0"/>
          <w:sz w:val="32"/>
          <w:szCs w:val="32"/>
          <w:lang w:val="en-US" w:eastAsia="zh-CN"/>
        </w:rPr>
        <w:t>优</w:t>
      </w:r>
      <w:r>
        <w:rPr>
          <w:rFonts w:hint="eastAsia" w:ascii="仿宋_GB2312" w:hAnsi="仿宋_GB2312" w:eastAsia="仿宋_GB2312" w:cs="仿宋_GB2312"/>
          <w:b w:val="0"/>
          <w:bCs w:val="0"/>
          <w:sz w:val="32"/>
          <w:szCs w:val="32"/>
        </w:rPr>
        <w:t>。具体指标完成情况如下：</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预算资金执行率满分10分，预算执行率</w:t>
      </w:r>
      <w:r>
        <w:rPr>
          <w:rFonts w:hint="eastAsia" w:ascii="仿宋_GB2312" w:hAnsi="仿宋_GB2312" w:eastAsia="仿宋_GB2312" w:cs="仿宋_GB2312"/>
          <w:b w:val="0"/>
          <w:bCs w:val="0"/>
          <w:sz w:val="32"/>
          <w:szCs w:val="32"/>
          <w:lang w:val="en-US" w:eastAsia="zh-CN"/>
        </w:rPr>
        <w:t xml:space="preserve">10% </w:t>
      </w:r>
      <w:r>
        <w:rPr>
          <w:rFonts w:hint="eastAsia" w:ascii="仿宋_GB2312" w:hAnsi="仿宋_GB2312" w:eastAsia="仿宋_GB2312" w:cs="仿宋_GB2312"/>
          <w:b w:val="0"/>
          <w:bCs w:val="0"/>
          <w:sz w:val="32"/>
          <w:szCs w:val="32"/>
        </w:rPr>
        <w:t>，得分</w:t>
      </w:r>
      <w:r>
        <w:rPr>
          <w:rFonts w:hint="eastAsia" w:ascii="仿宋_GB2312" w:hAnsi="仿宋_GB2312" w:eastAsia="仿宋_GB2312" w:cs="仿宋_GB2312"/>
          <w:b w:val="0"/>
          <w:bCs w:val="0"/>
          <w:sz w:val="32"/>
          <w:szCs w:val="32"/>
          <w:lang w:val="en-US" w:eastAsia="zh-CN"/>
        </w:rPr>
        <w:t>10分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Theme="minorHAnsi" w:cstheme="minorBidi"/>
          <w:b w:val="0"/>
          <w:bCs w:val="0"/>
          <w:color w:val="auto"/>
          <w:kern w:val="0"/>
          <w:sz w:val="32"/>
          <w:szCs w:val="32"/>
          <w:lang w:val="en-US" w:eastAsia="zh-CN" w:bidi="ar-SA"/>
        </w:rPr>
        <w:t>产出</w:t>
      </w:r>
      <w:r>
        <w:rPr>
          <w:rFonts w:hint="eastAsia" w:ascii="仿宋_GB2312" w:hAnsi="仿宋_GB2312" w:eastAsia="仿宋_GB2312" w:cs="仿宋_GB2312"/>
          <w:b w:val="0"/>
          <w:bCs w:val="0"/>
          <w:sz w:val="32"/>
          <w:szCs w:val="32"/>
          <w:lang w:val="en-US" w:eastAsia="zh-CN"/>
        </w:rPr>
        <w:t>指标满分</w:t>
      </w:r>
      <w:r>
        <w:rPr>
          <w:rFonts w:hint="eastAsia" w:ascii="仿宋_GB2312" w:hAnsi="仿宋_GB2312" w:cs="仿宋_GB2312"/>
          <w:b w:val="0"/>
          <w:bCs w:val="0"/>
          <w:sz w:val="32"/>
          <w:szCs w:val="32"/>
          <w:lang w:val="en-US" w:eastAsia="zh-CN"/>
        </w:rPr>
        <w:t>50</w:t>
      </w:r>
      <w:r>
        <w:rPr>
          <w:rFonts w:hint="eastAsia" w:ascii="仿宋_GB2312" w:hAnsi="仿宋_GB2312" w:eastAsia="仿宋_GB2312" w:cs="仿宋_GB2312"/>
          <w:b w:val="0"/>
          <w:bCs w:val="0"/>
          <w:sz w:val="32"/>
          <w:szCs w:val="32"/>
        </w:rPr>
        <w:t>分，得</w:t>
      </w:r>
      <w:r>
        <w:rPr>
          <w:rFonts w:hint="eastAsia" w:ascii="仿宋_GB2312" w:hAnsi="仿宋_GB2312" w:cs="仿宋_GB2312"/>
          <w:b w:val="0"/>
          <w:bCs w:val="0"/>
          <w:sz w:val="32"/>
          <w:szCs w:val="32"/>
          <w:lang w:val="en-US" w:eastAsia="zh-CN"/>
        </w:rPr>
        <w:t>50</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val="en-US" w:eastAsia="zh-CN"/>
        </w:rPr>
        <w:t>严格按照相关规定要求及预算成本等，</w:t>
      </w:r>
      <w:r>
        <w:rPr>
          <w:rFonts w:hint="eastAsia" w:ascii="仿宋_GB2312" w:hAnsi="仿宋_GB2312" w:cs="仿宋_GB2312"/>
          <w:b w:val="0"/>
          <w:bCs w:val="0"/>
          <w:sz w:val="32"/>
          <w:szCs w:val="32"/>
          <w:lang w:val="en-US" w:eastAsia="zh-CN"/>
        </w:rPr>
        <w:t>按规定</w:t>
      </w:r>
      <w:r>
        <w:rPr>
          <w:rFonts w:hint="eastAsia" w:ascii="仿宋_GB2312" w:hAnsi="仿宋_GB2312" w:eastAsia="仿宋_GB2312" w:cs="仿宋_GB2312"/>
          <w:b w:val="0"/>
          <w:bCs w:val="0"/>
          <w:sz w:val="32"/>
          <w:szCs w:val="32"/>
          <w:lang w:val="en-US" w:eastAsia="zh-CN"/>
        </w:rPr>
        <w:t>编制采购计划</w:t>
      </w:r>
      <w:r>
        <w:rPr>
          <w:rFonts w:hint="eastAsia" w:ascii="仿宋_GB2312" w:hAnsi="仿宋_GB2312" w:cs="仿宋_GB2312"/>
          <w:b w:val="0"/>
          <w:bCs w:val="0"/>
          <w:sz w:val="32"/>
          <w:szCs w:val="32"/>
          <w:lang w:val="en-US" w:eastAsia="zh-CN"/>
        </w:rPr>
        <w:t>并及时实施，保证政府采购计划按时完成。</w:t>
      </w:r>
    </w:p>
    <w:p>
      <w:pPr>
        <w:pStyle w:val="5"/>
        <w:ind w:firstLine="632" w:firstLineChars="200"/>
        <w:rPr>
          <w:rFonts w:hint="eastAsia" w:ascii="仿宋_GB2312" w:hAnsiTheme="minorHAnsi" w:cstheme="minorBidi"/>
          <w:color w:val="auto"/>
          <w:kern w:val="0"/>
          <w:sz w:val="32"/>
          <w:szCs w:val="32"/>
          <w:lang w:val="en-US" w:eastAsia="zh-CN" w:bidi="ar-SA"/>
        </w:rPr>
      </w:pPr>
      <w:r>
        <w:rPr>
          <w:rFonts w:hint="eastAsia" w:ascii="仿宋_GB2312" w:hAnsi="仿宋_GB2312" w:eastAsia="仿宋_GB2312" w:cs="仿宋_GB2312"/>
          <w:b w:val="0"/>
          <w:bCs w:val="0"/>
          <w:sz w:val="32"/>
          <w:szCs w:val="32"/>
          <w:lang w:val="en-US" w:eastAsia="zh-CN"/>
        </w:rPr>
        <w:t>3.效益</w:t>
      </w:r>
      <w:r>
        <w:rPr>
          <w:rFonts w:hint="eastAsia" w:ascii="仿宋_GB2312" w:hAnsi="仿宋_GB2312" w:eastAsia="仿宋_GB2312" w:cs="仿宋_GB2312"/>
          <w:b w:val="0"/>
          <w:bCs w:val="0"/>
          <w:sz w:val="32"/>
          <w:szCs w:val="32"/>
        </w:rPr>
        <w:t>指标满分</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分，得</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val="en-US" w:eastAsia="zh-CN"/>
        </w:rPr>
        <w:t>规范政府采购行为，提高政府采购资金的使用效益，维护国家利益和社会公共利益，保护政府采购当事人的合法权益，促进廉政建设</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持续保障单位工作正常开展</w:t>
      </w:r>
      <w:r>
        <w:rPr>
          <w:rFonts w:hint="eastAsia" w:ascii="仿宋_GB2312" w:hAnsi="仿宋_GB2312" w:cs="仿宋_GB2312"/>
          <w:b w:val="0"/>
          <w:bCs w:val="0"/>
          <w:sz w:val="32"/>
          <w:szCs w:val="32"/>
          <w:lang w:val="en-US" w:eastAsia="zh-CN"/>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满意度指标满分</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分，得</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分。</w:t>
      </w:r>
      <w:r>
        <w:rPr>
          <w:rFonts w:hint="eastAsia" w:ascii="仿宋_GB2312" w:hAnsi="仿宋_GB2312" w:eastAsia="仿宋_GB2312" w:cs="仿宋_GB2312"/>
          <w:b w:val="0"/>
          <w:bCs w:val="0"/>
          <w:sz w:val="32"/>
          <w:szCs w:val="32"/>
          <w:lang w:val="en-US" w:eastAsia="zh-CN"/>
        </w:rPr>
        <w:t>干部职工满意度和供货商满意度达到了90%以上。</w:t>
      </w:r>
      <w:bookmarkStart w:id="0" w:name="_GoBack"/>
      <w:bookmarkEnd w:id="0"/>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552" w:lineRule="exact"/>
        <w:ind w:firstLine="632" w:firstLineChars="200"/>
        <w:jc w:val="both"/>
        <w:textAlignment w:val="auto"/>
        <w:rPr>
          <w:rFonts w:hint="eastAsia" w:ascii="黑体" w:hAnsi="黑体" w:eastAsia="黑体" w:cs="黑体"/>
          <w:b w:val="0"/>
          <w:bCs w:val="0"/>
          <w:color w:val="auto"/>
          <w:kern w:val="2"/>
          <w:sz w:val="32"/>
          <w:szCs w:val="32"/>
          <w:lang w:val="en" w:eastAsia="zh-CN" w:bidi="ar-SA"/>
        </w:rPr>
      </w:pPr>
      <w:r>
        <w:rPr>
          <w:rFonts w:hint="eastAsia" w:ascii="黑体" w:hAnsi="黑体" w:eastAsia="黑体" w:cs="黑体"/>
          <w:b w:val="0"/>
          <w:bCs w:val="0"/>
          <w:color w:val="auto"/>
          <w:kern w:val="2"/>
          <w:sz w:val="32"/>
          <w:szCs w:val="32"/>
          <w:lang w:val="en-US" w:eastAsia="zh-CN" w:bidi="ar-SA"/>
        </w:rPr>
        <w:t>四、</w:t>
      </w:r>
      <w:r>
        <w:rPr>
          <w:rFonts w:hint="eastAsia" w:ascii="黑体" w:hAnsi="黑体" w:eastAsia="黑体" w:cs="黑体"/>
          <w:b w:val="0"/>
          <w:bCs w:val="0"/>
          <w:color w:val="auto"/>
          <w:kern w:val="2"/>
          <w:sz w:val="32"/>
          <w:szCs w:val="32"/>
          <w:lang w:val="en" w:eastAsia="zh-CN" w:bidi="ar-SA"/>
        </w:rPr>
        <w:t>偏离绩效目标的原因及下一步改进措施</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 w:eastAsia="zh-CN"/>
        </w:rPr>
        <w:t>偏离原因：一是观念思想还需进一步转变。对新思想的理解不够透彻，存在惯性思维和路径依赖。</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 w:eastAsia="zh-CN"/>
        </w:rPr>
        <w:t>二是财政管理还需进一步提升。在培植财源、提升收入质量、优化支出结构、防范化解隐性债务风险、专项资金管理、绩效评价结果运用、重点财政改革推进、加强镇乡财政管理等方面还需进一步提升。</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 w:eastAsia="zh-CN"/>
        </w:rPr>
        <w:t>三是创先争优意识还需进一步加强。</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US" w:eastAsia="zh-CN"/>
        </w:rPr>
        <w:t>改进措施：</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一是提高政治站位，坚持从政治和全局的高度来谋划和推动财</w:t>
      </w:r>
      <w:r>
        <w:rPr>
          <w:rFonts w:hint="eastAsia" w:ascii="仿宋_GB2312" w:hAnsi="仿宋_GB2312" w:eastAsia="仿宋_GB2312" w:cs="仿宋_GB2312"/>
          <w:i w:val="0"/>
          <w:caps w:val="0"/>
          <w:color w:val="000000"/>
          <w:spacing w:val="0"/>
          <w:kern w:val="0"/>
          <w:sz w:val="32"/>
          <w:szCs w:val="32"/>
          <w:shd w:val="clear" w:color="080000" w:fill="FFFFFF"/>
          <w:lang w:val="en-US" w:eastAsia="zh-CN"/>
        </w:rPr>
        <w:t>务</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工作。</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US" w:eastAsia="zh-CN"/>
        </w:rPr>
        <w:t>二</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是继续加强政策宣传。认真学习中央、省、市县人社政策精神，吃透文件精神。通过印发文件、宣传资料，大力宣传社保、人事人才等方面政策，提高政策的知晓率。</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US" w:eastAsia="zh-CN"/>
        </w:rPr>
        <w:t>三</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是加强</w:t>
      </w:r>
      <w:r>
        <w:rPr>
          <w:rFonts w:hint="eastAsia" w:ascii="仿宋_GB2312" w:hAnsi="仿宋_GB2312" w:eastAsia="仿宋_GB2312" w:cs="仿宋_GB2312"/>
          <w:i w:val="0"/>
          <w:caps w:val="0"/>
          <w:color w:val="000000"/>
          <w:spacing w:val="0"/>
          <w:kern w:val="0"/>
          <w:sz w:val="32"/>
          <w:szCs w:val="32"/>
          <w:shd w:val="clear" w:color="080000" w:fill="FFFFFF"/>
          <w:lang w:val="en-US" w:eastAsia="zh-CN"/>
        </w:rPr>
        <w:t>单位</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之间的协调配合，认真做好各项资金的管理工作，确保资金及时到位、专款专用，</w:t>
      </w:r>
      <w:r>
        <w:rPr>
          <w:rFonts w:hint="eastAsia" w:ascii="仿宋_GB2312" w:hAnsi="仿宋_GB2312" w:eastAsia="仿宋_GB2312" w:cs="仿宋_GB2312"/>
          <w:i w:val="0"/>
          <w:caps w:val="0"/>
          <w:color w:val="000000"/>
          <w:spacing w:val="0"/>
          <w:kern w:val="0"/>
          <w:sz w:val="32"/>
          <w:szCs w:val="32"/>
          <w:shd w:val="clear" w:color="080000" w:fill="FFFFFF"/>
          <w:lang w:val="en-US" w:eastAsia="zh-CN"/>
        </w:rPr>
        <w:t>确保与绩效目标一致</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US" w:eastAsia="zh-CN"/>
        </w:rPr>
      </w:pPr>
      <w:r>
        <w:rPr>
          <w:rFonts w:hint="eastAsia" w:ascii="仿宋_GB2312" w:hAnsi="仿宋_GB2312" w:eastAsia="仿宋_GB2312" w:cs="仿宋_GB2312"/>
          <w:i w:val="0"/>
          <w:caps w:val="0"/>
          <w:color w:val="000000"/>
          <w:spacing w:val="0"/>
          <w:kern w:val="0"/>
          <w:sz w:val="32"/>
          <w:szCs w:val="32"/>
          <w:shd w:val="clear" w:color="080000" w:fill="FFFFFF"/>
          <w:lang w:val="en-US" w:eastAsia="zh-CN"/>
        </w:rPr>
        <w:t>四</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是调查、调研到位。</w:t>
      </w:r>
      <w:r>
        <w:rPr>
          <w:rFonts w:hint="eastAsia" w:ascii="仿宋_GB2312" w:hAnsi="仿宋_GB2312" w:eastAsia="仿宋_GB2312" w:cs="仿宋_GB2312"/>
          <w:i w:val="0"/>
          <w:caps w:val="0"/>
          <w:color w:val="000000"/>
          <w:spacing w:val="0"/>
          <w:kern w:val="0"/>
          <w:sz w:val="32"/>
          <w:szCs w:val="32"/>
          <w:shd w:val="clear" w:color="080000" w:fill="FFFFFF"/>
          <w:lang w:val="en-US" w:eastAsia="zh-CN"/>
        </w:rPr>
        <w:t>我站将</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深入开展调查、调研工作，让各项</w:t>
      </w:r>
      <w:r>
        <w:rPr>
          <w:rFonts w:hint="eastAsia" w:ascii="仿宋_GB2312" w:hAnsi="仿宋_GB2312" w:eastAsia="仿宋_GB2312" w:cs="仿宋_GB2312"/>
          <w:i w:val="0"/>
          <w:caps w:val="0"/>
          <w:color w:val="000000"/>
          <w:spacing w:val="0"/>
          <w:kern w:val="0"/>
          <w:sz w:val="32"/>
          <w:szCs w:val="32"/>
          <w:shd w:val="clear" w:color="080000" w:fill="FFFFFF"/>
          <w:lang w:val="en-US" w:eastAsia="zh-CN"/>
        </w:rPr>
        <w:t>工资、津贴、社保缴费</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落细落实。</w:t>
      </w:r>
    </w:p>
    <w:p>
      <w:pPr>
        <w:keepNext w:val="0"/>
        <w:keepLines w:val="0"/>
        <w:pageBreakBefore w:val="0"/>
        <w:kinsoku/>
        <w:wordWrap/>
        <w:overflowPunct/>
        <w:topLinePunct w:val="0"/>
        <w:autoSpaceDE/>
        <w:autoSpaceDN/>
        <w:bidi w:val="0"/>
        <w:adjustRightInd/>
        <w:snapToGrid/>
        <w:spacing w:line="560" w:lineRule="exact"/>
        <w:ind w:left="0" w:firstLine="632" w:firstLineChars="200"/>
        <w:jc w:val="left"/>
        <w:textAlignment w:val="auto"/>
        <w:rPr>
          <w:rFonts w:hint="eastAsia" w:ascii="仿宋_GB2312" w:hAnsi="仿宋_GB2312" w:eastAsia="仿宋_GB2312" w:cs="仿宋_GB2312"/>
          <w:i w:val="0"/>
          <w:caps w:val="0"/>
          <w:color w:val="000000"/>
          <w:spacing w:val="0"/>
          <w:kern w:val="0"/>
          <w:sz w:val="32"/>
          <w:szCs w:val="32"/>
          <w:shd w:val="clear" w:color="080000" w:fill="FFFFFF"/>
          <w:lang w:val="en" w:eastAsia="zh-CN"/>
        </w:rPr>
      </w:pPr>
      <w:r>
        <w:rPr>
          <w:rFonts w:hint="eastAsia" w:ascii="仿宋_GB2312" w:hAnsi="仿宋_GB2312" w:eastAsia="仿宋_GB2312" w:cs="仿宋_GB2312"/>
          <w:i w:val="0"/>
          <w:caps w:val="0"/>
          <w:color w:val="000000"/>
          <w:spacing w:val="0"/>
          <w:kern w:val="0"/>
          <w:sz w:val="32"/>
          <w:szCs w:val="32"/>
          <w:shd w:val="clear" w:color="080000" w:fill="FFFFFF"/>
          <w:lang w:val="en-US" w:eastAsia="zh-CN"/>
        </w:rPr>
        <w:t>五</w:t>
      </w:r>
      <w:r>
        <w:rPr>
          <w:rFonts w:hint="eastAsia" w:ascii="仿宋_GB2312" w:hAnsi="仿宋_GB2312" w:eastAsia="仿宋_GB2312" w:cs="仿宋_GB2312"/>
          <w:i w:val="0"/>
          <w:caps w:val="0"/>
          <w:color w:val="000000"/>
          <w:spacing w:val="0"/>
          <w:kern w:val="0"/>
          <w:sz w:val="32"/>
          <w:szCs w:val="32"/>
          <w:shd w:val="clear" w:color="080000" w:fill="FFFFFF"/>
          <w:lang w:val="en" w:eastAsia="zh-CN"/>
        </w:rPr>
        <w:t>是贯彻新发展理念，财政政策必须抓重点、补短板、强弱项，更好地适应新时代发展要求。</w:t>
      </w:r>
    </w:p>
    <w:p>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Theme="minorAscii" w:hAnsiTheme="minorAscii"/>
          <w:color w:val="auto"/>
          <w:spacing w:val="-11"/>
          <w:sz w:val="32"/>
          <w:highlight w:val="none"/>
          <w:lang w:val="en-US" w:eastAsia="zh-CN"/>
        </w:rPr>
      </w:pPr>
      <w:r>
        <w:rPr>
          <w:rFonts w:hint="eastAsia"/>
          <w:color w:val="auto"/>
          <w:highlight w:val="none"/>
          <w:lang w:val="en-US" w:eastAsia="zh-CN"/>
        </w:rPr>
        <w:t>附件：</w:t>
      </w:r>
      <w:r>
        <w:rPr>
          <w:rFonts w:hint="default" w:asciiTheme="minorAscii" w:hAnsiTheme="minorAscii"/>
          <w:color w:val="auto"/>
          <w:spacing w:val="-11"/>
          <w:sz w:val="32"/>
          <w:highlight w:val="none"/>
          <w:lang w:val="en-US" w:eastAsia="zh-CN"/>
        </w:rPr>
        <w:t>2023年民乐县退役军人事务局 部门（单位）政府采购（公</w:t>
      </w:r>
    </w:p>
    <w:p>
      <w:pPr>
        <w:keepNext w:val="0"/>
        <w:keepLines w:val="0"/>
        <w:pageBreakBefore w:val="0"/>
        <w:widowControl w:val="0"/>
        <w:kinsoku/>
        <w:wordWrap/>
        <w:overflowPunct/>
        <w:topLinePunct w:val="0"/>
        <w:autoSpaceDE/>
        <w:autoSpaceDN/>
        <w:bidi w:val="0"/>
        <w:adjustRightInd/>
        <w:snapToGrid/>
        <w:spacing w:line="552" w:lineRule="exact"/>
        <w:ind w:firstLine="1470" w:firstLineChars="500"/>
        <w:textAlignment w:val="auto"/>
        <w:rPr>
          <w:rFonts w:hint="default" w:asciiTheme="minorAscii" w:hAnsiTheme="minorAscii"/>
          <w:color w:val="auto"/>
          <w:spacing w:val="-11"/>
          <w:sz w:val="32"/>
          <w:highlight w:val="none"/>
          <w:lang w:val="en-US" w:eastAsia="zh-CN"/>
        </w:rPr>
      </w:pPr>
      <w:r>
        <w:rPr>
          <w:rFonts w:hint="default" w:asciiTheme="minorAscii" w:hAnsiTheme="minorAscii"/>
          <w:color w:val="auto"/>
          <w:spacing w:val="-11"/>
          <w:sz w:val="32"/>
          <w:highlight w:val="none"/>
          <w:lang w:val="en-US" w:eastAsia="zh-CN"/>
        </w:rPr>
        <w:t>用经费类）支出绩效自评表</w:t>
      </w:r>
    </w:p>
    <w:p>
      <w:pPr>
        <w:keepNext w:val="0"/>
        <w:keepLines w:val="0"/>
        <w:pageBreakBefore w:val="0"/>
        <w:widowControl w:val="0"/>
        <w:kinsoku/>
        <w:wordWrap/>
        <w:overflowPunct/>
        <w:topLinePunct w:val="0"/>
        <w:autoSpaceDE/>
        <w:autoSpaceDN/>
        <w:bidi w:val="0"/>
        <w:adjustRightInd/>
        <w:snapToGrid/>
        <w:spacing w:line="552" w:lineRule="exact"/>
        <w:textAlignment w:val="auto"/>
        <w:rPr>
          <w:rFonts w:hint="eastAsia"/>
          <w:color w:val="auto"/>
          <w:highlight w:val="yellow"/>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552" w:lineRule="exact"/>
        <w:textAlignment w:val="auto"/>
        <w:rPr>
          <w:rFonts w:hint="eastAsia" w:ascii="仿宋_GB2312" w:hAnsi="仿宋_GB2312" w:cs="仿宋_GB2312"/>
          <w:color w:val="auto"/>
          <w:kern w:val="2"/>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after="0" w:line="552" w:lineRule="exact"/>
        <w:textAlignment w:val="auto"/>
        <w:rPr>
          <w:rFonts w:hint="eastAsia" w:ascii="仿宋_GB2312" w:hAnsi="仿宋_GB2312" w:cs="仿宋_GB2312"/>
          <w:color w:val="auto"/>
          <w:kern w:val="2"/>
          <w:sz w:val="32"/>
          <w:szCs w:val="3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after="0" w:line="552" w:lineRule="exact"/>
        <w:ind w:left="0" w:leftChars="0" w:firstLine="4421" w:firstLineChars="1399"/>
        <w:textAlignment w:val="auto"/>
        <w:rPr>
          <w:rFonts w:hint="default" w:ascii="仿宋_GB2312" w:hAnsi="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民乐县退役军人事务局</w:t>
      </w:r>
    </w:p>
    <w:p>
      <w:pPr>
        <w:pStyle w:val="6"/>
        <w:keepNext w:val="0"/>
        <w:keepLines w:val="0"/>
        <w:pageBreakBefore w:val="0"/>
        <w:widowControl w:val="0"/>
        <w:kinsoku/>
        <w:wordWrap/>
        <w:overflowPunct/>
        <w:topLinePunct w:val="0"/>
        <w:autoSpaceDE/>
        <w:autoSpaceDN/>
        <w:bidi w:val="0"/>
        <w:adjustRightInd/>
        <w:snapToGrid/>
        <w:spacing w:after="0" w:line="552" w:lineRule="exact"/>
        <w:ind w:firstLine="4740" w:firstLineChars="1500"/>
        <w:textAlignment w:val="auto"/>
        <w:rPr>
          <w:rFonts w:hint="default" w:ascii="仿宋_GB2312" w:hAnsi="仿宋_GB2312" w:eastAsia="仿宋_GB2312" w:cs="仿宋_GB2312"/>
          <w:color w:val="FF0000"/>
          <w:sz w:val="32"/>
          <w:szCs w:val="32"/>
          <w:highlight w:val="yellow"/>
          <w:lang w:val="en-US" w:eastAsia="zh-CN"/>
        </w:rPr>
      </w:pPr>
      <w:r>
        <w:rPr>
          <w:rFonts w:hint="eastAsia" w:ascii="仿宋_GB2312" w:hAnsi="仿宋_GB2312" w:cs="仿宋_GB2312"/>
          <w:color w:val="auto"/>
          <w:kern w:val="2"/>
          <w:sz w:val="32"/>
          <w:szCs w:val="32"/>
          <w:highlight w:val="none"/>
          <w:lang w:val="en-US" w:eastAsia="zh-CN" w:bidi="ar-SA"/>
        </w:rPr>
        <w:t>2023年10月17日</w:t>
      </w:r>
    </w:p>
    <w:sectPr>
      <w:footerReference r:id="rId3" w:type="default"/>
      <w:pgSz w:w="11906" w:h="16838"/>
      <w:pgMar w:top="2098" w:right="1474" w:bottom="1984" w:left="1587"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GVlNTJhODU0NTJjYjljMzAyOWNhYWNiMjIwYTEifQ=="/>
  </w:docVars>
  <w:rsids>
    <w:rsidRoot w:val="4A586F4D"/>
    <w:rsid w:val="032A4C70"/>
    <w:rsid w:val="036A2808"/>
    <w:rsid w:val="051840C8"/>
    <w:rsid w:val="06095D7C"/>
    <w:rsid w:val="093478C1"/>
    <w:rsid w:val="096E0C9E"/>
    <w:rsid w:val="09813405"/>
    <w:rsid w:val="09F75A39"/>
    <w:rsid w:val="0CC42C8F"/>
    <w:rsid w:val="0FDF5034"/>
    <w:rsid w:val="11664386"/>
    <w:rsid w:val="119F32FB"/>
    <w:rsid w:val="182C1032"/>
    <w:rsid w:val="1CED5103"/>
    <w:rsid w:val="1D415550"/>
    <w:rsid w:val="1D7D373C"/>
    <w:rsid w:val="1FE30A3F"/>
    <w:rsid w:val="21115269"/>
    <w:rsid w:val="2C210A56"/>
    <w:rsid w:val="2C554FCF"/>
    <w:rsid w:val="2CDA4378"/>
    <w:rsid w:val="2CE657FC"/>
    <w:rsid w:val="338A4FC3"/>
    <w:rsid w:val="39F24110"/>
    <w:rsid w:val="3BD553B9"/>
    <w:rsid w:val="3F194570"/>
    <w:rsid w:val="475D29E1"/>
    <w:rsid w:val="47953C4F"/>
    <w:rsid w:val="49A770F1"/>
    <w:rsid w:val="4A586F4D"/>
    <w:rsid w:val="4C247146"/>
    <w:rsid w:val="4CDB0524"/>
    <w:rsid w:val="516C5A2A"/>
    <w:rsid w:val="54843127"/>
    <w:rsid w:val="57642CD4"/>
    <w:rsid w:val="5969003C"/>
    <w:rsid w:val="60600A87"/>
    <w:rsid w:val="62C81B3E"/>
    <w:rsid w:val="644A3EEF"/>
    <w:rsid w:val="71483955"/>
    <w:rsid w:val="787B56D0"/>
    <w:rsid w:val="78EB5BE1"/>
    <w:rsid w:val="7EE139A8"/>
    <w:rsid w:val="7EF5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5"/>
    <w:basedOn w:val="1"/>
    <w:next w:val="1"/>
    <w:autoRedefine/>
    <w:qFormat/>
    <w:uiPriority w:val="0"/>
    <w:pPr>
      <w:tabs>
        <w:tab w:val="left" w:pos="525"/>
        <w:tab w:val="left" w:pos="992"/>
      </w:tabs>
      <w:ind w:left="567" w:firstLine="425"/>
      <w:outlineLvl w:val="4"/>
    </w:pPr>
    <w:rPr>
      <w:rFonts w:cs="Times New Roman"/>
      <w:bCs/>
      <w:szCs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te Heading"/>
    <w:basedOn w:val="2"/>
    <w:next w:val="1"/>
    <w:autoRedefine/>
    <w:qFormat/>
    <w:uiPriority w:val="0"/>
    <w:pPr>
      <w:jc w:val="center"/>
    </w:pPr>
    <w:rPr>
      <w:rFonts w:ascii="Arial" w:hAnsi="Arial" w:eastAsia="宋体" w:cs="Times New Roman"/>
      <w:szCs w:val="28"/>
    </w:rPr>
  </w:style>
  <w:style w:type="paragraph" w:styleId="4">
    <w:name w:val="index 5"/>
    <w:basedOn w:val="1"/>
    <w:next w:val="1"/>
    <w:autoRedefine/>
    <w:qFormat/>
    <w:uiPriority w:val="0"/>
    <w:pPr>
      <w:ind w:left="800" w:leftChars="8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eastAsia="仿宋_GB2312"/>
      <w:sz w:val="32"/>
    </w:rPr>
  </w:style>
  <w:style w:type="paragraph" w:styleId="7">
    <w:name w:val="Body Text Indent"/>
    <w:basedOn w:val="1"/>
    <w:next w:val="3"/>
    <w:autoRedefine/>
    <w:qFormat/>
    <w:uiPriority w:val="0"/>
    <w:pPr>
      <w:ind w:firstLine="640"/>
    </w:pPr>
    <w:rPr>
      <w:rFonts w:ascii="Times New Roman" w:hAnsi="Times New Roman" w:eastAsia="仿宋_GB2312" w:cs="Times New Roman"/>
      <w:sz w:val="32"/>
      <w:szCs w:val="24"/>
    </w:rPr>
  </w:style>
  <w:style w:type="paragraph" w:styleId="8">
    <w:name w:val="Plain Text"/>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styleId="9">
    <w:name w:val="Body Text Indent 2"/>
    <w:basedOn w:val="1"/>
    <w:next w:val="6"/>
    <w:autoRedefine/>
    <w:qFormat/>
    <w:uiPriority w:val="99"/>
    <w:pPr>
      <w:spacing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autoRedefine/>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autoRedefine/>
    <w:qFormat/>
    <w:uiPriority w:val="0"/>
    <w:pPr>
      <w:ind w:firstLine="420" w:firstLineChars="200"/>
    </w:pPr>
    <w:rPr>
      <w:rFonts w:ascii="Calibri" w:hAnsi="Calibri" w:eastAsia="宋体" w:cs="Times New Roman"/>
    </w:rPr>
  </w:style>
  <w:style w:type="paragraph" w:customStyle="1" w:styleId="17">
    <w:name w:val="Body Text First Indent 21"/>
    <w:basedOn w:val="18"/>
    <w:autoRedefine/>
    <w:qFormat/>
    <w:uiPriority w:val="0"/>
    <w:pPr>
      <w:ind w:firstLine="420" w:firstLineChars="200"/>
    </w:pPr>
  </w:style>
  <w:style w:type="paragraph" w:customStyle="1" w:styleId="18">
    <w:name w:val="Body Text Indent1"/>
    <w:basedOn w:val="1"/>
    <w:autoRedefine/>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2786</Words>
  <Characters>3027</Characters>
  <Lines>0</Lines>
  <Paragraphs>0</Paragraphs>
  <TotalTime>1</TotalTime>
  <ScaleCrop>false</ScaleCrop>
  <LinksUpToDate>false</LinksUpToDate>
  <CharactersWithSpaces>3091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2022-01-25T03:13:00Z</dcterms:created>
  <dc:creator>西原</dc:creator>
  <cp:lastModifiedBy>sophiay</cp:lastModifiedBy>
  <cp:lastPrinted>2023-06-12T12:07:00Z</cp:lastPrinted>
  <dcterms:modified xsi:type="dcterms:W3CDTF">2024-03-20T04:02:24Z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6CA389A53B774811A7A3F9D2C09FCA12</vt:lpwstr>
  </property>
</Properties>
</file>