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700" w:lineRule="exact"/>
        <w:jc w:val="both"/>
        <w:textAlignment w:val="auto"/>
        <w:outlineLvl w:val="9"/>
        <w:rPr>
          <w:rFonts w:hint="eastAsia" w:ascii="方正小标宋简体" w:eastAsia="方正小标宋简体" w:cs="方正小标宋简体"/>
          <w:sz w:val="44"/>
          <w:szCs w:val="44"/>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eastAsia="方正小标宋简体" w:cs="方正小标宋简体"/>
          <w:sz w:val="44"/>
          <w:szCs w:val="44"/>
          <w:lang w:val="en-US" w:eastAsia="zh-CN"/>
        </w:rPr>
      </w:pPr>
      <w:r>
        <w:rPr>
          <w:rFonts w:hint="eastAsia" w:ascii="方正小标宋简体" w:eastAsia="方正小标宋简体" w:cs="方正小标宋简体"/>
          <w:sz w:val="44"/>
          <w:szCs w:val="44"/>
          <w:lang w:val="en-US" w:eastAsia="zh-CN"/>
        </w:rPr>
        <w:t>民乐县应急管理局</w:t>
      </w:r>
    </w:p>
    <w:p>
      <w:pPr>
        <w:spacing w:line="540" w:lineRule="exact"/>
        <w:jc w:val="center"/>
        <w:rPr>
          <w:rFonts w:hint="eastAsia" w:ascii="方正小标宋简体" w:eastAsia="方正小标宋简体"/>
          <w:color w:val="000000"/>
          <w:kern w:val="0"/>
          <w:sz w:val="44"/>
          <w:szCs w:val="44"/>
        </w:rPr>
      </w:pPr>
      <w:r>
        <w:rPr>
          <w:rFonts w:hint="eastAsia" w:ascii="方正小标宋简体" w:eastAsia="方正小标宋简体"/>
          <w:color w:val="000000"/>
          <w:kern w:val="0"/>
          <w:sz w:val="44"/>
          <w:szCs w:val="44"/>
        </w:rPr>
        <w:t>关于上报202</w:t>
      </w:r>
      <w:r>
        <w:rPr>
          <w:rFonts w:hint="eastAsia" w:ascii="方正小标宋简体" w:eastAsia="方正小标宋简体"/>
          <w:color w:val="000000"/>
          <w:kern w:val="0"/>
          <w:sz w:val="44"/>
          <w:szCs w:val="44"/>
          <w:lang w:val="en-US" w:eastAsia="zh-CN"/>
        </w:rPr>
        <w:t>2-2023</w:t>
      </w:r>
      <w:r>
        <w:rPr>
          <w:rFonts w:hint="eastAsia" w:ascii="方正小标宋简体" w:eastAsia="方正小标宋简体"/>
          <w:color w:val="000000"/>
          <w:kern w:val="0"/>
          <w:sz w:val="44"/>
          <w:szCs w:val="44"/>
        </w:rPr>
        <w:t>年度中央自然灾害</w:t>
      </w:r>
    </w:p>
    <w:p>
      <w:pPr>
        <w:spacing w:line="540" w:lineRule="exact"/>
        <w:jc w:val="center"/>
        <w:rPr>
          <w:rFonts w:hint="eastAsia" w:ascii="方正小标宋简体" w:eastAsia="方正小标宋简体"/>
          <w:color w:val="000000"/>
          <w:kern w:val="0"/>
          <w:sz w:val="44"/>
          <w:szCs w:val="44"/>
        </w:rPr>
      </w:pPr>
      <w:r>
        <w:rPr>
          <w:rFonts w:hint="eastAsia" w:ascii="方正小标宋简体" w:eastAsia="方正小标宋简体"/>
          <w:color w:val="000000"/>
          <w:kern w:val="0"/>
          <w:sz w:val="44"/>
          <w:szCs w:val="44"/>
        </w:rPr>
        <w:t>救灾资金(冬春生活困难救助资金)</w:t>
      </w:r>
    </w:p>
    <w:p>
      <w:pPr>
        <w:spacing w:line="540" w:lineRule="exact"/>
        <w:jc w:val="center"/>
        <w:rPr>
          <w:rFonts w:ascii="方正小标宋简体" w:eastAsia="方正小标宋简体"/>
          <w:color w:val="000000"/>
          <w:kern w:val="0"/>
          <w:sz w:val="44"/>
          <w:szCs w:val="44"/>
        </w:rPr>
      </w:pPr>
      <w:r>
        <w:rPr>
          <w:rFonts w:hint="eastAsia" w:ascii="方正小标宋简体" w:eastAsia="方正小标宋简体"/>
          <w:color w:val="000000"/>
          <w:kern w:val="0"/>
          <w:sz w:val="44"/>
          <w:szCs w:val="44"/>
        </w:rPr>
        <w:t>执行情况的自评报告</w:t>
      </w:r>
    </w:p>
    <w:p>
      <w:pPr>
        <w:rPr>
          <w:rFonts w:hint="eastAsia" w:ascii="仿宋_GB2312" w:eastAsia="仿宋_GB2312"/>
          <w:sz w:val="32"/>
        </w:rPr>
      </w:pP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市应急管理局：</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为提高中央自然灾害救灾资金（冬春生活困难救助资金）使用效益，确保资金使用的安全性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规范性和有效性,按照甘肃省应急管理厅《</w:t>
      </w:r>
      <w:r>
        <w:rPr>
          <w:rFonts w:hint="eastAsia" w:ascii="仿宋_GB2312" w:hAnsi="仿宋_GB2312" w:eastAsia="仿宋_GB2312" w:cs="仿宋_GB2312"/>
          <w:sz w:val="32"/>
          <w:szCs w:val="32"/>
          <w:lang w:val="en-US" w:eastAsia="zh-CN"/>
        </w:rPr>
        <w:t>关于开展2022年度中央对地方转移支付预算执行情况绩效自评工作的通知</w:t>
      </w:r>
      <w:r>
        <w:rPr>
          <w:rFonts w:hint="eastAsia" w:ascii="仿宋_GB2312" w:hAnsi="仿宋_GB2312" w:eastAsia="仿宋_GB2312" w:cs="仿宋_GB2312"/>
          <w:sz w:val="32"/>
          <w:szCs w:val="32"/>
        </w:rPr>
        <w:t>》要求,我县</w:t>
      </w:r>
      <w:r>
        <w:rPr>
          <w:rFonts w:hint="eastAsia" w:ascii="仿宋_GB2312" w:hAnsi="仿宋_GB2312" w:eastAsia="仿宋_GB2312" w:cs="仿宋_GB2312"/>
          <w:sz w:val="32"/>
          <w:szCs w:val="32"/>
          <w:lang w:val="en-US" w:eastAsia="zh-CN"/>
        </w:rPr>
        <w:t>高度重视，成立专项资金绩效自评工作领导小组，</w:t>
      </w:r>
      <w:r>
        <w:rPr>
          <w:rFonts w:hint="eastAsia" w:ascii="仿宋_GB2312" w:hAnsi="仿宋_GB2312" w:eastAsia="仿宋_GB2312" w:cs="仿宋_GB2312"/>
          <w:sz w:val="32"/>
          <w:szCs w:val="32"/>
        </w:rPr>
        <w:t>认真</w:t>
      </w:r>
      <w:r>
        <w:rPr>
          <w:rFonts w:hint="eastAsia" w:ascii="仿宋_GB2312" w:hAnsi="仿宋_GB2312" w:eastAsia="仿宋_GB2312" w:cs="仿宋_GB2312"/>
          <w:sz w:val="32"/>
          <w:szCs w:val="32"/>
          <w:lang w:val="en-US" w:eastAsia="zh-CN"/>
        </w:rPr>
        <w:t>组织</w:t>
      </w:r>
      <w:r>
        <w:rPr>
          <w:rFonts w:hint="eastAsia" w:ascii="仿宋_GB2312" w:hAnsi="仿宋_GB2312" w:eastAsia="仿宋_GB2312" w:cs="仿宋_GB2312"/>
          <w:sz w:val="32"/>
          <w:szCs w:val="32"/>
        </w:rPr>
        <w:t>开展20</w:t>
      </w:r>
      <w:r>
        <w:rPr>
          <w:rFonts w:hint="eastAsia" w:ascii="仿宋_GB2312" w:hAnsi="仿宋_GB2312" w:eastAsia="仿宋_GB2312" w:cs="仿宋_GB2312"/>
          <w:sz w:val="32"/>
          <w:szCs w:val="32"/>
          <w:lang w:val="en-US" w:eastAsia="zh-CN"/>
        </w:rPr>
        <w:t>22-2023</w:t>
      </w:r>
      <w:r>
        <w:rPr>
          <w:rFonts w:hint="eastAsia" w:ascii="仿宋_GB2312" w:hAnsi="仿宋_GB2312" w:eastAsia="仿宋_GB2312" w:cs="仿宋_GB2312"/>
          <w:sz w:val="32"/>
          <w:szCs w:val="32"/>
        </w:rPr>
        <w:t>年度中央自然灾害救灾资金（冬春生活困难救助资金）执行情况绩效自评工作，现将有关情况报告如下：</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一、基本情况</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（一）20</w:t>
      </w:r>
      <w:r>
        <w:rPr>
          <w:rFonts w:hint="eastAsia" w:ascii="楷体_GB2312" w:hAnsi="楷体_GB2312" w:eastAsia="楷体_GB2312" w:cs="楷体_GB2312"/>
          <w:b w:val="0"/>
          <w:bCs/>
          <w:sz w:val="32"/>
          <w:szCs w:val="32"/>
          <w:lang w:val="en-US" w:eastAsia="zh-CN"/>
        </w:rPr>
        <w:t>22</w:t>
      </w:r>
      <w:r>
        <w:rPr>
          <w:rFonts w:hint="eastAsia" w:ascii="楷体_GB2312" w:hAnsi="楷体_GB2312" w:eastAsia="楷体_GB2312" w:cs="楷体_GB2312"/>
          <w:b w:val="0"/>
          <w:bCs/>
          <w:sz w:val="32"/>
          <w:szCs w:val="32"/>
        </w:rPr>
        <w:t>年自然灾害基本情况</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年1月至12月，</w:t>
      </w:r>
      <w:r>
        <w:rPr>
          <w:rFonts w:hint="eastAsia" w:ascii="仿宋_GB2312" w:eastAsia="仿宋_GB2312"/>
          <w:sz w:val="32"/>
          <w:szCs w:val="32"/>
        </w:rPr>
        <w:t>我县</w:t>
      </w:r>
      <w:r>
        <w:rPr>
          <w:rFonts w:hint="eastAsia" w:ascii="仿宋_GB2312" w:eastAsia="仿宋_GB2312"/>
          <w:sz w:val="32"/>
          <w:szCs w:val="32"/>
          <w:lang w:val="en-US" w:eastAsia="zh-CN"/>
        </w:rPr>
        <w:t>先后</w:t>
      </w:r>
      <w:r>
        <w:rPr>
          <w:rFonts w:hint="eastAsia" w:ascii="仿宋_GB2312" w:eastAsia="仿宋_GB2312"/>
          <w:sz w:val="32"/>
          <w:szCs w:val="32"/>
        </w:rPr>
        <w:t>遭受</w:t>
      </w:r>
      <w:r>
        <w:rPr>
          <w:rFonts w:hint="eastAsia" w:ascii="仿宋_GB2312" w:eastAsia="仿宋_GB2312"/>
          <w:sz w:val="32"/>
          <w:szCs w:val="32"/>
          <w:lang w:eastAsia="zh-CN"/>
        </w:rPr>
        <w:t>地震、</w:t>
      </w:r>
      <w:r>
        <w:rPr>
          <w:rFonts w:hint="eastAsia" w:ascii="仿宋_GB2312" w:eastAsia="仿宋_GB2312"/>
          <w:sz w:val="32"/>
          <w:szCs w:val="32"/>
        </w:rPr>
        <w:t>低温冷冻</w:t>
      </w:r>
      <w:r>
        <w:rPr>
          <w:rFonts w:hint="eastAsia" w:ascii="仿宋_GB2312" w:eastAsia="仿宋_GB2312"/>
          <w:sz w:val="32"/>
          <w:szCs w:val="32"/>
          <w:lang w:val="en-US" w:eastAsia="zh-CN"/>
        </w:rPr>
        <w:t>和</w:t>
      </w:r>
      <w:r>
        <w:rPr>
          <w:rFonts w:hint="eastAsia" w:ascii="仿宋_GB2312" w:eastAsia="仿宋_GB2312"/>
          <w:sz w:val="32"/>
          <w:szCs w:val="32"/>
          <w:lang w:eastAsia="zh-CN"/>
        </w:rPr>
        <w:t>风雹</w:t>
      </w:r>
      <w:r>
        <w:rPr>
          <w:rFonts w:hint="eastAsia" w:ascii="仿宋_GB2312" w:eastAsia="仿宋_GB2312"/>
          <w:sz w:val="32"/>
          <w:szCs w:val="32"/>
        </w:rPr>
        <w:t>自然灾害，</w:t>
      </w:r>
      <w:r>
        <w:rPr>
          <w:rFonts w:hint="eastAsia" w:ascii="仿宋_GB2312" w:eastAsia="仿宋_GB2312"/>
          <w:sz w:val="32"/>
          <w:szCs w:val="32"/>
          <w:lang w:eastAsia="zh-CN"/>
        </w:rPr>
        <w:t>灾害造成</w:t>
      </w:r>
      <w:r>
        <w:rPr>
          <w:rFonts w:hint="eastAsia" w:ascii="仿宋_GB2312" w:eastAsia="仿宋_GB2312"/>
          <w:sz w:val="32"/>
          <w:szCs w:val="32"/>
          <w:lang w:val="en-US" w:eastAsia="zh-CN"/>
        </w:rPr>
        <w:t>我县</w:t>
      </w:r>
      <w:r>
        <w:rPr>
          <w:rFonts w:hint="eastAsia" w:ascii="仿宋_GB2312" w:eastAsia="仿宋_GB2312"/>
          <w:sz w:val="32"/>
          <w:szCs w:val="32"/>
        </w:rPr>
        <w:t>1</w:t>
      </w:r>
      <w:r>
        <w:rPr>
          <w:rFonts w:hint="eastAsia" w:ascii="仿宋_GB2312" w:eastAsia="仿宋_GB2312"/>
          <w:sz w:val="32"/>
          <w:szCs w:val="32"/>
          <w:lang w:val="en-US" w:eastAsia="zh-CN"/>
        </w:rPr>
        <w:t>0</w:t>
      </w:r>
      <w:r>
        <w:rPr>
          <w:rFonts w:hint="eastAsia" w:ascii="仿宋_GB2312" w:eastAsia="仿宋_GB2312"/>
          <w:sz w:val="32"/>
          <w:szCs w:val="32"/>
        </w:rPr>
        <w:t>个镇</w:t>
      </w:r>
      <w:r>
        <w:rPr>
          <w:rFonts w:hint="eastAsia" w:ascii="仿宋_GB2312" w:eastAsia="仿宋_GB2312"/>
          <w:sz w:val="32"/>
          <w:szCs w:val="32"/>
          <w:lang w:val="en-US" w:eastAsia="zh-CN"/>
        </w:rPr>
        <w:t>和1个工业园区</w:t>
      </w:r>
      <w:r>
        <w:rPr>
          <w:rFonts w:hint="eastAsia" w:ascii="仿宋_GB2312" w:eastAsia="仿宋_GB2312"/>
          <w:sz w:val="32"/>
          <w:szCs w:val="32"/>
        </w:rPr>
        <w:t>180个村</w:t>
      </w:r>
      <w:r>
        <w:rPr>
          <w:rFonts w:hint="eastAsia" w:ascii="仿宋_GB2312" w:eastAsia="仿宋_GB2312"/>
          <w:sz w:val="32"/>
          <w:szCs w:val="32"/>
          <w:lang w:eastAsia="zh-CN"/>
        </w:rPr>
        <w:t>（包括社区）</w:t>
      </w:r>
      <w:r>
        <w:rPr>
          <w:rFonts w:hint="eastAsia" w:ascii="仿宋_GB2312" w:eastAsia="仿宋_GB2312"/>
          <w:sz w:val="32"/>
          <w:szCs w:val="32"/>
          <w:lang w:val="en-US" w:eastAsia="zh-CN"/>
        </w:rPr>
        <w:t>40554人受灾，</w:t>
      </w:r>
      <w:r>
        <w:rPr>
          <w:rFonts w:hint="eastAsia" w:ascii="仿宋_GB2312" w:eastAsia="仿宋_GB2312"/>
          <w:sz w:val="32"/>
          <w:szCs w:val="32"/>
        </w:rPr>
        <w:t>农作物受灾面积</w:t>
      </w:r>
      <w:r>
        <w:rPr>
          <w:rFonts w:hint="eastAsia" w:ascii="仿宋_GB2312" w:eastAsia="仿宋_GB2312"/>
          <w:sz w:val="32"/>
          <w:szCs w:val="32"/>
          <w:lang w:val="en-US" w:eastAsia="zh-CN"/>
        </w:rPr>
        <w:t>541</w:t>
      </w:r>
      <w:r>
        <w:rPr>
          <w:rFonts w:hint="eastAsia" w:ascii="仿宋_GB2312" w:eastAsia="仿宋_GB2312"/>
          <w:sz w:val="32"/>
          <w:szCs w:val="32"/>
        </w:rPr>
        <w:t>.</w:t>
      </w:r>
      <w:r>
        <w:rPr>
          <w:rFonts w:hint="eastAsia" w:ascii="仿宋_GB2312" w:eastAsia="仿宋_GB2312"/>
          <w:sz w:val="32"/>
          <w:szCs w:val="32"/>
          <w:lang w:val="en-US" w:eastAsia="zh-CN"/>
        </w:rPr>
        <w:t>05</w:t>
      </w:r>
      <w:r>
        <w:rPr>
          <w:rFonts w:hint="eastAsia" w:ascii="仿宋_GB2312" w:eastAsia="仿宋_GB2312"/>
          <w:sz w:val="32"/>
          <w:szCs w:val="32"/>
        </w:rPr>
        <w:t>公顷</w:t>
      </w:r>
      <w:r>
        <w:rPr>
          <w:rFonts w:hint="eastAsia" w:ascii="仿宋_GB2312" w:eastAsia="仿宋_GB2312"/>
          <w:sz w:val="32"/>
          <w:szCs w:val="32"/>
          <w:lang w:eastAsia="zh-CN"/>
        </w:rPr>
        <w:t>，</w:t>
      </w:r>
      <w:r>
        <w:rPr>
          <w:rFonts w:hint="eastAsia" w:ascii="仿宋_GB2312" w:eastAsia="仿宋_GB2312"/>
          <w:sz w:val="32"/>
          <w:szCs w:val="32"/>
        </w:rPr>
        <w:t>3289</w:t>
      </w:r>
      <w:r>
        <w:rPr>
          <w:rFonts w:hint="eastAsia" w:ascii="仿宋_GB2312" w:eastAsia="仿宋_GB2312"/>
          <w:sz w:val="32"/>
          <w:szCs w:val="32"/>
          <w:lang w:val="en-US" w:eastAsia="zh-CN"/>
        </w:rPr>
        <w:t>0</w:t>
      </w:r>
      <w:r>
        <w:rPr>
          <w:rFonts w:hint="eastAsia" w:ascii="仿宋_GB2312" w:eastAsia="仿宋_GB2312"/>
          <w:sz w:val="32"/>
          <w:szCs w:val="32"/>
        </w:rPr>
        <w:t>间住房不同程度受损（其中倒塌住房</w:t>
      </w:r>
      <w:r>
        <w:rPr>
          <w:rFonts w:hint="eastAsia" w:ascii="仿宋_GB2312" w:eastAsia="仿宋_GB2312"/>
          <w:sz w:val="32"/>
          <w:szCs w:val="32"/>
          <w:lang w:val="en-US" w:eastAsia="zh-CN"/>
        </w:rPr>
        <w:t>4</w:t>
      </w:r>
      <w:r>
        <w:rPr>
          <w:rFonts w:hint="eastAsia" w:ascii="仿宋_GB2312" w:eastAsia="仿宋_GB2312"/>
          <w:sz w:val="32"/>
          <w:szCs w:val="32"/>
        </w:rPr>
        <w:t>户</w:t>
      </w:r>
      <w:r>
        <w:rPr>
          <w:rFonts w:hint="eastAsia" w:ascii="仿宋_GB2312" w:eastAsia="仿宋_GB2312"/>
          <w:sz w:val="32"/>
          <w:szCs w:val="32"/>
          <w:lang w:val="en-US" w:eastAsia="zh-CN"/>
        </w:rPr>
        <w:t>7</w:t>
      </w:r>
      <w:r>
        <w:rPr>
          <w:rFonts w:hint="eastAsia" w:ascii="仿宋_GB2312" w:eastAsia="仿宋_GB2312"/>
          <w:sz w:val="32"/>
          <w:szCs w:val="32"/>
        </w:rPr>
        <w:t>间，严重性损坏</w:t>
      </w:r>
      <w:r>
        <w:rPr>
          <w:rFonts w:hint="eastAsia" w:ascii="仿宋_GB2312" w:eastAsia="仿宋_GB2312"/>
          <w:sz w:val="32"/>
          <w:szCs w:val="32"/>
          <w:lang w:val="en-US" w:eastAsia="zh-CN"/>
        </w:rPr>
        <w:t>28</w:t>
      </w:r>
      <w:r>
        <w:rPr>
          <w:rFonts w:hint="eastAsia" w:ascii="仿宋_GB2312" w:eastAsia="仿宋_GB2312"/>
          <w:sz w:val="32"/>
          <w:szCs w:val="32"/>
        </w:rPr>
        <w:t>户</w:t>
      </w:r>
      <w:r>
        <w:rPr>
          <w:rFonts w:hint="eastAsia" w:ascii="仿宋_GB2312" w:eastAsia="仿宋_GB2312"/>
          <w:sz w:val="32"/>
          <w:szCs w:val="32"/>
          <w:lang w:val="en-US" w:eastAsia="zh-CN"/>
        </w:rPr>
        <w:t>57</w:t>
      </w:r>
      <w:r>
        <w:rPr>
          <w:rFonts w:hint="eastAsia" w:ascii="仿宋_GB2312" w:eastAsia="仿宋_GB2312"/>
          <w:sz w:val="32"/>
          <w:szCs w:val="32"/>
        </w:rPr>
        <w:t>间，一般性损坏</w:t>
      </w:r>
      <w:r>
        <w:rPr>
          <w:rFonts w:hint="eastAsia" w:ascii="仿宋_GB2312" w:eastAsia="仿宋_GB2312"/>
          <w:sz w:val="32"/>
          <w:szCs w:val="32"/>
          <w:lang w:val="en-US" w:eastAsia="zh-CN"/>
        </w:rPr>
        <w:t>1121</w:t>
      </w:r>
      <w:r>
        <w:rPr>
          <w:rFonts w:hint="eastAsia" w:ascii="仿宋_GB2312" w:eastAsia="仿宋_GB2312"/>
          <w:sz w:val="32"/>
          <w:szCs w:val="32"/>
        </w:rPr>
        <w:t>户</w:t>
      </w:r>
      <w:r>
        <w:rPr>
          <w:rFonts w:hint="eastAsia" w:ascii="仿宋_GB2312" w:eastAsia="仿宋_GB2312"/>
          <w:sz w:val="32"/>
          <w:szCs w:val="32"/>
          <w:lang w:val="en-US" w:eastAsia="zh-CN"/>
        </w:rPr>
        <w:t>2371</w:t>
      </w:r>
      <w:r>
        <w:rPr>
          <w:rFonts w:hint="eastAsia" w:ascii="仿宋_GB2312" w:eastAsia="仿宋_GB2312"/>
          <w:sz w:val="32"/>
          <w:szCs w:val="32"/>
        </w:rPr>
        <w:t>间)，紧急转移安置人口</w:t>
      </w:r>
      <w:r>
        <w:rPr>
          <w:rFonts w:hint="eastAsia" w:ascii="仿宋_GB2312" w:eastAsia="仿宋_GB2312"/>
          <w:sz w:val="32"/>
          <w:szCs w:val="32"/>
          <w:lang w:val="en-US" w:eastAsia="zh-CN"/>
        </w:rPr>
        <w:t>272</w:t>
      </w:r>
      <w:r>
        <w:rPr>
          <w:rFonts w:hint="eastAsia" w:ascii="仿宋_GB2312" w:eastAsia="仿宋_GB2312"/>
          <w:sz w:val="32"/>
          <w:szCs w:val="32"/>
        </w:rPr>
        <w:t>户965人。造成直接经济损失</w:t>
      </w:r>
      <w:r>
        <w:rPr>
          <w:rFonts w:hint="eastAsia" w:ascii="仿宋_GB2312" w:eastAsia="仿宋_GB2312"/>
          <w:sz w:val="32"/>
          <w:szCs w:val="32"/>
          <w:lang w:val="en-US" w:eastAsia="zh-CN"/>
        </w:rPr>
        <w:t>49823.03</w:t>
      </w:r>
      <w:r>
        <w:rPr>
          <w:rFonts w:hint="eastAsia" w:ascii="仿宋_GB2312" w:eastAsia="仿宋_GB2312"/>
          <w:sz w:val="32"/>
          <w:szCs w:val="32"/>
        </w:rPr>
        <w:t>万元（其中家庭财产损失</w:t>
      </w:r>
      <w:r>
        <w:rPr>
          <w:rFonts w:hint="eastAsia" w:ascii="仿宋_GB2312" w:eastAsia="仿宋_GB2312"/>
          <w:sz w:val="32"/>
          <w:szCs w:val="32"/>
          <w:lang w:val="en-US" w:eastAsia="zh-CN"/>
        </w:rPr>
        <w:t>2731.36</w:t>
      </w:r>
      <w:r>
        <w:rPr>
          <w:rFonts w:hint="eastAsia" w:ascii="仿宋_GB2312" w:eastAsia="仿宋_GB2312"/>
          <w:sz w:val="32"/>
          <w:szCs w:val="32"/>
        </w:rPr>
        <w:t>万元，农林渔牧业损失</w:t>
      </w:r>
      <w:r>
        <w:rPr>
          <w:rFonts w:hint="eastAsia" w:ascii="仿宋_GB2312" w:eastAsia="仿宋_GB2312"/>
          <w:sz w:val="32"/>
          <w:szCs w:val="32"/>
          <w:lang w:val="en-US" w:eastAsia="zh-CN"/>
        </w:rPr>
        <w:t>657.35</w:t>
      </w:r>
      <w:r>
        <w:rPr>
          <w:rFonts w:hint="eastAsia" w:ascii="仿宋_GB2312" w:eastAsia="仿宋_GB2312"/>
          <w:sz w:val="32"/>
          <w:szCs w:val="32"/>
        </w:rPr>
        <w:t>万元，基础设施损失</w:t>
      </w:r>
      <w:r>
        <w:rPr>
          <w:rFonts w:hint="eastAsia" w:ascii="仿宋_GB2312" w:eastAsia="仿宋_GB2312"/>
          <w:sz w:val="32"/>
          <w:szCs w:val="32"/>
          <w:lang w:val="en-US" w:eastAsia="zh-CN"/>
        </w:rPr>
        <w:t>25053.25</w:t>
      </w:r>
      <w:r>
        <w:rPr>
          <w:rFonts w:hint="eastAsia" w:ascii="仿宋_GB2312" w:eastAsia="仿宋_GB2312"/>
          <w:sz w:val="32"/>
          <w:szCs w:val="32"/>
        </w:rPr>
        <w:t>万元，公共服务设施损失</w:t>
      </w:r>
      <w:r>
        <w:rPr>
          <w:rFonts w:hint="eastAsia" w:ascii="仿宋_GB2312" w:eastAsia="仿宋_GB2312"/>
          <w:sz w:val="32"/>
          <w:szCs w:val="32"/>
          <w:lang w:val="en-US" w:eastAsia="zh-CN"/>
        </w:rPr>
        <w:t>21259.26</w:t>
      </w:r>
      <w:r>
        <w:rPr>
          <w:rFonts w:hint="eastAsia" w:ascii="仿宋_GB2312" w:eastAsia="仿宋_GB2312"/>
          <w:sz w:val="32"/>
          <w:szCs w:val="32"/>
        </w:rPr>
        <w:t>万元，工矿商贸业损失</w:t>
      </w:r>
      <w:r>
        <w:rPr>
          <w:rFonts w:hint="eastAsia" w:ascii="仿宋_GB2312" w:eastAsia="仿宋_GB2312"/>
          <w:sz w:val="32"/>
          <w:szCs w:val="32"/>
          <w:lang w:val="en-US" w:eastAsia="zh-CN"/>
        </w:rPr>
        <w:t>121.81</w:t>
      </w:r>
      <w:r>
        <w:rPr>
          <w:rFonts w:hint="eastAsia" w:ascii="仿宋_GB2312" w:eastAsia="仿宋_GB2312"/>
          <w:sz w:val="32"/>
          <w:szCs w:val="32"/>
        </w:rPr>
        <w:t>万元）</w:t>
      </w:r>
      <w:r>
        <w:rPr>
          <w:rFonts w:hint="eastAsia" w:ascii="仿宋_GB2312" w:eastAsia="仿宋_GB2312"/>
          <w:sz w:val="32"/>
          <w:szCs w:val="32"/>
          <w:lang w:eastAsia="zh-CN"/>
        </w:rPr>
        <w:t>。</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（二）中央自然灾害救灾资金（冬春生活困难救助资金）分解到位情况</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rPr>
        <w:t>年12月</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省厅</w:t>
      </w:r>
      <w:r>
        <w:rPr>
          <w:rFonts w:hint="eastAsia" w:ascii="仿宋_GB2312" w:hAnsi="仿宋_GB2312" w:eastAsia="仿宋_GB2312" w:cs="仿宋_GB2312"/>
          <w:sz w:val="32"/>
          <w:szCs w:val="32"/>
        </w:rPr>
        <w:t>向我县下拨冬春生活</w:t>
      </w:r>
      <w:r>
        <w:rPr>
          <w:rFonts w:hint="eastAsia" w:ascii="仿宋_GB2312" w:hAnsi="仿宋_GB2312" w:eastAsia="仿宋_GB2312" w:cs="仿宋_GB2312"/>
          <w:sz w:val="32"/>
          <w:szCs w:val="32"/>
          <w:lang w:eastAsia="zh-CN"/>
        </w:rPr>
        <w:t>困难</w:t>
      </w:r>
      <w:r>
        <w:rPr>
          <w:rFonts w:hint="eastAsia" w:ascii="仿宋_GB2312" w:hAnsi="仿宋_GB2312" w:eastAsia="仿宋_GB2312" w:cs="仿宋_GB2312"/>
          <w:sz w:val="32"/>
          <w:szCs w:val="32"/>
        </w:rPr>
        <w:t>救助资金共</w:t>
      </w:r>
      <w:r>
        <w:rPr>
          <w:rFonts w:hint="eastAsia" w:ascii="仿宋_GB2312" w:hAnsi="仿宋_GB2312" w:eastAsia="仿宋_GB2312" w:cs="仿宋_GB2312"/>
          <w:sz w:val="32"/>
          <w:szCs w:val="32"/>
          <w:lang w:val="en-US" w:eastAsia="zh-CN"/>
        </w:rPr>
        <w:t>189</w:t>
      </w:r>
      <w:r>
        <w:rPr>
          <w:rFonts w:hint="eastAsia" w:ascii="仿宋_GB2312" w:hAnsi="仿宋_GB2312" w:eastAsia="仿宋_GB2312" w:cs="仿宋_GB2312"/>
          <w:sz w:val="32"/>
          <w:szCs w:val="32"/>
        </w:rPr>
        <w:t>万元，下达文号为甘财</w:t>
      </w:r>
      <w:r>
        <w:rPr>
          <w:rFonts w:hint="eastAsia" w:ascii="仿宋_GB2312" w:hAnsi="仿宋_GB2312" w:eastAsia="仿宋_GB2312" w:cs="仿宋_GB2312"/>
          <w:sz w:val="32"/>
          <w:szCs w:val="32"/>
          <w:lang w:eastAsia="zh-CN"/>
        </w:rPr>
        <w:t>资环</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107</w:t>
      </w:r>
      <w:r>
        <w:rPr>
          <w:rFonts w:hint="eastAsia" w:ascii="仿宋_GB2312" w:hAnsi="仿宋_GB2312" w:eastAsia="仿宋_GB2312" w:cs="仿宋_GB2312"/>
          <w:sz w:val="32"/>
          <w:szCs w:val="32"/>
        </w:rPr>
        <w:t>号。收到</w:t>
      </w:r>
      <w:r>
        <w:rPr>
          <w:rFonts w:hint="eastAsia" w:ascii="仿宋_GB2312" w:hAnsi="仿宋_GB2312" w:eastAsia="仿宋_GB2312" w:cs="仿宋_GB2312"/>
          <w:sz w:val="32"/>
          <w:szCs w:val="32"/>
          <w:lang w:val="en-US" w:eastAsia="zh-CN"/>
        </w:rPr>
        <w:t>省上</w:t>
      </w:r>
      <w:r>
        <w:rPr>
          <w:rFonts w:hint="eastAsia" w:ascii="仿宋_GB2312" w:hAnsi="仿宋_GB2312" w:eastAsia="仿宋_GB2312" w:cs="仿宋_GB2312"/>
          <w:sz w:val="32"/>
          <w:szCs w:val="32"/>
        </w:rPr>
        <w:t>下拨资金后我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高度重视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及时向县委、县政府作了专题汇报，召开会议研究部署，立即制定资金分配方案，并于</w:t>
      </w:r>
      <w:r>
        <w:rPr>
          <w:rFonts w:hint="eastAsia" w:ascii="仿宋_GB2312" w:hAnsi="仿宋_GB2312" w:eastAsia="仿宋_GB2312" w:cs="仿宋_GB2312"/>
          <w:sz w:val="32"/>
          <w:szCs w:val="32"/>
          <w:lang w:val="en-US" w:eastAsia="zh-CN"/>
        </w:rPr>
        <w:t>2022年12</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日下发资金分配</w:t>
      </w:r>
      <w:r>
        <w:rPr>
          <w:rFonts w:hint="eastAsia" w:ascii="仿宋_GB2312" w:hAnsi="仿宋_GB2312" w:eastAsia="仿宋_GB2312" w:cs="仿宋_GB2312"/>
          <w:sz w:val="32"/>
          <w:szCs w:val="32"/>
          <w:lang w:eastAsia="zh-CN"/>
        </w:rPr>
        <w:t>方案</w:t>
      </w:r>
      <w:r>
        <w:rPr>
          <w:rFonts w:hint="eastAsia" w:ascii="仿宋_GB2312" w:hAnsi="仿宋_GB2312" w:eastAsia="仿宋_GB2312" w:cs="仿宋_GB2312"/>
          <w:sz w:val="32"/>
          <w:szCs w:val="32"/>
        </w:rPr>
        <w:t>通知，将20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年度我县</w:t>
      </w:r>
      <w:r>
        <w:rPr>
          <w:rFonts w:hint="eastAsia" w:ascii="仿宋_GB2312" w:hAnsi="仿宋_GB2312" w:eastAsia="仿宋_GB2312" w:cs="仿宋_GB2312"/>
          <w:sz w:val="32"/>
          <w:szCs w:val="32"/>
          <w:lang w:val="en-US" w:eastAsia="zh-CN"/>
        </w:rPr>
        <w:t>102</w:t>
      </w:r>
      <w:r>
        <w:rPr>
          <w:rFonts w:hint="eastAsia" w:ascii="仿宋_GB2312" w:hAnsi="仿宋_GB2312" w:eastAsia="仿宋_GB2312" w:cs="仿宋_GB2312"/>
          <w:sz w:val="32"/>
          <w:szCs w:val="32"/>
        </w:rPr>
        <w:t>万元冬春生活救助补助资金分配到</w:t>
      </w:r>
      <w:r>
        <w:rPr>
          <w:rFonts w:hint="eastAsia" w:ascii="仿宋_GB2312" w:hAnsi="仿宋_GB2312" w:eastAsia="仿宋_GB2312" w:cs="仿宋_GB2312"/>
          <w:sz w:val="32"/>
          <w:szCs w:val="32"/>
          <w:lang w:val="en-US" w:eastAsia="zh-CN"/>
        </w:rPr>
        <w:t>受灾镇（</w:t>
      </w:r>
      <w:r>
        <w:rPr>
          <w:rFonts w:hint="eastAsia" w:ascii="仿宋_GB2312" w:hAnsi="仿宋_GB2312" w:eastAsia="仿宋_GB2312" w:cs="仿宋_GB2312"/>
          <w:sz w:val="32"/>
          <w:szCs w:val="32"/>
        </w:rPr>
        <w:t>南丰镇413840</w:t>
      </w:r>
      <w:r>
        <w:rPr>
          <w:rFonts w:hint="eastAsia" w:ascii="仿宋_GB2312" w:hAnsi="仿宋_GB2312" w:eastAsia="仿宋_GB2312" w:cs="仿宋_GB2312"/>
          <w:sz w:val="32"/>
          <w:szCs w:val="32"/>
          <w:lang w:eastAsia="zh-CN"/>
        </w:rPr>
        <w:t>元、永固镇152520元、民联镇111960元、三堡镇156360元、顺化镇58840元、丰乐镇723388元、新天镇273092元</w:t>
      </w:r>
      <w:r>
        <w:rPr>
          <w:rFonts w:hint="eastAsia" w:ascii="仿宋_GB2312" w:hAnsi="仿宋_GB2312" w:eastAsia="仿宋_GB2312" w:cs="仿宋_GB2312"/>
          <w:sz w:val="32"/>
          <w:szCs w:val="32"/>
        </w:rPr>
        <w:t>），至202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 xml:space="preserve">日冬春救助资金已全部发放到户。 </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二、绩效自评工作组织开展情况</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kern w:val="2"/>
          <w:sz w:val="32"/>
          <w:szCs w:val="32"/>
        </w:rPr>
        <w:t>（一）前期准备。</w:t>
      </w:r>
      <w:r>
        <w:rPr>
          <w:rFonts w:hint="eastAsia" w:ascii="仿宋_GB2312" w:hAnsi="仿宋_GB2312" w:eastAsia="仿宋_GB2312" w:cs="仿宋_GB2312"/>
          <w:kern w:val="2"/>
          <w:sz w:val="32"/>
          <w:szCs w:val="32"/>
          <w:lang w:val="en-US" w:eastAsia="zh-CN" w:bidi="ar-SA"/>
        </w:rPr>
        <w:t>成立专项资金绩效评价工作领导小组，专题安排部署绩效评价工作，由防灾减灾股牵头，办公室财务人员和相关股室参与，精心准备绩效评价工作。</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eastAsia" w:ascii="仿宋_GB2312" w:hAnsi="仿宋_GB2312" w:eastAsia="仿宋_GB2312" w:cs="仿宋_GB2312"/>
          <w:kern w:val="2"/>
          <w:sz w:val="32"/>
          <w:szCs w:val="32"/>
        </w:rPr>
      </w:pPr>
      <w:r>
        <w:rPr>
          <w:rFonts w:hint="eastAsia" w:ascii="楷体_GB2312" w:hAnsi="楷体_GB2312" w:eastAsia="楷体_GB2312" w:cs="楷体_GB2312"/>
          <w:kern w:val="2"/>
          <w:sz w:val="32"/>
          <w:szCs w:val="32"/>
        </w:rPr>
        <w:t>（二）组织实施。</w:t>
      </w:r>
      <w:r>
        <w:rPr>
          <w:rFonts w:hint="eastAsia" w:ascii="仿宋_GB2312" w:hAnsi="仿宋_GB2312" w:eastAsia="仿宋_GB2312" w:cs="仿宋_GB2312"/>
          <w:kern w:val="2"/>
          <w:sz w:val="32"/>
          <w:szCs w:val="32"/>
          <w:lang w:eastAsia="zh-CN"/>
        </w:rPr>
        <w:t>防灾</w:t>
      </w:r>
      <w:r>
        <w:rPr>
          <w:rFonts w:hint="eastAsia" w:ascii="仿宋_GB2312" w:hAnsi="仿宋_GB2312" w:eastAsia="仿宋_GB2312" w:cs="仿宋_GB2312"/>
          <w:kern w:val="2"/>
          <w:sz w:val="32"/>
          <w:szCs w:val="32"/>
        </w:rPr>
        <w:t>减灾股提供基础数据并进行审核；办公室财务人员进行数据核对，开展初评。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eastAsia" w:ascii="仿宋_GB2312" w:hAnsi="仿宋_GB2312" w:eastAsia="仿宋_GB2312" w:cs="仿宋_GB2312"/>
          <w:kern w:val="2"/>
          <w:sz w:val="32"/>
          <w:szCs w:val="32"/>
        </w:rPr>
      </w:pPr>
      <w:r>
        <w:rPr>
          <w:rFonts w:hint="eastAsia" w:ascii="楷体_GB2312" w:hAnsi="楷体_GB2312" w:eastAsia="楷体_GB2312" w:cs="楷体_GB2312"/>
          <w:kern w:val="2"/>
          <w:sz w:val="32"/>
          <w:szCs w:val="32"/>
        </w:rPr>
        <w:t>（三）分析评价。</w:t>
      </w:r>
      <w:r>
        <w:rPr>
          <w:rFonts w:hint="eastAsia" w:ascii="仿宋_GB2312" w:hAnsi="仿宋_GB2312" w:eastAsia="仿宋_GB2312" w:cs="仿宋_GB2312"/>
          <w:kern w:val="2"/>
          <w:sz w:val="32"/>
          <w:szCs w:val="32"/>
        </w:rPr>
        <w:t>分管领导及办公室财务人员进行最后审核认定</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并提出绩效评价报告。</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三、绩效目标完成情况分析</w:t>
      </w:r>
      <w:r>
        <w:rPr>
          <w:rFonts w:hint="eastAsia" w:ascii="黑体" w:hAnsi="黑体" w:eastAsia="黑体" w:cs="黑体"/>
          <w:sz w:val="32"/>
          <w:szCs w:val="32"/>
        </w:rPr>
        <w:tab/>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（一）资金到位情况分析</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年12月</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日收到中央拨付的冬春生活救助补助资金</w:t>
      </w:r>
      <w:r>
        <w:rPr>
          <w:rFonts w:hint="eastAsia" w:ascii="仿宋_GB2312" w:hAnsi="仿宋_GB2312" w:eastAsia="仿宋_GB2312" w:cs="仿宋_GB2312"/>
          <w:sz w:val="32"/>
          <w:szCs w:val="32"/>
          <w:lang w:val="en-US" w:eastAsia="zh-CN"/>
        </w:rPr>
        <w:t>189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资金100%拨付到位。</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（二）资金执行情况分析</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我县严格按规定和时限要求发放冬春生活救助补助资金。至202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日将中央</w:t>
      </w:r>
      <w:r>
        <w:rPr>
          <w:rFonts w:hint="eastAsia" w:ascii="仿宋_GB2312" w:hAnsi="仿宋_GB2312" w:eastAsia="仿宋_GB2312" w:cs="仿宋_GB2312"/>
          <w:sz w:val="32"/>
          <w:szCs w:val="32"/>
          <w:lang w:val="en-US" w:eastAsia="zh-CN"/>
        </w:rPr>
        <w:t>189</w:t>
      </w:r>
      <w:r>
        <w:rPr>
          <w:rFonts w:hint="eastAsia" w:ascii="仿宋_GB2312" w:hAnsi="仿宋_GB2312" w:eastAsia="仿宋_GB2312" w:cs="仿宋_GB2312"/>
          <w:sz w:val="32"/>
          <w:szCs w:val="32"/>
        </w:rPr>
        <w:t>万元冬春生活救助补助资金全部发放到户，共发放</w:t>
      </w:r>
      <w:r>
        <w:rPr>
          <w:rFonts w:hint="eastAsia" w:ascii="仿宋_GB2312" w:hAnsi="仿宋_GB2312" w:eastAsia="仿宋_GB2312" w:cs="仿宋_GB2312"/>
          <w:sz w:val="32"/>
          <w:szCs w:val="32"/>
          <w:lang w:val="en-US" w:eastAsia="zh-CN"/>
        </w:rPr>
        <w:t>683户2279人</w:t>
      </w:r>
      <w:r>
        <w:rPr>
          <w:rFonts w:hint="eastAsia" w:ascii="仿宋_GB2312" w:hAnsi="仿宋_GB2312" w:eastAsia="仿宋_GB2312" w:cs="仿宋_GB2312"/>
          <w:sz w:val="32"/>
          <w:szCs w:val="32"/>
        </w:rPr>
        <w:t>，执行率100%。</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楷体_GB2312" w:hAnsi="楷体_GB2312" w:eastAsia="楷体_GB2312" w:cs="楷体_GB2312"/>
          <w:b w:val="0"/>
          <w:bCs/>
          <w:sz w:val="32"/>
          <w:szCs w:val="32"/>
          <w:lang w:val="en-US"/>
        </w:rPr>
      </w:pPr>
      <w:r>
        <w:rPr>
          <w:rFonts w:hint="eastAsia" w:ascii="楷体_GB2312" w:hAnsi="楷体_GB2312" w:eastAsia="楷体_GB2312" w:cs="楷体_GB2312"/>
          <w:b w:val="0"/>
          <w:bCs/>
          <w:sz w:val="32"/>
          <w:szCs w:val="32"/>
          <w:lang w:val="en-US" w:eastAsia="zh-CN"/>
        </w:rPr>
        <w:t>（三）项目资金管理情况分析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我县自然灾害生活救助工作遵循公开、公平、公正的原则。县财政设立专户</w:t>
      </w:r>
      <w:r>
        <w:rPr>
          <w:rFonts w:hint="eastAsia" w:ascii="仿宋_GB2312" w:hAnsi="仿宋_GB2312" w:eastAsia="仿宋_GB2312" w:cs="仿宋_GB2312"/>
          <w:color w:val="auto"/>
          <w:sz w:val="32"/>
          <w:szCs w:val="32"/>
          <w:lang w:val="en-US" w:eastAsia="zh-CN"/>
        </w:rPr>
        <w:t>（2240703-自然灾害救助补助），</w:t>
      </w:r>
      <w:r>
        <w:rPr>
          <w:rFonts w:hint="eastAsia" w:ascii="仿宋_GB2312" w:hAnsi="仿宋_GB2312" w:eastAsia="仿宋_GB2312" w:cs="仿宋_GB2312"/>
          <w:sz w:val="32"/>
          <w:szCs w:val="32"/>
          <w:lang w:val="en-US" w:eastAsia="zh-CN"/>
        </w:rPr>
        <w:t>县应急管理局积极对接，共同管好、用好此项资金，切实加强和规范资金使用管理，</w:t>
      </w:r>
      <w:r>
        <w:rPr>
          <w:rFonts w:hint="eastAsia" w:ascii="仿宋_GB2312" w:hAnsi="仿宋_GB2312" w:eastAsia="仿宋_GB2312" w:cs="仿宋_GB2312"/>
          <w:b w:val="0"/>
          <w:bCs w:val="0"/>
          <w:sz w:val="32"/>
          <w:szCs w:val="32"/>
          <w:lang w:val="en-US" w:eastAsia="zh-CN"/>
        </w:rPr>
        <w:t>实行一卡通发放、专款专用。</w:t>
      </w:r>
      <w:r>
        <w:rPr>
          <w:rFonts w:hint="eastAsia" w:ascii="仿宋_GB2312" w:hAnsi="仿宋_GB2312" w:eastAsia="仿宋_GB2312" w:cs="仿宋_GB2312"/>
          <w:sz w:val="32"/>
          <w:szCs w:val="32"/>
          <w:lang w:val="en-US" w:eastAsia="zh-CN"/>
        </w:rPr>
        <w:t>一是严格救助程序。按照民主评议、登记造册、张榜公布、公开发放的工作规程，通过“户报、村评、镇审、县定”四个步骤确定救助对象。二是加大公开力度。设立救灾资金违规举报电话，向社会公布，接受群众举报和监督。在自然灾害生活补助资金的管理使用过程中，坚持镇、村提出方案后，组织村民代表讨论通过，然后在村务公开栏上进行公示，增强透明度。三是加强监督检查。对受灾镇救灾资金的管理使用情况进行全面检查，规范资金的使用范围。切实按照公开、公平、公正的原则，确保救灾资金通过一卡通发放到每一户受灾困难群众手中。</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（四）绩效指标完成情况分析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1.产出指标完成情况分析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（1）数量指标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自然灾害</w:t>
      </w:r>
      <w:r>
        <w:rPr>
          <w:rFonts w:hint="eastAsia" w:ascii="仿宋_GB2312" w:hAnsi="仿宋_GB2312" w:eastAsia="仿宋_GB2312" w:cs="仿宋_GB2312"/>
          <w:sz w:val="32"/>
          <w:szCs w:val="32"/>
        </w:rPr>
        <w:t>冬春临时生活困难</w:t>
      </w:r>
      <w:r>
        <w:rPr>
          <w:rFonts w:hint="eastAsia" w:ascii="仿宋_GB2312" w:hAnsi="仿宋_GB2312" w:eastAsia="仿宋_GB2312" w:cs="仿宋_GB2312"/>
          <w:sz w:val="32"/>
          <w:szCs w:val="32"/>
          <w:lang w:eastAsia="zh-CN"/>
        </w:rPr>
        <w:t>需救助</w:t>
      </w:r>
      <w:r>
        <w:rPr>
          <w:rFonts w:hint="eastAsia" w:ascii="仿宋_GB2312" w:hAnsi="仿宋_GB2312" w:eastAsia="仿宋_GB2312" w:cs="仿宋_GB2312"/>
          <w:sz w:val="32"/>
          <w:szCs w:val="32"/>
          <w:lang w:val="en-US" w:eastAsia="zh-CN"/>
        </w:rPr>
        <w:t>683户2279人，实际</w:t>
      </w:r>
      <w:r>
        <w:rPr>
          <w:rFonts w:hint="eastAsia" w:ascii="仿宋_GB2312" w:hAnsi="仿宋_GB2312" w:eastAsia="仿宋_GB2312" w:cs="仿宋_GB2312"/>
          <w:sz w:val="32"/>
          <w:szCs w:val="32"/>
        </w:rPr>
        <w:t>救助受灾群众</w:t>
      </w:r>
      <w:r>
        <w:rPr>
          <w:rFonts w:hint="eastAsia" w:ascii="仿宋_GB2312" w:hAnsi="仿宋_GB2312" w:eastAsia="仿宋_GB2312" w:cs="仿宋_GB2312"/>
          <w:sz w:val="32"/>
          <w:szCs w:val="32"/>
          <w:lang w:val="en-US" w:eastAsia="zh-CN"/>
        </w:rPr>
        <w:t>683户2279</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救助率达到</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确保了受灾困难群众基本生活和安全温暖过冬。</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（2）质量指标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我县严格按照相关程序和标准发放中央自然灾害救灾资金（冬春临时生活困难救助资金），无截留无延误，资金效率和使用率均为100%。</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（3）时效指标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我县按发放时效在收到中央自然灾害救灾资金（冬春生活困难救助资金）</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lang w:eastAsia="zh-CN"/>
        </w:rPr>
        <w:t>个工作</w:t>
      </w:r>
      <w:r>
        <w:rPr>
          <w:rFonts w:hint="eastAsia" w:ascii="仿宋_GB2312" w:hAnsi="仿宋_GB2312" w:eastAsia="仿宋_GB2312" w:cs="仿宋_GB2312"/>
          <w:sz w:val="32"/>
          <w:szCs w:val="32"/>
        </w:rPr>
        <w:t>日内全部将资金通过惠农“一卡通”发放到救助对象手中。</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成本指标。</w:t>
      </w:r>
      <w:r>
        <w:rPr>
          <w:rFonts w:hint="eastAsia" w:eastAsia="仿宋_GB2312"/>
          <w:sz w:val="32"/>
          <w:szCs w:val="32"/>
        </w:rPr>
        <w:t>冬春救助</w:t>
      </w:r>
      <w:r>
        <w:rPr>
          <w:rFonts w:eastAsia="仿宋_GB2312"/>
          <w:sz w:val="32"/>
          <w:szCs w:val="32"/>
        </w:rPr>
        <w:t>坚持</w:t>
      </w:r>
      <w:r>
        <w:rPr>
          <w:rFonts w:hint="eastAsia" w:eastAsia="仿宋_GB2312"/>
          <w:sz w:val="32"/>
          <w:szCs w:val="32"/>
        </w:rPr>
        <w:t>“以人为本、</w:t>
      </w:r>
      <w:r>
        <w:rPr>
          <w:rFonts w:eastAsia="仿宋_GB2312"/>
          <w:sz w:val="32"/>
          <w:szCs w:val="32"/>
        </w:rPr>
        <w:t>政府主导、分级</w:t>
      </w:r>
      <w:r>
        <w:rPr>
          <w:rFonts w:hint="eastAsia" w:eastAsia="仿宋_GB2312"/>
          <w:sz w:val="32"/>
          <w:szCs w:val="32"/>
        </w:rPr>
        <w:t>负担</w:t>
      </w:r>
      <w:r>
        <w:rPr>
          <w:rFonts w:eastAsia="仿宋_GB2312"/>
          <w:sz w:val="32"/>
          <w:szCs w:val="32"/>
        </w:rPr>
        <w:t>、社会互助、</w:t>
      </w:r>
      <w:r>
        <w:rPr>
          <w:rFonts w:hint="eastAsia" w:eastAsia="仿宋_GB2312"/>
          <w:sz w:val="32"/>
          <w:szCs w:val="32"/>
        </w:rPr>
        <w:t>群众</w:t>
      </w:r>
      <w:r>
        <w:rPr>
          <w:rFonts w:eastAsia="仿宋_GB2312"/>
          <w:sz w:val="32"/>
          <w:szCs w:val="32"/>
        </w:rPr>
        <w:t>自救</w:t>
      </w:r>
      <w:r>
        <w:rPr>
          <w:rFonts w:hint="eastAsia" w:eastAsia="仿宋_GB2312"/>
          <w:sz w:val="32"/>
          <w:szCs w:val="32"/>
        </w:rPr>
        <w:t>”</w:t>
      </w:r>
      <w:r>
        <w:rPr>
          <w:rFonts w:eastAsia="仿宋_GB2312"/>
          <w:sz w:val="32"/>
          <w:szCs w:val="32"/>
        </w:rPr>
        <w:t>的原则，以核准对象、分类救助为重点，切实解决</w:t>
      </w:r>
      <w:r>
        <w:rPr>
          <w:rFonts w:hint="eastAsia" w:eastAsia="仿宋_GB2312"/>
          <w:sz w:val="32"/>
          <w:szCs w:val="32"/>
          <w:lang w:eastAsia="zh-CN"/>
        </w:rPr>
        <w:t>了</w:t>
      </w:r>
      <w:r>
        <w:rPr>
          <w:rFonts w:eastAsia="仿宋_GB2312"/>
          <w:sz w:val="32"/>
          <w:szCs w:val="32"/>
        </w:rPr>
        <w:t>受灾困难群众冬春期间基本生活问题。</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2.效益指标完成情况分析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）社会效益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央自然灾害救灾资金（冬春生活困难救助资金）切实起到了有效保障受灾群众基本生活，确保受灾困难群众安全温暖过冬和灾区社会稳定的作用。一定程度上缓解了“因灾致贫、因灾返贫”现象，保障了因灾困难群众基本生活，调动了受灾群众自力更生、抗灾自救的积极性，赢得了人民群众对党和政府的衷心拥护，</w:t>
      </w:r>
      <w:r>
        <w:rPr>
          <w:rFonts w:hint="eastAsia" w:ascii="仿宋_GB2312" w:hAnsi="仿宋_GB2312" w:eastAsia="仿宋_GB2312" w:cs="仿宋_GB2312"/>
          <w:sz w:val="32"/>
          <w:szCs w:val="32"/>
          <w:lang w:val="en-US" w:eastAsia="zh-CN"/>
        </w:rPr>
        <w:t>受灾地区</w:t>
      </w:r>
      <w:r>
        <w:rPr>
          <w:rFonts w:hint="eastAsia" w:ascii="仿宋_GB2312" w:hAnsi="仿宋_GB2312" w:eastAsia="仿宋_GB2312" w:cs="仿宋_GB2312"/>
          <w:sz w:val="32"/>
          <w:szCs w:val="32"/>
        </w:rPr>
        <w:t>社会秩序稳定有序。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）可持续影响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冬春</w:t>
      </w:r>
      <w:r>
        <w:rPr>
          <w:rFonts w:hint="eastAsia" w:ascii="仿宋_GB2312" w:hAnsi="仿宋_GB2312" w:eastAsia="仿宋_GB2312" w:cs="仿宋_GB2312"/>
          <w:sz w:val="32"/>
          <w:szCs w:val="32"/>
          <w:lang w:eastAsia="zh-CN"/>
        </w:rPr>
        <w:t>生活困难</w:t>
      </w:r>
      <w:r>
        <w:rPr>
          <w:rFonts w:hint="eastAsia" w:ascii="仿宋_GB2312" w:hAnsi="仿宋_GB2312" w:eastAsia="仿宋_GB2312" w:cs="仿宋_GB2312"/>
          <w:sz w:val="32"/>
          <w:szCs w:val="32"/>
        </w:rPr>
        <w:t>救助资金保障制度不断完善，申报审批手续</w:t>
      </w:r>
      <w:r>
        <w:rPr>
          <w:rFonts w:hint="eastAsia" w:ascii="仿宋_GB2312" w:hAnsi="仿宋_GB2312" w:eastAsia="仿宋_GB2312" w:cs="仿宋_GB2312"/>
          <w:sz w:val="32"/>
          <w:szCs w:val="32"/>
          <w:lang w:eastAsia="zh-CN"/>
        </w:rPr>
        <w:t>更加</w:t>
      </w:r>
      <w:r>
        <w:rPr>
          <w:rFonts w:hint="eastAsia" w:ascii="仿宋_GB2312" w:hAnsi="仿宋_GB2312" w:eastAsia="仿宋_GB2312" w:cs="仿宋_GB2312"/>
          <w:sz w:val="32"/>
          <w:szCs w:val="32"/>
        </w:rPr>
        <w:t>快捷方便，审批通过后补助资金能及时发放，提高了政府的工作效率和政府的形象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保障受灾群众基本生活</w:t>
      </w:r>
      <w:r>
        <w:rPr>
          <w:rFonts w:hint="eastAsia" w:ascii="仿宋_GB2312" w:hAnsi="仿宋_GB2312" w:eastAsia="仿宋_GB2312" w:cs="仿宋_GB2312"/>
          <w:sz w:val="32"/>
          <w:szCs w:val="32"/>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3.满意度指标完成情况分析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至目前，</w:t>
      </w:r>
      <w:r>
        <w:rPr>
          <w:rFonts w:hint="eastAsia" w:ascii="仿宋_GB2312" w:hAnsi="仿宋_GB2312" w:eastAsia="仿宋_GB2312" w:cs="仿宋_GB2312"/>
          <w:sz w:val="32"/>
          <w:szCs w:val="32"/>
        </w:rPr>
        <w:t>我县未发生冬春生活救助补助资金负面舆情事故和受灾群众救助信访事件。</w:t>
      </w:r>
      <w:r>
        <w:rPr>
          <w:rFonts w:hint="eastAsia" w:ascii="仿宋_GB2312" w:hAnsi="仿宋_GB2312" w:eastAsia="仿宋_GB2312" w:cs="仿宋_GB2312"/>
          <w:sz w:val="32"/>
          <w:szCs w:val="32"/>
          <w:lang w:eastAsia="zh-CN"/>
        </w:rPr>
        <w:t>冬春</w:t>
      </w:r>
      <w:r>
        <w:rPr>
          <w:rFonts w:hint="eastAsia" w:ascii="仿宋_GB2312" w:hAnsi="仿宋_GB2312" w:eastAsia="仿宋_GB2312" w:cs="仿宋_GB2312"/>
          <w:sz w:val="32"/>
          <w:szCs w:val="32"/>
          <w:lang w:val="en-US" w:eastAsia="zh-CN"/>
        </w:rPr>
        <w:t>生活救助资金保障了受灾群众的基本生活需求，发挥了“保命钱”、“救命钱”作用，在一定程度甚至根本上解决了生存需要，广大群众对</w:t>
      </w:r>
      <w:r>
        <w:rPr>
          <w:rFonts w:hint="eastAsia" w:ascii="仿宋_GB2312" w:hAnsi="仿宋_GB2312" w:eastAsia="仿宋_GB2312" w:cs="仿宋_GB2312"/>
          <w:sz w:val="32"/>
          <w:szCs w:val="32"/>
          <w:lang w:eastAsia="zh-CN"/>
        </w:rPr>
        <w:t>冬春</w:t>
      </w:r>
      <w:r>
        <w:rPr>
          <w:rFonts w:hint="eastAsia" w:ascii="仿宋_GB2312" w:hAnsi="仿宋_GB2312" w:eastAsia="仿宋_GB2312" w:cs="仿宋_GB2312"/>
          <w:sz w:val="32"/>
          <w:szCs w:val="32"/>
          <w:lang w:val="en-US" w:eastAsia="zh-CN"/>
        </w:rPr>
        <w:t>生活困难救助资金的满意度比较高。</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四、偏离绩效目标的原因和</w:t>
      </w:r>
      <w:r>
        <w:rPr>
          <w:rFonts w:hint="eastAsia" w:ascii="黑体" w:hAnsi="黑体" w:eastAsia="黑体" w:cs="黑体"/>
          <w:b w:val="0"/>
          <w:bCs w:val="0"/>
          <w:sz w:val="32"/>
          <w:szCs w:val="32"/>
        </w:rPr>
        <w:t>下一步改进措施</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lang w:val="en-US" w:eastAsia="zh-CN"/>
        </w:rPr>
        <w:t>2022年我县自然灾害生活救助未偏离绩效目标，全部用于受灾困难群众冬春基本生活救助，冬春期间，是受灾群众较为困难的时期。下一步我县将按照“以民为本、为民解困”和“民生为重、富民为先”的工作理念要求，进一步加大投入，采取各项措施，确保受灾困难群众生活救助工作落到实处。一是进一步建立健全防灾减灾应急救援机制。按照省、市有关工作要求，理顺防灾减灾救灾体制运行机制，研究制定相关配套工作制度，为灾情上报工作提供坚强的组织保障和制度规范。二是全面加强基层灾害信息员队伍建设力度。调整充实基层灾害信息员队伍，定期组织开展灾害信息员教育培训，不断提升灾情上报的时效性和准确率，督促、指导</w:t>
      </w:r>
      <w:r>
        <w:rPr>
          <w:rFonts w:hint="eastAsia" w:ascii="仿宋_GB2312" w:hAnsi="仿宋_GB2312" w:eastAsia="仿宋_GB2312" w:cs="仿宋_GB2312"/>
          <w:sz w:val="32"/>
          <w:szCs w:val="32"/>
          <w:lang w:val="en-US" w:eastAsia="zh-CN"/>
        </w:rPr>
        <w:t>各镇加快自然灾害救助工作实施进度。</w:t>
      </w:r>
      <w:r>
        <w:rPr>
          <w:rFonts w:hint="eastAsia" w:ascii="仿宋_GB2312" w:hAnsi="仿宋_GB2312" w:eastAsia="仿宋_GB2312" w:cs="仿宋_GB2312"/>
          <w:kern w:val="0"/>
          <w:sz w:val="32"/>
          <w:szCs w:val="32"/>
          <w:lang w:val="en-US" w:eastAsia="zh-CN"/>
        </w:rPr>
        <w:t>三是严格执行自然灾害灾情报送、自然灾害救助资金申请、资金拨付等工作制度和程序。督促工作人员严格执行相关工作制度和程序，确保工作依法依规。四是进一步加大督查检查工作力度。积极开展自然灾害灾情报送、自然灾害生活补助资金申请和发放专项督导检查工作，确保自然资金发放、使用管理规范。五是加强绩效目标的刚性约束，建立绩效目标考评体系，提升绩效管理水平，及时跟踪问效，实现全程可查询、可追溯、可控制。</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五、绩效自评结果拟应用和公开情况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绩效自评，进一步了解和掌握了我县冬春生活救助补助资金使用情况和取得的效果，总结了资金管理经验，及时发现了工作中存在的问题和不足，为今后提高专项资金使用效益、强化财政资金规范化管理、健全和完善项目资金使用管理制度、加强绩效目标和绩效考核工作提供了重要的参考依据。绩效评价结束后，将把绩效评价结果及时反馈给相关股室，提高对绩效管理工作的认识。绩效自评结果将在政府门户网站公开，自觉接受群众监督。</w:t>
      </w:r>
    </w:p>
    <w:p>
      <w:pPr>
        <w:pStyle w:val="4"/>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绩效自评工作的经验、问题和建议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我局领导高度重视</w:t>
      </w:r>
      <w:r>
        <w:rPr>
          <w:rFonts w:hint="eastAsia" w:ascii="仿宋_GB2312" w:hAnsi="仿宋_GB2312" w:eastAsia="仿宋_GB2312" w:cs="仿宋_GB2312"/>
          <w:sz w:val="32"/>
          <w:szCs w:val="32"/>
        </w:rPr>
        <w:t>中央自然灾害救灾资金（冬春生活困难救助资金）</w:t>
      </w:r>
      <w:r>
        <w:rPr>
          <w:rFonts w:hint="eastAsia" w:ascii="仿宋_GB2312" w:hAnsi="仿宋_GB2312" w:eastAsia="仿宋_GB2312" w:cs="仿宋_GB2312"/>
          <w:sz w:val="32"/>
          <w:szCs w:val="32"/>
          <w:lang w:val="en-US" w:eastAsia="zh-CN"/>
        </w:rPr>
        <w:t>绩效自评工作，精心组织专人开展绩效自评工作，切实提高自评质量。通过开展</w:t>
      </w:r>
      <w:r>
        <w:rPr>
          <w:rFonts w:hint="eastAsia" w:ascii="仿宋_GB2312" w:hAnsi="仿宋_GB2312" w:eastAsia="仿宋_GB2312" w:cs="仿宋_GB2312"/>
          <w:sz w:val="32"/>
          <w:szCs w:val="32"/>
        </w:rPr>
        <w:t>中央自然灾害救灾资金（冬春生活困难救助资金）</w:t>
      </w:r>
      <w:r>
        <w:rPr>
          <w:rFonts w:hint="eastAsia" w:ascii="仿宋_GB2312" w:hAnsi="仿宋_GB2312" w:eastAsia="仿宋_GB2312" w:cs="仿宋_GB2312"/>
          <w:sz w:val="32"/>
          <w:szCs w:val="32"/>
          <w:lang w:val="en-US" w:eastAsia="zh-CN"/>
        </w:rPr>
        <w:t>绩效自评工作，能及时发现资金实施过程中存在的问题，有效加强对资金的监管。绩效自评工作已取得诸多成效，但仍存在评价结果应用不到位，评价层次不全面等问题。为切实做好中央专项资金绩效评价工作，提出如下工作建议：一是尽快修订完善受灾人员冬春生活救助指导标准和相关的配套政策和制度规范，确保救助程序规范、标准明确、公平公正。二是加强中央专项资金绩效评价结果的应用，通过运用中央专项资金绩效评价结果，发现绩效评价对象在中央专项资金管理和使用过程中存在的不足，制定解决措施和方案，提高中央专项资金的使用效率和使用质量。三是进一步加强业务培训，组织相关人员学习交流，拓展工作思路，提升业务水平。四是进一步完善考核评价机制，将中央专项资金执行进度、项目绩效评价纳入有关工作责任考核中，确保中央专项资金执行、落实到位。</w:t>
      </w:r>
    </w:p>
    <w:p>
      <w:pPr>
        <w:pStyle w:val="4"/>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七、其他需要说明的问题</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无中央和省委巡视及各级审计和财政监督发现的问题。</w:t>
      </w:r>
    </w:p>
    <w:p>
      <w:pPr>
        <w:rPr>
          <w:rFonts w:hint="eastAsia" w:ascii="仿宋_GB2312" w:eastAsia="仿宋_GB2312" w:cs="仿宋_GB2312"/>
          <w:color w:val="auto"/>
          <w:sz w:val="32"/>
          <w:lang w:bidi="ar-SA"/>
        </w:rPr>
      </w:pPr>
    </w:p>
    <w:p>
      <w:pPr>
        <w:rPr>
          <w:rFonts w:hint="eastAsia" w:ascii="仿宋_GB2312" w:eastAsia="仿宋_GB2312" w:cs="仿宋_GB2312"/>
          <w:color w:val="auto"/>
          <w:sz w:val="32"/>
          <w:lang w:bidi="ar-SA"/>
        </w:rPr>
      </w:pPr>
    </w:p>
    <w:p>
      <w:pPr>
        <w:keepNext w:val="0"/>
        <w:keepLines w:val="0"/>
        <w:pageBreakBefore w:val="0"/>
        <w:widowControl w:val="0"/>
        <w:kinsoku/>
        <w:wordWrap/>
        <w:overflowPunct/>
        <w:topLinePunct w:val="0"/>
        <w:autoSpaceDE/>
        <w:autoSpaceDN/>
        <w:adjustRightInd/>
        <w:snapToGrid/>
        <w:spacing w:line="560" w:lineRule="exact"/>
        <w:ind w:firstLine="3526" w:firstLineChars="1102"/>
        <w:rPr>
          <w:rFonts w:hint="eastAsia" w:ascii="仿宋_GB2312" w:eastAsia="仿宋_GB2312" w:cs="仿宋_GB2312"/>
          <w:sz w:val="32"/>
          <w:szCs w:val="32"/>
          <w:lang w:val="en-US" w:eastAsia="zh-CN"/>
        </w:rPr>
      </w:pPr>
      <w:r>
        <w:rPr>
          <w:rFonts w:hint="eastAsia" w:ascii="仿宋_GB2312" w:eastAsia="仿宋_GB2312" w:cs="仿宋_GB2312"/>
          <w:color w:val="auto"/>
          <w:sz w:val="32"/>
          <w:lang w:bidi="ar-SA"/>
        </w:rPr>
        <w:t xml:space="preserve"> </w:t>
      </w:r>
      <w:r>
        <w:rPr>
          <w:rFonts w:ascii="仿宋_GB2312" w:eastAsia="仿宋_GB2312" w:cs="仿宋_GB2312"/>
          <w:color w:val="auto"/>
          <w:sz w:val="32"/>
          <w:lang w:bidi="ar-SA"/>
        </w:rPr>
        <w:t xml:space="preserve">       </w:t>
      </w:r>
      <w:r>
        <w:rPr>
          <w:rFonts w:hint="eastAsia" w:ascii="仿宋_GB2312" w:eastAsia="仿宋_GB2312" w:cs="仿宋_GB2312"/>
          <w:sz w:val="32"/>
          <w:szCs w:val="32"/>
          <w:lang w:val="en-US" w:eastAsia="zh-CN"/>
        </w:rPr>
        <w:t>民乐县应急管理局</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xml:space="preserve">                           2023年4月3日</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outlineLvl w:val="9"/>
        <w:rPr>
          <w:rFonts w:hint="eastAsia" w:ascii="仿宋_GB2312" w:eastAsia="仿宋_GB2312" w:cs="仿宋_GB2312"/>
          <w:sz w:val="32"/>
          <w:szCs w:val="32"/>
          <w:lang w:val="en-US" w:eastAsia="zh-CN"/>
        </w:rPr>
      </w:pPr>
    </w:p>
    <w:p>
      <w:pPr>
        <w:pBdr>
          <w:top w:val="single" w:color="auto" w:sz="6" w:space="1"/>
          <w:bottom w:val="single" w:color="auto" w:sz="6" w:space="1"/>
        </w:pBdr>
        <w:spacing w:line="240" w:lineRule="auto"/>
        <w:ind w:firstLine="0" w:firstLineChars="0"/>
        <w:rPr>
          <w:rFonts w:hint="eastAsia" w:ascii="仿宋_GB2312" w:eastAsia="仿宋_GB2312"/>
          <w:sz w:val="32"/>
        </w:rPr>
      </w:pPr>
    </w:p>
    <w:sectPr>
      <w:footerReference r:id="rId3" w:type="default"/>
      <w:footerReference r:id="rId4" w:type="even"/>
      <w:pgSz w:w="11907" w:h="16840"/>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 w:val="clear" w:pos="8307"/>
      </w:tabs>
      <w:ind w:right="360" w:firstLine="360"/>
    </w:pPr>
    <w:r>
      <w:rPr>
        <w:sz w:val="18"/>
      </w:rPr>
      <mc:AlternateContent>
        <mc:Choice Requires="wps">
          <w:drawing>
            <wp:anchor distT="0" distB="0" distL="90805" distR="90805" simplePos="0" relativeHeight="251659264" behindDoc="0" locked="0" layoutInCell="1" allowOverlap="1">
              <wp:simplePos x="0" y="0"/>
              <wp:positionH relativeFrom="margin">
                <wp:align>outside</wp:align>
              </wp:positionH>
              <wp:positionV relativeFrom="paragraph">
                <wp:posOffset>0</wp:posOffset>
              </wp:positionV>
              <wp:extent cx="444500" cy="230505"/>
              <wp:effectExtent l="0" t="0" r="0" b="0"/>
              <wp:wrapNone/>
              <wp:docPr id="1" name="文本框 1"/>
              <wp:cNvGraphicFramePr/>
              <a:graphic xmlns:a="http://schemas.openxmlformats.org/drawingml/2006/main">
                <a:graphicData uri="http://schemas.microsoft.com/office/word/2010/wordprocessingShape">
                  <wps:wsp>
                    <wps:cNvSpPr/>
                    <wps:spPr>
                      <a:xfrm>
                        <a:off x="0" y="0"/>
                        <a:ext cx="444500" cy="230251"/>
                      </a:xfrm>
                      <a:prstGeom prst="rect">
                        <a:avLst/>
                      </a:prstGeom>
                      <a:noFill/>
                      <a:ln w="9525" cap="flat" cmpd="sng">
                        <a:noFill/>
                        <a:prstDash val="solid"/>
                        <a:miter/>
                      </a:ln>
                    </wps:spPr>
                    <wps:txbx>
                      <w:txbxContent>
                        <w:p>
                          <w:pPr>
                            <w:pStyle w:val="2"/>
                            <w:pBdr>
                              <w:top w:val="none" w:color="auto" w:sz="0" w:space="0"/>
                              <w:left w:val="none" w:color="auto" w:sz="0" w:space="0"/>
                              <w:bottom w:val="none" w:color="auto" w:sz="0" w:space="0"/>
                              <w:right w:val="none" w:color="auto" w:sz="0" w:space="0"/>
                            </w:pBdr>
                            <w:tabs>
                              <w:tab w:val="clear" w:pos="4153"/>
                              <w:tab w:val="clear" w:pos="8307"/>
                            </w:tabs>
                          </w:pPr>
                          <w:r>
                            <w:rPr>
                              <w:rStyle w:val="7"/>
                              <w:rFonts w:hint="eastAsia" w:ascii="仿宋_GB2312" w:eastAsia="仿宋_GB2312" w:cs="仿宋_GB2312"/>
                              <w:sz w:val="28"/>
                              <w:szCs w:val="28"/>
                            </w:rPr>
                            <w:fldChar w:fldCharType="begin"/>
                          </w:r>
                          <w:r>
                            <w:rPr>
                              <w:rStyle w:val="7"/>
                              <w:rFonts w:hint="eastAsia" w:ascii="仿宋_GB2312" w:eastAsia="仿宋_GB2312" w:cs="仿宋_GB2312"/>
                              <w:sz w:val="28"/>
                              <w:szCs w:val="28"/>
                            </w:rPr>
                            <w:instrText xml:space="preserve">Page</w:instrText>
                          </w:r>
                          <w:r>
                            <w:rPr>
                              <w:rFonts w:hint="eastAsia" w:ascii="仿宋_GB2312" w:eastAsia="仿宋_GB2312" w:cs="仿宋_GB2312"/>
                              <w:sz w:val="28"/>
                              <w:szCs w:val="28"/>
                            </w:rPr>
                            <w:fldChar w:fldCharType="separate"/>
                          </w:r>
                          <w:r>
                            <w:rPr>
                              <w:rStyle w:val="7"/>
                              <w:rFonts w:hint="eastAsia" w:ascii="仿宋_GB2312" w:eastAsia="仿宋_GB2312" w:cs="仿宋_GB2312"/>
                              <w:sz w:val="28"/>
                              <w:szCs w:val="28"/>
                            </w:rPr>
                            <w:t>1</w:t>
                          </w:r>
                          <w:r>
                            <w:rPr>
                              <w:rFonts w:hint="eastAsia" w:ascii="仿宋_GB2312" w:eastAsia="仿宋_GB2312" w:cs="仿宋_GB2312"/>
                              <w:sz w:val="28"/>
                              <w:szCs w:val="28"/>
                            </w:rPr>
                            <w:fldChar w:fldCharType="end"/>
                          </w:r>
                        </w:p>
                      </w:txbxContent>
                    </wps:txbx>
                    <wps:bodyPr vert="horz" wrap="none" lIns="0" tIns="0" rIns="0" bIns="0" anchor="t" anchorCtr="0" upright="1">
                      <a:spAutoFit/>
                    </wps:bodyPr>
                  </wps:wsp>
                </a:graphicData>
              </a:graphic>
            </wp:anchor>
          </w:drawing>
        </mc:Choice>
        <mc:Fallback>
          <w:pict>
            <v:rect id="文本框 1" o:spid="_x0000_s1026" o:spt="1" style="position:absolute;left:0pt;margin-top:0pt;height:18.15pt;width:35pt;mso-position-horizontal:outside;mso-position-horizontal-relative:margin;mso-wrap-style:none;z-index:251659264;mso-width-relative:page;mso-height-relative:page;" filled="f" stroked="f" coordsize="21600,21600" o:gfxdata="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tjwHC0QAAAAMBAAAPAAAAAAAAAAEAIAAAACIAAABkcnMvZG93bnJl&#10;di54bWxQSwECFAAUAAAACACHTuJA1bfl8QQCAAD0AwAADgAAAAAAAAABACAAAAAgAQAAZHJzL2Uy&#10;b0RvYy54bWxQSwUGAAAAAAYABgBZAQAAlgUAAAAA&#10;">
              <v:fill on="f" focussize="0,0"/>
              <v:stroke on="f" joinstyle="miter"/>
              <v:imagedata o:title=""/>
              <o:lock v:ext="edit" aspectratio="f"/>
              <v:textbox inset="0mm,0mm,0mm,0mm" style="mso-fit-shape-to-text:t;">
                <w:txbxContent>
                  <w:p>
                    <w:pPr>
                      <w:pStyle w:val="2"/>
                      <w:pBdr>
                        <w:top w:val="none" w:color="auto" w:sz="0" w:space="0"/>
                        <w:left w:val="none" w:color="auto" w:sz="0" w:space="0"/>
                        <w:bottom w:val="none" w:color="auto" w:sz="0" w:space="0"/>
                        <w:right w:val="none" w:color="auto" w:sz="0" w:space="0"/>
                      </w:pBdr>
                      <w:tabs>
                        <w:tab w:val="clear" w:pos="4153"/>
                        <w:tab w:val="clear" w:pos="8307"/>
                      </w:tabs>
                    </w:pPr>
                    <w:r>
                      <w:rPr>
                        <w:rStyle w:val="7"/>
                        <w:rFonts w:hint="eastAsia" w:ascii="仿宋_GB2312" w:eastAsia="仿宋_GB2312" w:cs="仿宋_GB2312"/>
                        <w:sz w:val="28"/>
                        <w:szCs w:val="28"/>
                      </w:rPr>
                      <w:fldChar w:fldCharType="begin"/>
                    </w:r>
                    <w:r>
                      <w:rPr>
                        <w:rStyle w:val="7"/>
                        <w:rFonts w:hint="eastAsia" w:ascii="仿宋_GB2312" w:eastAsia="仿宋_GB2312" w:cs="仿宋_GB2312"/>
                        <w:sz w:val="28"/>
                        <w:szCs w:val="28"/>
                      </w:rPr>
                      <w:instrText xml:space="preserve">Page</w:instrText>
                    </w:r>
                    <w:r>
                      <w:rPr>
                        <w:rFonts w:hint="eastAsia" w:ascii="仿宋_GB2312" w:eastAsia="仿宋_GB2312" w:cs="仿宋_GB2312"/>
                        <w:sz w:val="28"/>
                        <w:szCs w:val="28"/>
                      </w:rPr>
                      <w:fldChar w:fldCharType="separate"/>
                    </w:r>
                    <w:r>
                      <w:rPr>
                        <w:rStyle w:val="7"/>
                        <w:rFonts w:hint="eastAsia" w:ascii="仿宋_GB2312" w:eastAsia="仿宋_GB2312" w:cs="仿宋_GB2312"/>
                        <w:sz w:val="28"/>
                        <w:szCs w:val="28"/>
                      </w:rPr>
                      <w:t>1</w:t>
                    </w:r>
                    <w:r>
                      <w:rPr>
                        <w:rFonts w:hint="eastAsia" w:ascii="仿宋_GB2312" w:eastAsia="仿宋_GB2312" w:cs="仿宋_GB2312"/>
                        <w:sz w:val="28"/>
                        <w:szCs w:val="2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pBdr>
        <w:top w:val="none" w:color="auto" w:sz="0" w:space="0"/>
        <w:left w:val="none" w:color="auto" w:sz="0" w:space="0"/>
        <w:bottom w:val="none" w:color="auto" w:sz="0" w:space="0"/>
        <w:right w:val="none" w:color="auto" w:sz="0" w:space="0"/>
      </w:pBdr>
      <w:tabs>
        <w:tab w:val="clear" w:pos="4153"/>
        <w:tab w:val="clear" w:pos="8307"/>
      </w:tabs>
    </w:pPr>
    <w:r>
      <w:rPr>
        <w:rStyle w:val="7"/>
      </w:rPr>
      <w:fldChar w:fldCharType="begin"/>
    </w:r>
    <w:r>
      <w:rPr>
        <w:rStyle w:val="7"/>
      </w:rPr>
      <w:instrText xml:space="preserve">Page</w:instrText>
    </w:r>
    <w:r>
      <w:fldChar w:fldCharType="separate"/>
    </w:r>
    <w:r>
      <w:rPr>
        <w:rStyle w:val="7"/>
      </w:rPr>
      <w:t>1</w:t>
    </w:r>
    <w:r>
      <w:fldChar w:fldCharType="end"/>
    </w:r>
  </w:p>
  <w:p>
    <w:pPr>
      <w:pStyle w:val="2"/>
      <w:tabs>
        <w:tab w:val="clear" w:pos="4153"/>
        <w:tab w:val="clear" w:pos="8307"/>
      </w:tabs>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8592D"/>
    <w:multiLevelType w:val="singleLevel"/>
    <w:tmpl w:val="DDC8592D"/>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docVars>
    <w:docVar w:name="commondata" w:val="eyJoZGlkIjoiYWE4OGU2YWFiMTQ0Nzk0NzgzZmQ5ZmMwNGY1MDgwYmEifQ=="/>
  </w:docVars>
  <w:rsids>
    <w:rsidRoot w:val="00000000"/>
    <w:rsid w:val="02F13111"/>
    <w:rsid w:val="08586EA1"/>
    <w:rsid w:val="12322C67"/>
    <w:rsid w:val="15A47E4F"/>
    <w:rsid w:val="15B36048"/>
    <w:rsid w:val="15B841EB"/>
    <w:rsid w:val="1DB37183"/>
    <w:rsid w:val="20340E6A"/>
    <w:rsid w:val="213758DA"/>
    <w:rsid w:val="21683E9C"/>
    <w:rsid w:val="24A0493A"/>
    <w:rsid w:val="26D57482"/>
    <w:rsid w:val="2A3B0510"/>
    <w:rsid w:val="3C3836B6"/>
    <w:rsid w:val="3E54342B"/>
    <w:rsid w:val="3F566811"/>
    <w:rsid w:val="427D5E63"/>
    <w:rsid w:val="46225F0C"/>
    <w:rsid w:val="4BE03706"/>
    <w:rsid w:val="4ECF6098"/>
    <w:rsid w:val="4F01057A"/>
    <w:rsid w:val="599A5870"/>
    <w:rsid w:val="5B7A3A39"/>
    <w:rsid w:val="67225C4D"/>
    <w:rsid w:val="6BFB61D1"/>
    <w:rsid w:val="6F7B39FC"/>
    <w:rsid w:val="74E361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7"/>
      </w:tabs>
      <w:snapToGrid w:val="0"/>
      <w:jc w:val="left"/>
    </w:pPr>
    <w:rPr>
      <w:sz w:val="18"/>
    </w:rPr>
  </w:style>
  <w:style w:type="paragraph" w:styleId="3">
    <w:name w:val="header"/>
    <w:basedOn w:val="1"/>
    <w:autoRedefine/>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page number"/>
    <w:basedOn w:val="6"/>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Microsoft</Company>
  <Pages>8</Pages>
  <Words>3339</Words>
  <Characters>3566</Characters>
  <Lines>40</Lines>
  <Paragraphs>10</Paragraphs>
  <TotalTime>85</TotalTime>
  <ScaleCrop>false</ScaleCrop>
  <LinksUpToDate>false</LinksUpToDate>
  <CharactersWithSpaces>3657</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2014-08-13T00:33:00Z</dcterms:created>
  <dc:creator>毛翠英</dc:creator>
  <cp:lastModifiedBy>雨中的飞翔</cp:lastModifiedBy>
  <cp:lastPrinted>2024-03-14T04:01:48Z</cp:lastPrinted>
  <dcterms:modified xsi:type="dcterms:W3CDTF">2024-03-14T04:05:02Z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 S O P r o d u c t">
    <vt:lpwstr>2052-10.1.0.7698</vt:lpwstr>
  </property>
  <property fmtid="{D5CDD505-2E9C-101B-9397-08002B2CF9AE}" pid="3" name="KSOProductBuildVer">
    <vt:lpwstr>2052-12.1.0.16388</vt:lpwstr>
  </property>
  <property fmtid="{D5CDD505-2E9C-101B-9397-08002B2CF9AE}" pid="4" name="ICV">
    <vt:lpwstr>8189B859E0B54BF3BB27CA0C71CDC478_13</vt:lpwstr>
  </property>
</Properties>
</file>