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47F5">
      <w:pPr>
        <w:spacing w:line="560" w:lineRule="exact"/>
        <w:jc w:val="center"/>
        <w:rPr>
          <w:rStyle w:val="13"/>
          <w:rFonts w:ascii="方正小标宋简体" w:hAnsi="Calibri" w:eastAsia="方正小标宋简体" w:cs="Times New Roman"/>
          <w:b w:val="0"/>
          <w:bCs w:val="0"/>
        </w:rPr>
      </w:pPr>
      <w:r>
        <w:rPr>
          <w:rStyle w:val="13"/>
          <w:rFonts w:hint="eastAsia" w:ascii="方正小标宋简体" w:eastAsia="方正小标宋简体" w:cs="方正小标宋简体"/>
          <w:b w:val="0"/>
          <w:bCs w:val="0"/>
        </w:rPr>
        <w:t>民乐县疾病预防控制中心</w:t>
      </w:r>
    </w:p>
    <w:p w14:paraId="4BE71FBC">
      <w:pPr>
        <w:spacing w:line="560" w:lineRule="exact"/>
        <w:jc w:val="center"/>
        <w:rPr>
          <w:rStyle w:val="13"/>
          <w:rFonts w:ascii="方正小标宋简体" w:hAnsi="Calibri" w:eastAsia="方正小标宋简体" w:cs="Times New Roman"/>
          <w:b w:val="0"/>
          <w:bCs w:val="0"/>
        </w:rPr>
      </w:pPr>
      <w:r>
        <w:rPr>
          <w:rStyle w:val="13"/>
          <w:rFonts w:ascii="方正小标宋简体" w:eastAsia="方正小标宋简体" w:cs="方正小标宋简体"/>
          <w:b w:val="0"/>
          <w:bCs w:val="0"/>
        </w:rPr>
        <w:t>202</w:t>
      </w:r>
      <w:r>
        <w:rPr>
          <w:rStyle w:val="13"/>
          <w:rFonts w:hint="eastAsia" w:ascii="方正小标宋简体" w:eastAsia="方正小标宋简体" w:cs="方正小标宋简体"/>
          <w:b w:val="0"/>
          <w:bCs w:val="0"/>
          <w:lang w:val="en-US" w:eastAsia="zh-CN"/>
        </w:rPr>
        <w:t>4</w:t>
      </w:r>
      <w:r>
        <w:rPr>
          <w:rStyle w:val="13"/>
          <w:rFonts w:hint="eastAsia" w:ascii="方正小标宋简体" w:eastAsia="方正小标宋简体" w:cs="方正小标宋简体"/>
          <w:b w:val="0"/>
          <w:bCs w:val="0"/>
        </w:rPr>
        <w:t>年度预算执行情况单位自评报告</w:t>
      </w:r>
    </w:p>
    <w:p w14:paraId="5ACFA123">
      <w:pPr>
        <w:spacing w:line="560" w:lineRule="exact"/>
        <w:ind w:firstLine="640" w:firstLineChars="200"/>
        <w:rPr>
          <w:rFonts w:ascii="黑体" w:hAnsi="宋体" w:eastAsia="黑体" w:cs="Times New Roman"/>
          <w:color w:val="000000"/>
          <w:kern w:val="0"/>
          <w:sz w:val="32"/>
          <w:szCs w:val="32"/>
        </w:rPr>
      </w:pPr>
    </w:p>
    <w:p w14:paraId="4BA8065A">
      <w:pPr>
        <w:pStyle w:val="7"/>
        <w:widowControl/>
        <w:shd w:val="clear" w:color="auto" w:fill="FFFFFF"/>
        <w:spacing w:beforeAutospacing="0" w:afterAutospacing="0" w:line="560" w:lineRule="exact"/>
        <w:ind w:left="130" w:firstLine="527"/>
        <w:jc w:val="both"/>
        <w:rPr>
          <w:rFonts w:ascii="仿宋" w:hAnsi="仿宋" w:eastAsia="仿宋" w:cs="Times New Roman"/>
          <w:color w:val="000000"/>
          <w:sz w:val="32"/>
          <w:szCs w:val="32"/>
        </w:rPr>
      </w:pPr>
      <w:r>
        <w:rPr>
          <w:rFonts w:hint="eastAsia" w:ascii="仿宋" w:hAnsi="仿宋" w:eastAsia="仿宋" w:cs="仿宋"/>
          <w:color w:val="000000"/>
          <w:sz w:val="32"/>
          <w:szCs w:val="32"/>
          <w:shd w:val="clear" w:color="auto" w:fill="FFFFFF"/>
        </w:rPr>
        <w:t>根据《民乐县财政局关于开展</w:t>
      </w: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年度县级预算执行情况绩效单位自评暨</w:t>
      </w: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年度绩效目标申报和事前绩效评估工作的通知》文件精神，按照“统一组织、分级实施”的原则，我中心认真组织开展</w:t>
      </w: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年度项目绩效自评工作，切实提高财政资金的使用效益。</w:t>
      </w:r>
    </w:p>
    <w:p w14:paraId="1D7B1B41">
      <w:pPr>
        <w:spacing w:line="560" w:lineRule="exac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　　一、基本情况</w:t>
      </w:r>
    </w:p>
    <w:p w14:paraId="0F463964">
      <w:pPr>
        <w:spacing w:line="560" w:lineRule="exact"/>
        <w:ind w:firstLine="643" w:firstLineChars="200"/>
        <w:rPr>
          <w:rFonts w:ascii="楷体_GB2312"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（一）部门主要职能</w:t>
      </w:r>
    </w:p>
    <w:p w14:paraId="4F67805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县</w:t>
      </w:r>
      <w:r>
        <w:rPr>
          <w:rFonts w:hint="eastAsia" w:ascii="仿宋_GB2312" w:eastAsia="仿宋_GB2312"/>
          <w:sz w:val="32"/>
          <w:szCs w:val="32"/>
        </w:rPr>
        <w:t>疾控中心(县卫生监督所)贯彻落实党中央、 省委、市委、县委关于疾病预防控制工作的方针政策和决策部署，在履行职责过程中坚持党对疾病预防控制工作的集中统一领导。主要职责是：</w:t>
      </w:r>
    </w:p>
    <w:p w14:paraId="7955BA2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（一）负责拟订实施全县疾病预防控制规划、方案，完成国家、省、市、县下达的重大疾病预防控制指令性任务。 </w:t>
      </w:r>
    </w:p>
    <w:p w14:paraId="13CE110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（二）负责全县疫情信息收集与上报、流行病学调查、隔离防控等疫情防控日常工作；负责对全县重大突发公共卫生事件开展危险因素调查与危害评估并实施控制措施。</w:t>
      </w:r>
    </w:p>
    <w:p w14:paraId="023ACF6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（三）负责建立完善全县传染病监测预警体系，开展传染性、食源性、职业性、放射性、环境性等方面的疾病监测评价和流行病学调查，对传染病发生和流行趋势进行预测预警。 </w:t>
      </w:r>
    </w:p>
    <w:p w14:paraId="2B9869A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（四）负责拟订实施全县免疫规划，指导预防接种体系建设；组织实施并指导全县疫苗预防接种工作；承担全县预防性生物制品管理和监督检查等工作。 </w:t>
      </w:r>
    </w:p>
    <w:p w14:paraId="7C32618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（五）负责全县常见病原微生物、常见毒物、污染物及卫生监督执法相关检验检测工作，开展全县疾病预防控制相关检验检测工作的质量控制；开展预防性健康检查。 </w:t>
      </w:r>
    </w:p>
    <w:p w14:paraId="6A8801B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（六）承担全县传染性疾病、慢性非传染性疾病、地方病、学生常见病、病媒生物传播疾病等相关疾病的预防控制工作，落实重大传染病预防控制措施；负责全县鼠疫防控工作，开展鼠疫疫情交通检疫工作。  </w:t>
      </w:r>
    </w:p>
    <w:p w14:paraId="456D0B2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承担县辖区公共卫生、医疗卫生、职业卫生、放射卫生等卫生健康综合监督执法工作；开展全县卫生健康监督执法稽查、大案要案查办、业务指导和培训考核工作；承担全县卫生健康综合执法监督抽检以及有关举报投诉信访事项的调查处理工作。</w:t>
      </w:r>
    </w:p>
    <w:p w14:paraId="33DAAE3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（八）承担疾病预防控制健康教育与健康促进工作，普及疾病预防控制知识；开展公众健康素养监测评价，协同有关部门组织实施不良健康行为干预策略与措施。 </w:t>
      </w:r>
    </w:p>
    <w:p w14:paraId="4F9F7B0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（九）承担全县卫生与疾病预防控制应用性研究和卫生评价工作，提供社会公共卫生技术服务。 </w:t>
      </w:r>
    </w:p>
    <w:p w14:paraId="7A2448E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（十）完成县卫生健康局(县疾控局)交办的其他任务。</w:t>
      </w:r>
    </w:p>
    <w:p w14:paraId="7A6312FE">
      <w:pPr>
        <w:widowControl/>
        <w:shd w:val="clear" w:color="auto" w:fill="FFFFFF"/>
        <w:spacing w:line="560" w:lineRule="exact"/>
        <w:ind w:firstLine="645"/>
        <w:rPr>
          <w:rFonts w:ascii="微软雅黑" w:eastAsia="微软雅黑" w:cs="Times New Roman"/>
          <w:b/>
          <w:bCs/>
          <w:color w:val="666666"/>
          <w:kern w:val="0"/>
          <w:sz w:val="23"/>
          <w:szCs w:val="23"/>
        </w:rPr>
      </w:pPr>
      <w:r>
        <w:rPr>
          <w:rFonts w:hint="eastAsia" w:ascii="楷体_GB2312" w:hAnsi="微软雅黑" w:eastAsia="楷体_GB2312" w:cs="楷体_GB2312"/>
          <w:b/>
          <w:bCs/>
          <w:color w:val="000000"/>
          <w:kern w:val="0"/>
          <w:sz w:val="32"/>
          <w:szCs w:val="32"/>
        </w:rPr>
        <w:t>（二）机构设置</w:t>
      </w:r>
    </w:p>
    <w:p w14:paraId="5C9FBCA6">
      <w:pPr>
        <w:spacing w:line="560" w:lineRule="exact"/>
        <w:ind w:firstLine="640" w:firstLineChars="200"/>
        <w:rPr>
          <w:rFonts w:hint="eastAsia" w:ascii="仿宋" w:hAnsi="仿宋" w:eastAsia="仿宋" w:cs="仿宋"/>
          <w:b w:val="0"/>
          <w:bCs/>
          <w:sz w:val="32"/>
          <w:szCs w:val="32"/>
        </w:rPr>
      </w:pPr>
      <w:r>
        <w:rPr>
          <w:rFonts w:hint="eastAsia" w:ascii="仿宋_GB2312" w:eastAsia="仿宋_GB2312"/>
          <w:sz w:val="32"/>
          <w:szCs w:val="32"/>
          <w:lang w:val="en-US" w:eastAsia="zh-CN"/>
        </w:rPr>
        <w:t>县疾</w:t>
      </w:r>
      <w:r>
        <w:rPr>
          <w:rFonts w:hint="eastAsia" w:ascii="仿宋_GB2312" w:eastAsia="仿宋_GB2312"/>
          <w:sz w:val="32"/>
          <w:szCs w:val="32"/>
        </w:rPr>
        <w:t>控中心(县卫生监督所)设下列内设机构</w:t>
      </w:r>
      <w:r>
        <w:rPr>
          <w:rFonts w:hint="eastAsia" w:ascii="仿宋_GB2312" w:eastAsia="仿宋_GB2312"/>
          <w:sz w:val="32"/>
          <w:szCs w:val="32"/>
          <w:lang w:eastAsia="zh-CN"/>
        </w:rPr>
        <w:t>：</w:t>
      </w:r>
      <w:r>
        <w:rPr>
          <w:rFonts w:hint="eastAsia" w:ascii="仿宋" w:hAnsi="仿宋" w:eastAsia="仿宋" w:cs="仿宋"/>
          <w:b w:val="0"/>
          <w:bCs/>
          <w:sz w:val="32"/>
          <w:szCs w:val="32"/>
        </w:rPr>
        <w:t>综合办公室</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规划财务股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传染病预防控制股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医疗卫生监督监测股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免疫规划股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检验检测股(生物安全监督股)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职业卫生与放射卫生监督监测股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结核病与艾滋病性病预防控制股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公共卫生安全监督监测股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地方病慢性病预防控制股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健康体检股(综合门诊部)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 xml:space="preserve"> </w:t>
      </w:r>
    </w:p>
    <w:p w14:paraId="3BEB8377">
      <w:pPr>
        <w:spacing w:line="560" w:lineRule="exact"/>
        <w:ind w:firstLine="640" w:firstLineChars="200"/>
        <w:rPr>
          <w:rStyle w:val="16"/>
          <w:rFonts w:hint="default" w:eastAsia="黑体"/>
          <w:lang w:val="en-US" w:eastAsia="zh-CN"/>
        </w:rPr>
      </w:pPr>
      <w:r>
        <w:rPr>
          <w:rStyle w:val="15"/>
          <w:rFonts w:hint="eastAsia"/>
        </w:rPr>
        <w:t>二、绩效自评工作组织开展情况</w:t>
      </w:r>
      <w:r>
        <w:rPr>
          <w:rStyle w:val="16"/>
          <w:rFonts w:eastAsia="黑体"/>
        </w:rPr>
        <w:t xml:space="preserve"> </w:t>
      </w:r>
      <w:r>
        <w:rPr>
          <w:rStyle w:val="16"/>
          <w:rFonts w:hint="eastAsia" w:eastAsia="黑体"/>
          <w:lang w:val="en-US" w:eastAsia="zh-CN"/>
        </w:rPr>
        <w:t xml:space="preserve">   </w:t>
      </w:r>
    </w:p>
    <w:p w14:paraId="53AA892E">
      <w:pPr>
        <w:pStyle w:val="7"/>
        <w:widowControl/>
        <w:shd w:val="clear" w:color="auto" w:fill="FFFFFF"/>
        <w:spacing w:beforeAutospacing="0" w:afterAutospacing="0" w:line="560" w:lineRule="exact"/>
        <w:ind w:left="130" w:firstLine="527"/>
        <w:jc w:val="both"/>
        <w:rPr>
          <w:rFonts w:ascii="仿宋" w:hAnsi="仿宋" w:eastAsia="仿宋" w:cs="Times New Roman"/>
          <w:color w:val="000000"/>
          <w:sz w:val="32"/>
          <w:szCs w:val="32"/>
        </w:rPr>
      </w:pPr>
      <w:r>
        <w:rPr>
          <w:rFonts w:hint="eastAsia" w:ascii="楷体_GB2312" w:hAnsi="仿宋" w:eastAsia="楷体_GB2312" w:cs="楷体_GB2312"/>
          <w:b/>
          <w:bCs/>
          <w:color w:val="000000"/>
          <w:sz w:val="32"/>
          <w:szCs w:val="32"/>
          <w:shd w:val="clear" w:color="auto" w:fill="FFFFFF"/>
        </w:rPr>
        <w:t>一是高度重视，明确职责。</w:t>
      </w:r>
      <w:r>
        <w:rPr>
          <w:rFonts w:hint="eastAsia" w:ascii="仿宋" w:hAnsi="仿宋" w:eastAsia="仿宋" w:cs="仿宋"/>
          <w:color w:val="000000"/>
          <w:sz w:val="32"/>
          <w:szCs w:val="32"/>
          <w:shd w:val="clear" w:color="auto" w:fill="FFFFFF"/>
        </w:rPr>
        <w:t>我单位及时召开</w:t>
      </w: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度整体</w:t>
      </w:r>
      <w:r>
        <w:rPr>
          <w:rFonts w:hint="eastAsia" w:ascii="仿宋" w:hAnsi="仿宋" w:eastAsia="仿宋" w:cs="仿宋"/>
          <w:color w:val="000000"/>
          <w:sz w:val="32"/>
          <w:szCs w:val="32"/>
          <w:shd w:val="clear" w:color="auto" w:fill="FFFFFF"/>
        </w:rPr>
        <w:t>支出绩效自评工作布置会议，由中心主演负责人主持，各股室负责人参加，重点强调预算绩效管理工作的重要性和必要性，明确各项目绩效自评工作的股室，确保自评工作有序、有效开展。</w:t>
      </w:r>
    </w:p>
    <w:p w14:paraId="5B9EE97A">
      <w:pPr>
        <w:pStyle w:val="7"/>
        <w:widowControl/>
        <w:shd w:val="clear" w:color="auto" w:fill="FFFFFF"/>
        <w:spacing w:beforeAutospacing="0" w:afterAutospacing="0" w:line="560" w:lineRule="exact"/>
        <w:ind w:left="130" w:firstLine="527"/>
        <w:jc w:val="both"/>
        <w:rPr>
          <w:rFonts w:ascii="仿宋" w:hAnsi="仿宋" w:eastAsia="仿宋" w:cs="Times New Roman"/>
          <w:color w:val="000000"/>
          <w:sz w:val="32"/>
          <w:szCs w:val="32"/>
          <w:shd w:val="clear" w:color="auto" w:fill="FFFFFF"/>
        </w:rPr>
      </w:pPr>
      <w:r>
        <w:rPr>
          <w:rFonts w:hint="eastAsia" w:ascii="楷体_GB2312" w:hAnsi="仿宋" w:eastAsia="楷体_GB2312" w:cs="楷体_GB2312"/>
          <w:b/>
          <w:bCs/>
          <w:color w:val="000000"/>
          <w:sz w:val="32"/>
          <w:szCs w:val="32"/>
          <w:shd w:val="clear" w:color="auto" w:fill="FFFFFF"/>
        </w:rPr>
        <w:t>二是全面实施，有序开展。</w:t>
      </w:r>
      <w:r>
        <w:rPr>
          <w:rFonts w:hint="eastAsia" w:ascii="仿宋" w:hAnsi="仿宋" w:eastAsia="仿宋" w:cs="仿宋"/>
          <w:color w:val="000000"/>
          <w:sz w:val="32"/>
          <w:szCs w:val="32"/>
          <w:shd w:val="clear" w:color="auto" w:fill="FFFFFF"/>
        </w:rPr>
        <w:t>中心内设机构</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个全部纳入绩效评价，项目资金全部执行完毕，项目内容检验检测、公卫生、重大传染病控制等方面。根据项目的产出数量、质量、时效、成本，以及经济效益、社会效益、生态效益、可持续影响、服务对象满意度等。设定评价指标，预算执行率和一级指标权重统一设置为：预算执行率</w:t>
      </w:r>
      <w:r>
        <w:rPr>
          <w:rFonts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rPr>
        <w:t>分、产出指标</w:t>
      </w:r>
      <w:r>
        <w:rPr>
          <w:rFonts w:ascii="仿宋" w:hAnsi="仿宋" w:eastAsia="仿宋" w:cs="仿宋"/>
          <w:color w:val="000000"/>
          <w:sz w:val="32"/>
          <w:szCs w:val="32"/>
          <w:shd w:val="clear" w:color="auto" w:fill="FFFFFF"/>
        </w:rPr>
        <w:t>50</w:t>
      </w:r>
      <w:r>
        <w:rPr>
          <w:rFonts w:hint="eastAsia" w:ascii="仿宋" w:hAnsi="仿宋" w:eastAsia="仿宋" w:cs="仿宋"/>
          <w:color w:val="000000"/>
          <w:sz w:val="32"/>
          <w:szCs w:val="32"/>
          <w:shd w:val="clear" w:color="auto" w:fill="FFFFFF"/>
        </w:rPr>
        <w:t>分、效益指标</w:t>
      </w:r>
      <w:r>
        <w:rPr>
          <w:rFonts w:ascii="仿宋" w:hAnsi="仿宋" w:eastAsia="仿宋" w:cs="仿宋"/>
          <w:color w:val="000000"/>
          <w:sz w:val="32"/>
          <w:szCs w:val="32"/>
          <w:shd w:val="clear" w:color="auto" w:fill="FFFFFF"/>
        </w:rPr>
        <w:t>30</w:t>
      </w:r>
      <w:r>
        <w:rPr>
          <w:rFonts w:hint="eastAsia" w:ascii="仿宋" w:hAnsi="仿宋" w:eastAsia="仿宋" w:cs="仿宋"/>
          <w:color w:val="000000"/>
          <w:sz w:val="32"/>
          <w:szCs w:val="32"/>
          <w:shd w:val="clear" w:color="auto" w:fill="FFFFFF"/>
        </w:rPr>
        <w:t>分、服务对象满意度指标</w:t>
      </w:r>
      <w:r>
        <w:rPr>
          <w:rFonts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rPr>
        <w:t>分。</w:t>
      </w:r>
    </w:p>
    <w:p w14:paraId="328A6C24">
      <w:pPr>
        <w:spacing w:line="560" w:lineRule="exact"/>
        <w:ind w:firstLine="640" w:firstLineChars="200"/>
        <w:rPr>
          <w:rStyle w:val="16"/>
          <w:rFonts w:eastAsia="黑体"/>
        </w:rPr>
      </w:pPr>
      <w:r>
        <w:rPr>
          <w:rStyle w:val="15"/>
          <w:rFonts w:hint="eastAsia"/>
        </w:rPr>
        <w:t>三、部门整体支出绩效自评情况分析</w:t>
      </w:r>
      <w:r>
        <w:rPr>
          <w:rStyle w:val="16"/>
          <w:rFonts w:eastAsia="黑体"/>
        </w:rPr>
        <w:t xml:space="preserve"> </w:t>
      </w:r>
    </w:p>
    <w:p w14:paraId="6C06363E">
      <w:pPr>
        <w:spacing w:line="560" w:lineRule="exact"/>
        <w:ind w:firstLine="643" w:firstLineChars="200"/>
        <w:rPr>
          <w:rFonts w:ascii="楷体_GB2312"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（一）部门决算情况</w:t>
      </w:r>
    </w:p>
    <w:p w14:paraId="6BF4AEC2">
      <w:pPr>
        <w:spacing w:line="560" w:lineRule="exact"/>
        <w:ind w:firstLine="640" w:firstLineChars="200"/>
        <w:rPr>
          <w:rFonts w:ascii="仿宋_GB2312" w:eastAsia="仿宋_GB2312" w:cs="Times New Roman"/>
          <w:b/>
          <w:bCs/>
          <w:color w:val="000000"/>
          <w:kern w:val="0"/>
          <w:sz w:val="32"/>
          <w:szCs w:val="32"/>
        </w:rPr>
      </w:pPr>
      <w:r>
        <w:rPr>
          <w:rFonts w:hint="eastAsia" w:ascii="仿宋_GB2312" w:hAnsi="Segoe UI" w:eastAsia="仿宋_GB2312" w:cs="仿宋_GB2312"/>
          <w:color w:val="171A1D"/>
          <w:sz w:val="32"/>
          <w:szCs w:val="32"/>
          <w:shd w:val="clear" w:color="auto" w:fill="FFFFFF"/>
        </w:rPr>
        <w:t>本部门</w:t>
      </w:r>
      <w:r>
        <w:rPr>
          <w:rFonts w:ascii="仿宋_GB2312" w:hAnsi="Segoe UI" w:eastAsia="仿宋_GB2312" w:cs="仿宋_GB2312"/>
          <w:color w:val="171A1D"/>
          <w:sz w:val="32"/>
          <w:szCs w:val="32"/>
          <w:shd w:val="clear" w:color="auto" w:fill="FFFFFF"/>
        </w:rPr>
        <w:t>202</w:t>
      </w:r>
      <w:r>
        <w:rPr>
          <w:rFonts w:hint="eastAsia" w:ascii="仿宋_GB2312" w:hAnsi="Segoe UI" w:eastAsia="仿宋_GB2312" w:cs="仿宋_GB2312"/>
          <w:color w:val="171A1D"/>
          <w:sz w:val="32"/>
          <w:szCs w:val="32"/>
          <w:shd w:val="clear" w:color="auto" w:fill="FFFFFF"/>
          <w:lang w:val="en-US" w:eastAsia="zh-CN"/>
        </w:rPr>
        <w:t>4</w:t>
      </w:r>
      <w:r>
        <w:rPr>
          <w:rFonts w:hint="eastAsia" w:ascii="仿宋_GB2312" w:hAnsi="Segoe UI" w:eastAsia="仿宋_GB2312" w:cs="仿宋_GB2312"/>
          <w:color w:val="171A1D"/>
          <w:sz w:val="32"/>
          <w:szCs w:val="32"/>
          <w:shd w:val="clear" w:color="auto" w:fill="FFFFFF"/>
        </w:rPr>
        <w:t>年度收入总计</w:t>
      </w:r>
      <w:r>
        <w:rPr>
          <w:rFonts w:hint="eastAsia" w:ascii="仿宋_GB2312" w:hAnsi="Segoe UI" w:eastAsia="仿宋_GB2312" w:cs="仿宋_GB2312"/>
          <w:color w:val="171A1D"/>
          <w:sz w:val="32"/>
          <w:szCs w:val="32"/>
          <w:shd w:val="clear" w:color="auto" w:fill="FFFFFF"/>
          <w:lang w:val="en-US" w:eastAsia="zh-CN"/>
        </w:rPr>
        <w:t>1075.38</w:t>
      </w:r>
      <w:r>
        <w:rPr>
          <w:rFonts w:hint="eastAsia" w:ascii="仿宋_GB2312" w:hAnsi="Segoe UI" w:eastAsia="仿宋_GB2312" w:cs="仿宋_GB2312"/>
          <w:color w:val="171A1D"/>
          <w:sz w:val="32"/>
          <w:szCs w:val="32"/>
          <w:shd w:val="clear" w:color="auto" w:fill="FFFFFF"/>
        </w:rPr>
        <w:t>万元，支出总计</w:t>
      </w:r>
      <w:r>
        <w:rPr>
          <w:rFonts w:hint="eastAsia" w:ascii="仿宋_GB2312" w:hAnsi="Segoe UI" w:eastAsia="仿宋_GB2312" w:cs="仿宋_GB2312"/>
          <w:color w:val="171A1D"/>
          <w:sz w:val="32"/>
          <w:szCs w:val="32"/>
          <w:shd w:val="clear" w:color="auto" w:fill="FFFFFF"/>
          <w:lang w:val="en-US" w:eastAsia="zh-CN"/>
        </w:rPr>
        <w:t>1075.38</w:t>
      </w:r>
      <w:r>
        <w:rPr>
          <w:rFonts w:hint="eastAsia" w:ascii="仿宋_GB2312" w:hAnsi="Segoe UI" w:eastAsia="仿宋_GB2312" w:cs="仿宋_GB2312"/>
          <w:color w:val="171A1D"/>
          <w:sz w:val="32"/>
          <w:szCs w:val="32"/>
          <w:shd w:val="clear" w:color="auto" w:fill="FFFFFF"/>
        </w:rPr>
        <w:t>万元。与</w:t>
      </w:r>
      <w:r>
        <w:rPr>
          <w:rFonts w:ascii="仿宋_GB2312" w:hAnsi="Segoe UI" w:eastAsia="仿宋_GB2312" w:cs="仿宋_GB2312"/>
          <w:color w:val="171A1D"/>
          <w:sz w:val="32"/>
          <w:szCs w:val="32"/>
          <w:shd w:val="clear" w:color="auto" w:fill="FFFFFF"/>
        </w:rPr>
        <w:t>202</w:t>
      </w:r>
      <w:r>
        <w:rPr>
          <w:rFonts w:hint="eastAsia" w:ascii="仿宋_GB2312" w:hAnsi="Segoe UI" w:eastAsia="仿宋_GB2312" w:cs="仿宋_GB2312"/>
          <w:color w:val="171A1D"/>
          <w:sz w:val="32"/>
          <w:szCs w:val="32"/>
          <w:shd w:val="clear" w:color="auto" w:fill="FFFFFF"/>
          <w:lang w:val="en-US" w:eastAsia="zh-CN"/>
        </w:rPr>
        <w:t>3</w:t>
      </w:r>
      <w:r>
        <w:rPr>
          <w:rFonts w:hint="eastAsia" w:ascii="仿宋_GB2312" w:hAnsi="Segoe UI" w:eastAsia="仿宋_GB2312" w:cs="仿宋_GB2312"/>
          <w:color w:val="171A1D"/>
          <w:sz w:val="32"/>
          <w:szCs w:val="32"/>
          <w:shd w:val="clear" w:color="auto" w:fill="FFFFFF"/>
        </w:rPr>
        <w:t>年决算数相比，收入</w:t>
      </w:r>
      <w:r>
        <w:rPr>
          <w:rFonts w:hint="eastAsia" w:ascii="仿宋_GB2312" w:hAnsi="Segoe UI" w:eastAsia="仿宋_GB2312" w:cs="仿宋_GB2312"/>
          <w:color w:val="171A1D"/>
          <w:sz w:val="32"/>
          <w:szCs w:val="32"/>
          <w:shd w:val="clear" w:color="auto" w:fill="FFFFFF"/>
          <w:lang w:eastAsia="zh-CN"/>
        </w:rPr>
        <w:t>、</w:t>
      </w:r>
      <w:r>
        <w:rPr>
          <w:rFonts w:hint="eastAsia" w:ascii="仿宋_GB2312" w:hAnsi="Segoe UI" w:eastAsia="仿宋_GB2312" w:cs="仿宋_GB2312"/>
          <w:color w:val="171A1D"/>
          <w:sz w:val="32"/>
          <w:szCs w:val="32"/>
          <w:shd w:val="clear" w:color="auto" w:fill="FFFFFF"/>
          <w:lang w:val="en-US" w:eastAsia="zh-CN"/>
        </w:rPr>
        <w:t>支出各增加410.92</w:t>
      </w:r>
      <w:r>
        <w:rPr>
          <w:rFonts w:hint="eastAsia" w:ascii="仿宋_GB2312" w:hAnsi="Segoe UI" w:eastAsia="仿宋_GB2312" w:cs="仿宋_GB2312"/>
          <w:color w:val="171A1D"/>
          <w:sz w:val="32"/>
          <w:szCs w:val="32"/>
          <w:shd w:val="clear" w:color="auto" w:fill="FFFFFF"/>
        </w:rPr>
        <w:t>万元、</w:t>
      </w:r>
      <w:r>
        <w:rPr>
          <w:rFonts w:hint="eastAsia" w:ascii="仿宋_GB2312" w:hAnsi="Segoe UI" w:eastAsia="仿宋_GB2312" w:cs="仿宋_GB2312"/>
          <w:color w:val="171A1D"/>
          <w:sz w:val="32"/>
          <w:szCs w:val="32"/>
          <w:shd w:val="clear" w:color="auto" w:fill="FFFFFF"/>
          <w:lang w:val="en-US" w:eastAsia="zh-CN"/>
        </w:rPr>
        <w:t>增长61.84</w:t>
      </w:r>
      <w:r>
        <w:rPr>
          <w:rFonts w:ascii="仿宋_GB2312" w:hAnsi="Segoe UI" w:eastAsia="仿宋_GB2312" w:cs="仿宋_GB2312"/>
          <w:color w:val="171A1D"/>
          <w:sz w:val="32"/>
          <w:szCs w:val="32"/>
          <w:shd w:val="clear" w:color="auto" w:fill="FFFFFF"/>
        </w:rPr>
        <w:t>%</w:t>
      </w:r>
      <w:r>
        <w:rPr>
          <w:rFonts w:hint="eastAsia" w:ascii="仿宋_GB2312" w:hAnsi="Segoe UI" w:eastAsia="仿宋_GB2312" w:cs="仿宋_GB2312"/>
          <w:color w:val="171A1D"/>
          <w:sz w:val="32"/>
          <w:szCs w:val="32"/>
          <w:shd w:val="clear" w:color="auto" w:fill="FFFFFF"/>
        </w:rPr>
        <w:t>，收入支出</w:t>
      </w:r>
      <w:r>
        <w:rPr>
          <w:rFonts w:hint="eastAsia" w:ascii="仿宋_GB2312" w:hAnsi="Segoe UI" w:eastAsia="仿宋_GB2312" w:cs="仿宋_GB2312"/>
          <w:color w:val="171A1D"/>
          <w:sz w:val="32"/>
          <w:szCs w:val="32"/>
          <w:shd w:val="clear" w:color="auto" w:fill="FFFFFF"/>
          <w:lang w:val="en-US" w:eastAsia="zh-CN"/>
        </w:rPr>
        <w:t>增加</w:t>
      </w:r>
      <w:r>
        <w:rPr>
          <w:rFonts w:hint="eastAsia" w:ascii="仿宋_GB2312" w:hAnsi="Segoe UI" w:eastAsia="仿宋_GB2312" w:cs="仿宋_GB2312"/>
          <w:color w:val="171A1D"/>
          <w:sz w:val="32"/>
          <w:szCs w:val="32"/>
          <w:shd w:val="clear" w:color="auto" w:fill="FFFFFF"/>
        </w:rPr>
        <w:t>是</w:t>
      </w:r>
      <w:r>
        <w:rPr>
          <w:rFonts w:hint="eastAsia" w:ascii="仿宋_GB2312" w:hAnsi="Segoe UI" w:eastAsia="仿宋_GB2312" w:cs="仿宋_GB2312"/>
          <w:color w:val="171A1D"/>
          <w:sz w:val="32"/>
          <w:szCs w:val="32"/>
          <w:shd w:val="clear" w:color="auto" w:fill="FFFFFF"/>
          <w:lang w:val="en-US" w:eastAsia="zh-CN"/>
        </w:rPr>
        <w:t>因为上级补助项目经费增加</w:t>
      </w:r>
      <w:r>
        <w:rPr>
          <w:rFonts w:hint="eastAsia" w:ascii="仿宋_GB2312" w:hAnsi="Segoe UI" w:eastAsia="仿宋_GB2312" w:cs="仿宋_GB2312"/>
          <w:color w:val="171A1D"/>
          <w:sz w:val="32"/>
          <w:szCs w:val="32"/>
          <w:shd w:val="clear" w:color="auto" w:fill="FFFFFF"/>
        </w:rPr>
        <w:t>。本部门</w:t>
      </w:r>
      <w:r>
        <w:rPr>
          <w:rFonts w:ascii="仿宋_GB2312" w:hAnsi="Segoe UI" w:eastAsia="仿宋_GB2312" w:cs="仿宋_GB2312"/>
          <w:color w:val="171A1D"/>
          <w:sz w:val="32"/>
          <w:szCs w:val="32"/>
          <w:shd w:val="clear" w:color="auto" w:fill="FFFFFF"/>
        </w:rPr>
        <w:t>202</w:t>
      </w:r>
      <w:r>
        <w:rPr>
          <w:rFonts w:hint="eastAsia" w:ascii="仿宋_GB2312" w:hAnsi="Segoe UI" w:eastAsia="仿宋_GB2312" w:cs="仿宋_GB2312"/>
          <w:color w:val="171A1D"/>
          <w:sz w:val="32"/>
          <w:szCs w:val="32"/>
          <w:shd w:val="clear" w:color="auto" w:fill="FFFFFF"/>
          <w:lang w:val="en-US" w:eastAsia="zh-CN"/>
        </w:rPr>
        <w:t>4</w:t>
      </w:r>
      <w:r>
        <w:rPr>
          <w:rFonts w:hint="eastAsia" w:ascii="仿宋_GB2312" w:hAnsi="Segoe UI" w:eastAsia="仿宋_GB2312" w:cs="仿宋_GB2312"/>
          <w:color w:val="171A1D"/>
          <w:sz w:val="32"/>
          <w:szCs w:val="32"/>
          <w:shd w:val="clear" w:color="auto" w:fill="FFFFFF"/>
        </w:rPr>
        <w:t>年度收入合计</w:t>
      </w:r>
      <w:r>
        <w:rPr>
          <w:rFonts w:hint="eastAsia" w:ascii="仿宋_GB2312" w:hAnsi="Segoe UI" w:eastAsia="仿宋_GB2312" w:cs="仿宋_GB2312"/>
          <w:color w:val="171A1D"/>
          <w:sz w:val="32"/>
          <w:szCs w:val="32"/>
          <w:shd w:val="clear" w:color="auto" w:fill="FFFFFF"/>
          <w:lang w:val="en-US" w:eastAsia="zh-CN"/>
        </w:rPr>
        <w:t>1075.38</w:t>
      </w:r>
      <w:r>
        <w:rPr>
          <w:rFonts w:hint="eastAsia" w:ascii="仿宋_GB2312" w:hAnsi="Segoe UI" w:eastAsia="仿宋_GB2312" w:cs="仿宋_GB2312"/>
          <w:color w:val="171A1D"/>
          <w:sz w:val="32"/>
          <w:szCs w:val="32"/>
          <w:shd w:val="clear" w:color="auto" w:fill="FFFFFF"/>
        </w:rPr>
        <w:t>万元，其中：财政拨款收入</w:t>
      </w:r>
      <w:r>
        <w:rPr>
          <w:rFonts w:hint="eastAsia" w:ascii="仿宋_GB2312" w:hAnsi="Segoe UI" w:eastAsia="仿宋_GB2312" w:cs="仿宋_GB2312"/>
          <w:color w:val="171A1D"/>
          <w:sz w:val="32"/>
          <w:szCs w:val="32"/>
          <w:shd w:val="clear" w:color="auto" w:fill="FFFFFF"/>
          <w:lang w:val="en-US" w:eastAsia="zh-CN"/>
        </w:rPr>
        <w:t>1075.38</w:t>
      </w:r>
      <w:r>
        <w:rPr>
          <w:rFonts w:hint="eastAsia" w:ascii="仿宋_GB2312" w:hAnsi="Segoe UI" w:eastAsia="仿宋_GB2312" w:cs="仿宋_GB2312"/>
          <w:color w:val="171A1D"/>
          <w:sz w:val="32"/>
          <w:szCs w:val="32"/>
          <w:shd w:val="clear" w:color="auto" w:fill="FFFFFF"/>
        </w:rPr>
        <w:t>万元，占</w:t>
      </w:r>
      <w:r>
        <w:rPr>
          <w:rFonts w:ascii="仿宋_GB2312" w:hAnsi="Segoe UI" w:eastAsia="仿宋_GB2312" w:cs="仿宋_GB2312"/>
          <w:color w:val="171A1D"/>
          <w:sz w:val="32"/>
          <w:szCs w:val="32"/>
          <w:shd w:val="clear" w:color="auto" w:fill="FFFFFF"/>
        </w:rPr>
        <w:t>100%</w:t>
      </w:r>
      <w:r>
        <w:rPr>
          <w:rFonts w:hint="eastAsia" w:ascii="仿宋_GB2312" w:hAnsi="Segoe UI" w:eastAsia="仿宋_GB2312" w:cs="仿宋_GB2312"/>
          <w:color w:val="171A1D"/>
          <w:sz w:val="32"/>
          <w:szCs w:val="32"/>
          <w:shd w:val="clear" w:color="auto" w:fill="FFFFFF"/>
        </w:rPr>
        <w:t>；本部门</w:t>
      </w:r>
      <w:r>
        <w:rPr>
          <w:rFonts w:ascii="仿宋_GB2312" w:hAnsi="Segoe UI" w:eastAsia="仿宋_GB2312" w:cs="仿宋_GB2312"/>
          <w:color w:val="171A1D"/>
          <w:sz w:val="32"/>
          <w:szCs w:val="32"/>
          <w:shd w:val="clear" w:color="auto" w:fill="FFFFFF"/>
        </w:rPr>
        <w:t>20</w:t>
      </w:r>
      <w:r>
        <w:rPr>
          <w:rFonts w:hint="eastAsia" w:ascii="仿宋_GB2312" w:hAnsi="Segoe UI" w:eastAsia="仿宋_GB2312" w:cs="仿宋_GB2312"/>
          <w:color w:val="171A1D"/>
          <w:sz w:val="32"/>
          <w:szCs w:val="32"/>
          <w:shd w:val="clear" w:color="auto" w:fill="FFFFFF"/>
          <w:lang w:val="en-US" w:eastAsia="zh-CN"/>
        </w:rPr>
        <w:t>24</w:t>
      </w:r>
      <w:r>
        <w:rPr>
          <w:rFonts w:hint="eastAsia" w:ascii="仿宋_GB2312" w:hAnsi="Segoe UI" w:eastAsia="仿宋_GB2312" w:cs="仿宋_GB2312"/>
          <w:color w:val="171A1D"/>
          <w:sz w:val="32"/>
          <w:szCs w:val="32"/>
          <w:shd w:val="clear" w:color="auto" w:fill="FFFFFF"/>
        </w:rPr>
        <w:t>年度支出合计</w:t>
      </w:r>
      <w:r>
        <w:rPr>
          <w:rFonts w:hint="eastAsia" w:ascii="仿宋_GB2312" w:hAnsi="Segoe UI" w:eastAsia="仿宋_GB2312" w:cs="仿宋_GB2312"/>
          <w:color w:val="171A1D"/>
          <w:sz w:val="32"/>
          <w:szCs w:val="32"/>
          <w:shd w:val="clear" w:color="auto" w:fill="FFFFFF"/>
          <w:lang w:val="en-US" w:eastAsia="zh-CN"/>
        </w:rPr>
        <w:t>1075.38</w:t>
      </w:r>
      <w:r>
        <w:rPr>
          <w:rFonts w:hint="eastAsia" w:ascii="仿宋_GB2312" w:hAnsi="Segoe UI" w:eastAsia="仿宋_GB2312" w:cs="仿宋_GB2312"/>
          <w:color w:val="171A1D"/>
          <w:sz w:val="32"/>
          <w:szCs w:val="32"/>
          <w:shd w:val="clear" w:color="auto" w:fill="FFFFFF"/>
        </w:rPr>
        <w:t>万元，其中：基本支出</w:t>
      </w:r>
      <w:r>
        <w:rPr>
          <w:rFonts w:hint="eastAsia" w:ascii="仿宋_GB2312" w:hAnsi="Segoe UI" w:eastAsia="仿宋_GB2312" w:cs="仿宋_GB2312"/>
          <w:color w:val="171A1D"/>
          <w:sz w:val="32"/>
          <w:szCs w:val="32"/>
          <w:shd w:val="clear" w:color="auto" w:fill="FFFFFF"/>
          <w:lang w:val="en-US" w:eastAsia="zh-CN"/>
        </w:rPr>
        <w:t>679.29</w:t>
      </w:r>
      <w:r>
        <w:rPr>
          <w:rFonts w:hint="eastAsia" w:ascii="仿宋_GB2312" w:hAnsi="Segoe UI" w:eastAsia="仿宋_GB2312" w:cs="仿宋_GB2312"/>
          <w:color w:val="171A1D"/>
          <w:sz w:val="32"/>
          <w:szCs w:val="32"/>
          <w:shd w:val="clear" w:color="auto" w:fill="FFFFFF"/>
        </w:rPr>
        <w:t>万元，占</w:t>
      </w:r>
      <w:r>
        <w:rPr>
          <w:rFonts w:hint="eastAsia" w:ascii="仿宋_GB2312" w:hAnsi="Segoe UI" w:eastAsia="仿宋_GB2312" w:cs="仿宋_GB2312"/>
          <w:color w:val="171A1D"/>
          <w:sz w:val="32"/>
          <w:szCs w:val="32"/>
          <w:shd w:val="clear" w:color="auto" w:fill="FFFFFF"/>
          <w:lang w:val="en-US" w:eastAsia="zh-CN"/>
        </w:rPr>
        <w:t>63.17</w:t>
      </w:r>
      <w:r>
        <w:rPr>
          <w:rFonts w:ascii="仿宋_GB2312" w:hAnsi="Segoe UI" w:eastAsia="仿宋_GB2312" w:cs="仿宋_GB2312"/>
          <w:color w:val="171A1D"/>
          <w:sz w:val="32"/>
          <w:szCs w:val="32"/>
          <w:shd w:val="clear" w:color="auto" w:fill="FFFFFF"/>
        </w:rPr>
        <w:t>%</w:t>
      </w:r>
      <w:r>
        <w:rPr>
          <w:rFonts w:hint="eastAsia" w:ascii="仿宋_GB2312" w:hAnsi="Segoe UI" w:eastAsia="仿宋_GB2312" w:cs="仿宋_GB2312"/>
          <w:color w:val="171A1D"/>
          <w:sz w:val="32"/>
          <w:szCs w:val="32"/>
          <w:shd w:val="clear" w:color="auto" w:fill="FFFFFF"/>
        </w:rPr>
        <w:t>；项目支出</w:t>
      </w:r>
      <w:r>
        <w:rPr>
          <w:rFonts w:hint="eastAsia" w:ascii="仿宋_GB2312" w:hAnsi="Segoe UI" w:eastAsia="仿宋_GB2312" w:cs="仿宋_GB2312"/>
          <w:color w:val="171A1D"/>
          <w:sz w:val="32"/>
          <w:szCs w:val="32"/>
          <w:shd w:val="clear" w:color="auto" w:fill="FFFFFF"/>
          <w:lang w:val="en-US" w:eastAsia="zh-CN"/>
        </w:rPr>
        <w:t>396.08</w:t>
      </w:r>
      <w:r>
        <w:rPr>
          <w:rFonts w:hint="eastAsia" w:ascii="仿宋_GB2312" w:hAnsi="Segoe UI" w:eastAsia="仿宋_GB2312" w:cs="仿宋_GB2312"/>
          <w:color w:val="171A1D"/>
          <w:sz w:val="32"/>
          <w:szCs w:val="32"/>
          <w:shd w:val="clear" w:color="auto" w:fill="FFFFFF"/>
        </w:rPr>
        <w:t>万元，占</w:t>
      </w:r>
      <w:r>
        <w:rPr>
          <w:rFonts w:hint="eastAsia" w:ascii="仿宋_GB2312" w:hAnsi="Segoe UI" w:eastAsia="仿宋_GB2312" w:cs="仿宋_GB2312"/>
          <w:color w:val="171A1D"/>
          <w:sz w:val="32"/>
          <w:szCs w:val="32"/>
          <w:shd w:val="clear" w:color="auto" w:fill="FFFFFF"/>
          <w:lang w:val="en-US" w:eastAsia="zh-CN"/>
        </w:rPr>
        <w:t>36.83</w:t>
      </w:r>
      <w:r>
        <w:rPr>
          <w:rFonts w:ascii="仿宋_GB2312" w:hAnsi="Segoe UI" w:eastAsia="仿宋_GB2312" w:cs="仿宋_GB2312"/>
          <w:color w:val="171A1D"/>
          <w:sz w:val="32"/>
          <w:szCs w:val="32"/>
          <w:shd w:val="clear" w:color="auto" w:fill="FFFFFF"/>
        </w:rPr>
        <w:t>%</w:t>
      </w:r>
      <w:r>
        <w:rPr>
          <w:rFonts w:hint="eastAsia" w:ascii="仿宋_GB2312" w:hAnsi="Segoe UI" w:eastAsia="仿宋_GB2312" w:cs="仿宋_GB2312"/>
          <w:color w:val="171A1D"/>
          <w:sz w:val="32"/>
          <w:szCs w:val="32"/>
          <w:shd w:val="clear" w:color="auto" w:fill="FFFFFF"/>
        </w:rPr>
        <w:t>。</w:t>
      </w:r>
    </w:p>
    <w:p w14:paraId="5210EA34">
      <w:pPr>
        <w:spacing w:line="560" w:lineRule="exact"/>
        <w:ind w:left="643"/>
        <w:rPr>
          <w:rFonts w:ascii="楷体_GB2312"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（二）总体绩效目标完成情况分析</w:t>
      </w:r>
    </w:p>
    <w:p w14:paraId="1AA4FCFC">
      <w:pPr>
        <w:spacing w:line="579" w:lineRule="exact"/>
        <w:ind w:firstLine="640" w:firstLineChars="200"/>
        <w:rPr>
          <w:rFonts w:ascii="楷体" w:hAnsi="楷体" w:eastAsia="楷体" w:cs="Times New Roman"/>
          <w:color w:val="000000"/>
          <w:kern w:val="0"/>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eastAsia="仿宋_GB2312" w:cs="仿宋_GB2312"/>
          <w:sz w:val="32"/>
          <w:szCs w:val="32"/>
        </w:rPr>
        <w:t>民乐县疾控中心以习近平新时代中国特色社会主义思想为指导，认真贯彻落实省、市、县党委、政府对疾控工作部署要求，坚持“人民至上、生命至上”的理念，按照“统一指挥、全面部署、立体防控”的策略，慎终如始抓好新冠肺炎疫情防控各项工作，全面做好</w:t>
      </w:r>
      <w:r>
        <w:rPr>
          <w:rFonts w:hint="eastAsia" w:ascii="仿宋_GB2312" w:eastAsia="仿宋_GB2312" w:cs="仿宋_GB2312"/>
          <w:color w:val="000000"/>
          <w:kern w:val="0"/>
          <w:sz w:val="32"/>
          <w:szCs w:val="32"/>
        </w:rPr>
        <w:t>免疫规划、传染病、地方病、寄生虫病、慢性病和职业病防治、精神卫生、学校卫生和卫生应急处置等工作，</w:t>
      </w:r>
      <w:r>
        <w:rPr>
          <w:rFonts w:hint="eastAsia" w:ascii="仿宋_GB2312" w:eastAsia="仿宋_GB2312" w:cs="仿宋_GB2312"/>
          <w:sz w:val="32"/>
          <w:szCs w:val="32"/>
        </w:rPr>
        <w:t>切实保障我县公共卫生安全，提升公共健康水平，</w:t>
      </w:r>
      <w:r>
        <w:rPr>
          <w:rFonts w:hint="eastAsia" w:ascii="仿宋_GB2312" w:eastAsia="仿宋_GB2312" w:cs="仿宋_GB2312"/>
          <w:sz w:val="32"/>
          <w:szCs w:val="32"/>
          <w:shd w:val="clear" w:color="auto" w:fill="FFFFFF"/>
        </w:rPr>
        <w:t>取得了良好的成绩。</w:t>
      </w:r>
    </w:p>
    <w:p w14:paraId="5613C89B">
      <w:pPr>
        <w:spacing w:line="560" w:lineRule="exact"/>
        <w:ind w:left="643"/>
        <w:rPr>
          <w:rFonts w:ascii="楷体_GB2312" w:eastAsia="楷体_GB2312" w:cs="Times New Roman"/>
          <w:b/>
          <w:bCs/>
          <w:color w:val="000000"/>
          <w:kern w:val="0"/>
          <w:sz w:val="32"/>
          <w:szCs w:val="32"/>
        </w:rPr>
      </w:pPr>
      <w:r>
        <w:rPr>
          <w:rFonts w:hint="eastAsia" w:ascii="楷体_GB2312" w:hAnsi="宋体" w:eastAsia="楷体_GB2312" w:cs="楷体_GB2312"/>
          <w:b/>
          <w:bCs/>
          <w:color w:val="000000"/>
          <w:kern w:val="0"/>
          <w:sz w:val="32"/>
          <w:szCs w:val="32"/>
        </w:rPr>
        <w:t>（三）各项指标完成情况分析</w:t>
      </w:r>
    </w:p>
    <w:p w14:paraId="14415CBC">
      <w:pPr>
        <w:spacing w:line="560" w:lineRule="exact"/>
        <w:ind w:firstLine="640" w:firstLineChars="200"/>
        <w:rPr>
          <w:rFonts w:ascii="仿宋" w:hAnsi="仿宋" w:eastAsia="仿宋" w:cs="Times New Roman"/>
          <w:color w:val="000000"/>
          <w:kern w:val="0"/>
          <w:sz w:val="32"/>
          <w:szCs w:val="32"/>
        </w:rPr>
      </w:pPr>
      <w:r>
        <w:rPr>
          <w:rStyle w:val="18"/>
          <w:rFonts w:hint="eastAsia" w:hAnsi="楷体"/>
        </w:rPr>
        <w:t>因用人单位工资发放、社保缴费不及时导致申报补贴资料提交拖延，延后了扶持高校毕业生就业补贴发放时效</w:t>
      </w:r>
      <w:r>
        <w:rPr>
          <w:rFonts w:hint="eastAsia" w:ascii="仿宋_GB2312" w:hAnsi="仿宋_GB2312" w:eastAsia="仿宋_GB2312" w:cs="仿宋_GB2312"/>
          <w:sz w:val="32"/>
          <w:szCs w:val="32"/>
        </w:rPr>
        <w:t>，部门履职目标中的产出时效指标未能按时完成；其余指标全部完成。</w:t>
      </w:r>
    </w:p>
    <w:p w14:paraId="49BE5B40">
      <w:pPr>
        <w:spacing w:line="560" w:lineRule="exact"/>
        <w:ind w:firstLine="640" w:firstLineChars="200"/>
        <w:rPr>
          <w:rFonts w:ascii="黑体" w:hAnsi="宋体" w:eastAsia="黑体" w:cs="Times New Roman"/>
          <w:color w:val="000000"/>
          <w:kern w:val="0"/>
          <w:sz w:val="32"/>
          <w:szCs w:val="32"/>
        </w:rPr>
      </w:pPr>
      <w:r>
        <w:rPr>
          <w:rFonts w:hint="eastAsia" w:ascii="黑体" w:hAnsi="宋体" w:eastAsia="黑体" w:cs="黑体"/>
          <w:color w:val="000000"/>
          <w:kern w:val="0"/>
          <w:sz w:val="32"/>
          <w:szCs w:val="32"/>
          <w:lang w:val="en-US" w:eastAsia="zh-CN"/>
        </w:rPr>
        <w:t>四</w:t>
      </w:r>
      <w:bookmarkStart w:id="0" w:name="_GoBack"/>
      <w:bookmarkEnd w:id="0"/>
      <w:r>
        <w:rPr>
          <w:rFonts w:hint="eastAsia" w:ascii="黑体" w:hAnsi="宋体" w:eastAsia="黑体" w:cs="黑体"/>
          <w:color w:val="000000"/>
          <w:kern w:val="0"/>
          <w:sz w:val="32"/>
          <w:szCs w:val="32"/>
        </w:rPr>
        <w:t>、绩效自评结果拟应用和公开情况</w:t>
      </w:r>
    </w:p>
    <w:p w14:paraId="50232004">
      <w:pPr>
        <w:spacing w:line="56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14:paraId="562EAA7A">
      <w:pPr>
        <w:spacing w:line="560" w:lineRule="exact"/>
        <w:ind w:firstLine="640" w:firstLineChars="200"/>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七、其他需要说明的问题</w:t>
      </w:r>
    </w:p>
    <w:p w14:paraId="03A63A74">
      <w:pPr>
        <w:spacing w:line="560" w:lineRule="exact"/>
        <w:ind w:firstLine="640" w:firstLineChars="200"/>
        <w:rPr>
          <w:rFonts w:ascii="黑体" w:hAnsi="宋体" w:eastAsia="黑体" w:cs="Times New Roman"/>
          <w:color w:val="000000"/>
          <w:kern w:val="0"/>
          <w:sz w:val="32"/>
          <w:szCs w:val="32"/>
        </w:rPr>
      </w:pPr>
      <w:r>
        <w:rPr>
          <w:rFonts w:hint="eastAsia" w:ascii="仿宋" w:hAnsi="仿宋" w:eastAsia="仿宋" w:cs="仿宋"/>
          <w:color w:val="000000"/>
          <w:kern w:val="0"/>
          <w:sz w:val="32"/>
          <w:szCs w:val="32"/>
        </w:rPr>
        <w:t>无。</w:t>
      </w:r>
    </w:p>
    <w:sectPr>
      <w:headerReference r:id="rId3" w:type="default"/>
      <w:footerReference r:id="rId4" w:type="default"/>
      <w:pgSz w:w="11906" w:h="16838"/>
      <w:pgMar w:top="1610" w:right="1576" w:bottom="161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5F6F">
    <w:pPr>
      <w:pStyle w:val="5"/>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6CC8F2">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486CC8F2">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FAF8">
    <w:pPr>
      <w:pStyle w:val="6"/>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MTBhNzU1NjQxMzliYTUyYmU2ZTE2NDQwMTYxYmEifQ=="/>
  </w:docVars>
  <w:rsids>
    <w:rsidRoot w:val="37C67F62"/>
    <w:rsid w:val="003D28CF"/>
    <w:rsid w:val="00405A2C"/>
    <w:rsid w:val="00834C01"/>
    <w:rsid w:val="0084555D"/>
    <w:rsid w:val="0094369E"/>
    <w:rsid w:val="009D4C50"/>
    <w:rsid w:val="00A8347F"/>
    <w:rsid w:val="00A84081"/>
    <w:rsid w:val="00C04B9E"/>
    <w:rsid w:val="00C47FC0"/>
    <w:rsid w:val="00DE44A8"/>
    <w:rsid w:val="00EB3A64"/>
    <w:rsid w:val="0A903794"/>
    <w:rsid w:val="0FFB215A"/>
    <w:rsid w:val="16504596"/>
    <w:rsid w:val="16D231FD"/>
    <w:rsid w:val="16FC0555"/>
    <w:rsid w:val="17F74351"/>
    <w:rsid w:val="18117D55"/>
    <w:rsid w:val="18884C1A"/>
    <w:rsid w:val="191C10A7"/>
    <w:rsid w:val="1B0A464B"/>
    <w:rsid w:val="1B107B9F"/>
    <w:rsid w:val="1D1F17FB"/>
    <w:rsid w:val="1DC53ABB"/>
    <w:rsid w:val="1FB35566"/>
    <w:rsid w:val="21345939"/>
    <w:rsid w:val="233A0BA3"/>
    <w:rsid w:val="235B0690"/>
    <w:rsid w:val="25592D3B"/>
    <w:rsid w:val="26D83139"/>
    <w:rsid w:val="28E03E9F"/>
    <w:rsid w:val="29FA6531"/>
    <w:rsid w:val="2AC86999"/>
    <w:rsid w:val="2AE70333"/>
    <w:rsid w:val="2AFA28CA"/>
    <w:rsid w:val="2B65068C"/>
    <w:rsid w:val="2FE37DD1"/>
    <w:rsid w:val="33B70F37"/>
    <w:rsid w:val="34DB551B"/>
    <w:rsid w:val="35373099"/>
    <w:rsid w:val="368B570E"/>
    <w:rsid w:val="37C67F62"/>
    <w:rsid w:val="38BD5663"/>
    <w:rsid w:val="39152E00"/>
    <w:rsid w:val="39433F9A"/>
    <w:rsid w:val="39B36A66"/>
    <w:rsid w:val="3A1D1004"/>
    <w:rsid w:val="3C0973CB"/>
    <w:rsid w:val="3C0F553A"/>
    <w:rsid w:val="3DE8273D"/>
    <w:rsid w:val="3EB46EC5"/>
    <w:rsid w:val="3ED23D8D"/>
    <w:rsid w:val="3FF73B50"/>
    <w:rsid w:val="4010076E"/>
    <w:rsid w:val="416C35EE"/>
    <w:rsid w:val="42295B17"/>
    <w:rsid w:val="4380288B"/>
    <w:rsid w:val="45DC10F2"/>
    <w:rsid w:val="47057F6B"/>
    <w:rsid w:val="481A7A35"/>
    <w:rsid w:val="4F912F4E"/>
    <w:rsid w:val="50AB794F"/>
    <w:rsid w:val="50EE4AFC"/>
    <w:rsid w:val="535266B3"/>
    <w:rsid w:val="53E65255"/>
    <w:rsid w:val="55837A42"/>
    <w:rsid w:val="59352B9C"/>
    <w:rsid w:val="59543849"/>
    <w:rsid w:val="59D800F7"/>
    <w:rsid w:val="5C7E3B7E"/>
    <w:rsid w:val="5D347D3A"/>
    <w:rsid w:val="63404148"/>
    <w:rsid w:val="6413668F"/>
    <w:rsid w:val="65640A91"/>
    <w:rsid w:val="66833198"/>
    <w:rsid w:val="66C84968"/>
    <w:rsid w:val="67472418"/>
    <w:rsid w:val="67CE0F1A"/>
    <w:rsid w:val="6D0D6161"/>
    <w:rsid w:val="6E602011"/>
    <w:rsid w:val="6F3A3E83"/>
    <w:rsid w:val="709B5B41"/>
    <w:rsid w:val="711A5E29"/>
    <w:rsid w:val="76C84BF7"/>
    <w:rsid w:val="774502E9"/>
    <w:rsid w:val="7BB96FE3"/>
    <w:rsid w:val="7E1E12D9"/>
    <w:rsid w:val="7ECC04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locked/>
    <w:uiPriority w:val="0"/>
    <w:rPr>
      <w:rFonts w:ascii="Arial" w:hAnsi="Arial" w:eastAsia="黑体"/>
      <w:sz w:val="20"/>
      <w:szCs w:val="24"/>
    </w:rPr>
  </w:style>
  <w:style w:type="paragraph" w:styleId="3">
    <w:name w:val="index 5"/>
    <w:basedOn w:val="1"/>
    <w:next w:val="1"/>
    <w:semiHidden/>
    <w:qFormat/>
    <w:uiPriority w:val="99"/>
    <w:pPr>
      <w:ind w:left="1680"/>
    </w:pPr>
  </w:style>
  <w:style w:type="paragraph" w:styleId="4">
    <w:name w:val="Body Text"/>
    <w:basedOn w:val="1"/>
    <w:qFormat/>
    <w:uiPriority w:val="99"/>
    <w:pPr>
      <w:autoSpaceDE w:val="0"/>
      <w:autoSpaceDN w:val="0"/>
      <w:spacing w:before="190"/>
      <w:ind w:left="217"/>
      <w:jc w:val="left"/>
    </w:pPr>
    <w:rPr>
      <w:rFonts w:ascii="宋体" w:hAnsi="宋体" w:cs="宋体"/>
      <w:kern w:val="0"/>
      <w:sz w:val="32"/>
      <w:szCs w:val="32"/>
      <w:lang w:val="zh-CN"/>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basedOn w:val="9"/>
    <w:qFormat/>
    <w:uiPriority w:val="99"/>
    <w:rPr>
      <w:b/>
      <w:bCs/>
      <w:sz w:val="24"/>
      <w:szCs w:val="24"/>
    </w:rPr>
  </w:style>
  <w:style w:type="character" w:customStyle="1" w:styleId="11">
    <w:name w:val="Footer Char"/>
    <w:basedOn w:val="9"/>
    <w:link w:val="5"/>
    <w:semiHidden/>
    <w:qFormat/>
    <w:locked/>
    <w:uiPriority w:val="99"/>
    <w:rPr>
      <w:rFonts w:ascii="Calibri" w:hAnsi="Calibri" w:cs="Calibri"/>
      <w:sz w:val="18"/>
      <w:szCs w:val="18"/>
    </w:rPr>
  </w:style>
  <w:style w:type="character" w:customStyle="1" w:styleId="12">
    <w:name w:val="Header Char"/>
    <w:basedOn w:val="9"/>
    <w:link w:val="6"/>
    <w:semiHidden/>
    <w:qFormat/>
    <w:locked/>
    <w:uiPriority w:val="99"/>
    <w:rPr>
      <w:rFonts w:ascii="Calibri" w:hAnsi="Calibri" w:cs="Calibri"/>
      <w:sz w:val="18"/>
      <w:szCs w:val="18"/>
    </w:rPr>
  </w:style>
  <w:style w:type="character" w:customStyle="1" w:styleId="13">
    <w:name w:val="font11"/>
    <w:basedOn w:val="9"/>
    <w:qFormat/>
    <w:uiPriority w:val="99"/>
    <w:rPr>
      <w:rFonts w:ascii="宋体" w:hAnsi="宋体" w:eastAsia="宋体" w:cs="宋体"/>
      <w:b/>
      <w:bCs/>
      <w:color w:val="000000"/>
      <w:sz w:val="44"/>
      <w:szCs w:val="44"/>
      <w:u w:val="none"/>
    </w:rPr>
  </w:style>
  <w:style w:type="character" w:customStyle="1" w:styleId="14">
    <w:name w:val="font01"/>
    <w:basedOn w:val="9"/>
    <w:qFormat/>
    <w:uiPriority w:val="99"/>
    <w:rPr>
      <w:rFonts w:ascii="仿宋_GB2312" w:eastAsia="仿宋_GB2312" w:cs="仿宋_GB2312"/>
      <w:color w:val="000000"/>
      <w:sz w:val="44"/>
      <w:szCs w:val="44"/>
      <w:u w:val="none"/>
    </w:rPr>
  </w:style>
  <w:style w:type="character" w:customStyle="1" w:styleId="15">
    <w:name w:val="font71"/>
    <w:basedOn w:val="9"/>
    <w:qFormat/>
    <w:uiPriority w:val="99"/>
    <w:rPr>
      <w:rFonts w:ascii="黑体" w:hAnsi="宋体" w:eastAsia="黑体" w:cs="黑体"/>
      <w:color w:val="000000"/>
      <w:sz w:val="32"/>
      <w:szCs w:val="32"/>
      <w:u w:val="none"/>
    </w:rPr>
  </w:style>
  <w:style w:type="character" w:customStyle="1" w:styleId="16">
    <w:name w:val="font61"/>
    <w:basedOn w:val="9"/>
    <w:qFormat/>
    <w:uiPriority w:val="99"/>
    <w:rPr>
      <w:rFonts w:ascii="Arial" w:hAnsi="Arial" w:cs="Arial"/>
      <w:color w:val="000000"/>
      <w:sz w:val="32"/>
      <w:szCs w:val="32"/>
      <w:u w:val="none"/>
    </w:rPr>
  </w:style>
  <w:style w:type="character" w:customStyle="1" w:styleId="17">
    <w:name w:val="font31"/>
    <w:basedOn w:val="9"/>
    <w:qFormat/>
    <w:uiPriority w:val="99"/>
    <w:rPr>
      <w:rFonts w:ascii="楷体" w:hAnsi="楷体" w:eastAsia="楷体" w:cs="楷体"/>
      <w:color w:val="000000"/>
      <w:sz w:val="32"/>
      <w:szCs w:val="32"/>
      <w:u w:val="none"/>
    </w:rPr>
  </w:style>
  <w:style w:type="character" w:customStyle="1" w:styleId="18">
    <w:name w:val="font51"/>
    <w:basedOn w:val="9"/>
    <w:qFormat/>
    <w:uiPriority w:val="99"/>
    <w:rPr>
      <w:rFonts w:ascii="仿宋_GB2312" w:eastAsia="仿宋_GB2312" w:cs="仿宋_GB2312"/>
      <w:color w:val="000000"/>
      <w:sz w:val="32"/>
      <w:szCs w:val="32"/>
      <w:u w:val="none"/>
    </w:rPr>
  </w:style>
  <w:style w:type="paragraph" w:customStyle="1" w:styleId="19">
    <w:name w:val="封面标准英文名称"/>
    <w:qFormat/>
    <w:uiPriority w:val="0"/>
    <w:pPr>
      <w:widowControl w:val="0"/>
      <w:spacing w:before="370" w:line="400" w:lineRule="exact"/>
      <w:jc w:val="center"/>
    </w:pPr>
    <w:rPr>
      <w:rFonts w:ascii="Calibri" w:hAnsi="Calibri" w:eastAsia="宋体" w:cs="Times New Roman"/>
      <w:sz w:val="28"/>
      <w:szCs w:val="22"/>
      <w:lang w:val="en-US" w:eastAsia="zh-CN" w:bidi="ar-SA"/>
    </w:rPr>
  </w:style>
  <w:style w:type="paragraph" w:customStyle="1" w:styleId="20">
    <w:name w:val="_Style 2"/>
    <w:basedOn w:val="1"/>
    <w:qFormat/>
    <w:uiPriority w:val="99"/>
    <w:pPr>
      <w:spacing w:line="351" w:lineRule="atLeast"/>
      <w:ind w:firstLine="419"/>
      <w:textAlignment w:val="baseline"/>
    </w:pPr>
    <w:rPr>
      <w:outline/>
      <w:color w:val="000000"/>
      <w14:textOutline w14:w="9525" w14:cap="flat" w14:cmpd="sng" w14:algn="ctr">
        <w14:solidFill>
          <w14:srgbClr w14:val="000000"/>
        </w14:solidFill>
        <w14:prstDash w14:val="solid"/>
        <w14:round/>
      </w14:textOutline>
      <w14:textFill>
        <w14:no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29388</Words>
  <Characters>31047</Characters>
  <Lines>0</Lines>
  <Paragraphs>0</Paragraphs>
  <TotalTime>9</TotalTime>
  <ScaleCrop>false</ScaleCrop>
  <LinksUpToDate>false</LinksUpToDate>
  <CharactersWithSpaces>31176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2022-01-25T06:20:00Z</dcterms:created>
  <dc:creator>Administrator</dc:creator>
  <cp:lastModifiedBy>似水流年</cp:lastModifiedBy>
  <dcterms:modified xsi:type="dcterms:W3CDTF">2025-09-10T09:50:50Z</dcterms:modified>
  <dc:title>民乐县疾病预防控制中心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ABB195EF29C54764A633C3D8CD1B3861_13</vt:lpwstr>
  </property>
  <property fmtid="{D5CDD505-2E9C-101B-9397-08002B2CF9AE}" pid="4" name="KSOTemplateDocerSaveRecord">
    <vt:lpwstr>eyJoZGlkIjoiZjJmNWI2ZjRkOTQxNjhiMDJlMzI2YzE2NDNhZGY4MTQiLCJ1c2VySWQiOiIzMDg4MjIwOTUifQ==</vt:lpwstr>
  </property>
</Properties>
</file>