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中共民乐县委组织部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lang w:val="en-US" w:eastAsia="zh-CN" w:bidi="ar"/>
        </w:rPr>
        <w:t>部门整体支出绩效目标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根据《关于开展2024年度绩效自评工作的通知》（民财监评〔2025〕5号）文件精神，我单位认真组织开展2024年度预算执行情况绩效自评工作，现将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年部门整体支出预算绩效目标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监控</w:t>
      </w:r>
      <w:r>
        <w:rPr>
          <w:rFonts w:hint="eastAsia" w:ascii="仿宋_GB2312" w:eastAsia="仿宋_GB2312" w:cs="仿宋_GB2312"/>
          <w:sz w:val="32"/>
          <w:szCs w:val="32"/>
        </w:rPr>
        <w:t>完成情况和预算执行情况报告如下：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一、基本职能及机构设置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中共县委组织部为县委工作机关，正科级建制，挂县委老干部局、县公务员局牌子，内设职能股室6个（办公室、干部组、组织组、公务员管理组、考核监督组、老干部工作组），</w:t>
      </w:r>
      <w:r>
        <w:rPr>
          <w:rFonts w:hint="eastAsia" w:ascii="仿宋_GB2312" w:eastAsia="仿宋_GB2312" w:cs="仿宋_GB2312"/>
          <w:sz w:val="32"/>
          <w:szCs w:val="32"/>
        </w:rPr>
        <w:t>财政全额拨款事业单位。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）部门主要职能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1.负责干部队伍建设的宏观管理，研究制定干部队伍建设规划和干部管理的有关制度，提出干部队伍建设的意见和建议。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2.负责县委管理干部的考察、任免、调配、交流、待遇等工作，办理干部的退（离）休手续。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3.负责干部考核监督工作，制定干部考核监督的规章制度，对干部选拔任用工作和领导干部进行监督和考核，受理有关干部问题的举报和申诉。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.研究和指导全县基层党组织建设，制定加强基层党组织建设的规划和措施，指导基层党组织开展活动，提高基层党组织的凝聚力和战斗力。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负责党员队伍建设，制定党员发展、教育、管理和服务的规划和措施，组织开展党员教育培训，做好党员发展和管理工作，指导基层党组织做好党内激励关怀帮扶工作。6.规划制定和督查落实全县未成年人思想道德建设工作；指导管理县文学艺术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.贯彻落实人才工作方针政策，研究制定人才发展规划和有关政策措施，指导和协调全县人才工作。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.负责高层次人才的引进、培养、管理和服务工作，组织开展人才评选表彰活动，营造良好的人才发展环境。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.制定干部教育培训规划和年度计划，组织实施县委管理干部和基层干部的教育培训工作。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.指导全县干部教育培训基地建设和师资队伍建设，开发利用干部教育培训资源。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.负责退（离）休干部工作的宏观管理，指导和协调各部门做好退（离）休干部的服务和管理工作。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.完成县委和上级组织部门交办的其他任务。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（三）人员概况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中共民乐县委组织部</w:t>
      </w:r>
      <w:r>
        <w:rPr>
          <w:rFonts w:hint="eastAsia" w:ascii="仿宋_GB2312" w:eastAsia="仿宋_GB2312" w:cs="仿宋_GB2312"/>
          <w:sz w:val="32"/>
          <w:szCs w:val="32"/>
        </w:rPr>
        <w:t>共有干部职工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 w:cs="仿宋_GB2312"/>
          <w:sz w:val="32"/>
          <w:szCs w:val="32"/>
        </w:rPr>
        <w:t>人，其中: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公务员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20人，</w:t>
      </w:r>
      <w:r>
        <w:rPr>
          <w:rFonts w:hint="eastAsia" w:ascii="仿宋_GB2312" w:eastAsia="仿宋_GB2312" w:cs="仿宋_GB2312"/>
          <w:sz w:val="32"/>
          <w:szCs w:val="32"/>
        </w:rPr>
        <w:t>事业编制人员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0"/>
          <w:rFonts w:hint="eastAsia" w:ascii="黑体" w:hAnsi="黑体" w:eastAsia="黑体" w:cs="黑体"/>
          <w:lang w:val="en-US" w:eastAsia="zh-CN"/>
        </w:rPr>
      </w:pPr>
      <w:r>
        <w:rPr>
          <w:rStyle w:val="9"/>
          <w:rFonts w:hint="eastAsia" w:ascii="黑体" w:hAnsi="黑体" w:eastAsia="黑体" w:cs="黑体"/>
          <w:lang w:val="en-US" w:eastAsia="zh-CN"/>
        </w:rPr>
        <w:t>二、绩效自评工作组织开展情况</w:t>
      </w:r>
      <w:r>
        <w:rPr>
          <w:rStyle w:val="10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（一）自评工作组织开展情况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高度重视，及时在财务内审工作领导小组会议上安排部署2024年度绩效自评工作，重点强调预算绩效管理工作的重要性和必要性，要严格对照年初预算设定的绩效目标，逐项梳理资金执行情况，确保数据真实、逻辑严谨，在规定时限内高质量完成自评任务。对自评中发现的问题，立行立改，将结果作为下一年度预算调整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纳入自评范围的单位、项目、资金等情况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内设股室6个，下属参公及事业单位6个，全部纳入绩效评价，根据整体支出的部门管理、履职效果、能力建设、服务对象满意度设定评价指标，共涉及自评项目1个，预算总金额1004.58万元，实际执行数1004.58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lang w:val="en-US" w:eastAsia="zh-CN"/>
        </w:rPr>
        <w:t>三、部门整体支出绩效自评情况分析</w:t>
      </w:r>
      <w:r>
        <w:rPr>
          <w:rStyle w:val="10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（一）部门决算情况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2024年部门决算收入1004.58万元，其中：一般公共预算收入1004.58万元。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2024年部门决算支出1004.58万元。其中：基本支出1004.58万元。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总体绩效目标完成情况分析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2024年，本部门预算支出项目1个，当年财政拨款1004.58万元，全年支出1004.58万元，执行率100%。通过自评，项目结果为90.44分。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各项指标完成情况分析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微软雅黑" w:eastAsia="仿宋_GB2312"/>
          <w:b/>
          <w:bCs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/>
          <w:b/>
          <w:bCs/>
          <w:sz w:val="32"/>
          <w:szCs w:val="32"/>
        </w:rPr>
        <w:t>产出指标:坚持政治立部，在加强党的领导中发挥职能作用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持之以恒从严治部、从严律己、从严带队伍，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认真贯彻执行民主集中制，全年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召开部务会会议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研究审议重大事项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133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项。严格落实重大事项请示报告制度，累计向县委和市委组织部专题请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示报告工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项。</w:t>
      </w:r>
      <w:r>
        <w:rPr>
          <w:rFonts w:hint="default" w:ascii="仿宋_GB2312" w:hAnsi="微软雅黑" w:eastAsia="仿宋_GB2312"/>
          <w:b/>
          <w:bCs/>
          <w:sz w:val="32"/>
          <w:szCs w:val="32"/>
          <w:lang w:eastAsia="zh-CN"/>
        </w:rPr>
        <w:t>聚力中心大局，</w:t>
      </w:r>
      <w:r>
        <w:rPr>
          <w:rFonts w:hint="default" w:ascii="仿宋_GB2312" w:hAnsi="微软雅黑" w:eastAsia="仿宋_GB2312"/>
          <w:b/>
          <w:bCs/>
          <w:sz w:val="32"/>
          <w:szCs w:val="32"/>
          <w:lang w:val="en-US" w:eastAsia="zh-CN"/>
        </w:rPr>
        <w:t>在赋能县域发展中发挥职能作用。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协调争取市组部和市直部门支持基层党建、干部培训、人才工作等项目资金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79.64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万元，是近几年向上争取资金最多的一年。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征集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招商引资线索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条，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对接青海中科中拓科农科技有限公司打造食用菌种植基地，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落地项目资金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690多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22"/>
          <w:lang w:val="en-US" w:eastAsia="zh-CN" w:bidi="ar-SA"/>
        </w:rPr>
        <w:t>万元。制定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 w:bidi="ar"/>
        </w:rPr>
        <w:t>《民乐县发展投资集团有限公司组建拟定方案》，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组建成立县发展投资集团，构建“1+4+N”治理架构，牵头完善业绩考核、薪酬管理等制度机制，推动国有平台公司市场化、实体化发展。</w:t>
      </w:r>
      <w:r>
        <w:rPr>
          <w:rFonts w:hint="default" w:ascii="仿宋_GB2312" w:hAnsi="微软雅黑" w:eastAsia="仿宋_GB2312" w:cstheme="minorBidi"/>
          <w:b/>
          <w:bCs/>
          <w:kern w:val="2"/>
          <w:sz w:val="32"/>
          <w:szCs w:val="32"/>
          <w:lang w:val="en-US" w:eastAsia="zh-CN" w:bidi="ar-SA"/>
        </w:rPr>
        <w:t>扬优势强弱项，在全面从严治党中发挥职能作用。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扎实推进党纪学习教育，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lang w:val="en-US" w:eastAsia="zh-CN"/>
        </w:rPr>
        <w:t>各级党组织采取“六学”模式深刻对照，开展集中学习2572场次，交流研讨1041人次，561名基层党组织书记讲纪律党课，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制定《贯彻落实〈关于推进党纪学习教育常态化长效化的意见〉任务分解清单》，常态化推进党员干部学纪知纪明纪守纪。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3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</w:rPr>
        <w:t>2.效益指标:</w:t>
      </w:r>
      <w:r>
        <w:rPr>
          <w:rFonts w:hint="eastAsia" w:ascii="仿宋_GB2312" w:hAnsi="微软雅黑" w:eastAsia="仿宋_GB2312"/>
          <w:sz w:val="32"/>
          <w:szCs w:val="32"/>
        </w:rPr>
        <w:t>通过坚持守正创新，全面落实意识形态工作责任制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坚持服务大局，全力推动干部理论教育更加系统深入、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80000" w:fill="FFFFFF"/>
          <w:lang w:val="en-US" w:eastAsia="zh-CN" w:bidi="ar-SA"/>
        </w:rPr>
        <w:t>党建工作基础不断加强</w:t>
      </w:r>
      <w:r>
        <w:rPr>
          <w:rFonts w:hint="eastAsia" w:ascii="仿宋_GB2312" w:hAnsi="微软雅黑" w:eastAsia="仿宋_GB2312"/>
          <w:sz w:val="32"/>
          <w:szCs w:val="32"/>
        </w:rPr>
        <w:t>、履职能力培训更加精准高效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z w:val="32"/>
          <w:szCs w:val="32"/>
        </w:rPr>
        <w:t>教育培训资源更加多元丰富，着力锻造高素质干部队伍，为推动全县高质量发展铸魂赋能、凝聚力量。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80000" w:fill="FFFFFF"/>
          <w:lang w:val="en-US" w:eastAsia="zh-CN" w:bidi="ar-SA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</w:rPr>
        <w:t>3.满</w:t>
      </w:r>
      <w:r>
        <w:rPr>
          <w:rFonts w:hint="eastAsia" w:ascii="仿宋_GB2312" w:hAnsi="微软雅黑" w:eastAsia="仿宋_GB2312"/>
          <w:b/>
          <w:bCs/>
          <w:spacing w:val="-6"/>
          <w:sz w:val="32"/>
          <w:szCs w:val="32"/>
        </w:rPr>
        <w:t>意度指标</w:t>
      </w:r>
      <w:r>
        <w:rPr>
          <w:rFonts w:hint="eastAsia" w:ascii="仿宋_GB2312" w:hAnsi="微软雅黑" w:eastAsia="仿宋_GB2312"/>
          <w:spacing w:val="-6"/>
          <w:sz w:val="32"/>
          <w:szCs w:val="32"/>
        </w:rPr>
        <w:t>:全县服务对象满意度95%以上，全部完成年初目</w:t>
      </w:r>
      <w:r>
        <w:rPr>
          <w:rFonts w:hint="eastAsia" w:ascii="仿宋_GB2312" w:hAnsi="微软雅黑" w:eastAsia="仿宋_GB2312"/>
          <w:sz w:val="32"/>
          <w:szCs w:val="32"/>
        </w:rPr>
        <w:t>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200" w:firstLine="320" w:firstLineChars="100"/>
        <w:textAlignment w:val="auto"/>
        <w:rPr>
          <w:rStyle w:val="9"/>
          <w:rFonts w:hint="default"/>
        </w:rPr>
      </w:pPr>
      <w:r>
        <w:rPr>
          <w:rStyle w:val="9"/>
          <w:rFonts w:hint="default"/>
        </w:rPr>
        <w:t>四、部门管理的省对市县转移支付绩效自评情况分析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年本部门无转移支付资金。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8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80000" w:fill="FFFFFF"/>
          <w:lang w:val="en-US" w:eastAsia="zh-CN" w:bidi="ar-SA"/>
        </w:rPr>
        <w:t>财务绩效自评结果将从三方面推进应用：一是强化结果运用，将自评发现的问题及时整改，督促财务人员优化预算编制和执行流程，提升资金使用效率；二是深化结果挂钩，将自评结果与预算安排紧密结合，作为下一年度预算调整的主要依据；三是健全监督机制，持续跟踪整改落实情况，形成管理闭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8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080000" w:fill="FFFFFF"/>
          <w:lang w:val="en-US" w:eastAsia="zh-CN" w:bidi="ar-SA"/>
        </w:rPr>
        <w:t>在公开方面，严格遵循政府信息公开要求，通过政务公开平台，依法依规及时、准确、完整地向社会公开财务绩效自评结果，主动接受社会监督，增强财政资金使用透明度，保障公众知情权与监督权，切实提升财政资金管理公信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4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4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</w:t>
      </w:r>
    </w:p>
    <w:p>
      <w:pPr>
        <w:pStyle w:val="2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4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中共民乐县委组织部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AD96C"/>
    <w:multiLevelType w:val="singleLevel"/>
    <w:tmpl w:val="F7DAD96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B5F032A"/>
    <w:multiLevelType w:val="singleLevel"/>
    <w:tmpl w:val="3B5F032A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DZhMDhlZGI1ZDQ1ZTliYjIwYzUyN2IwNTU3MTkifQ=="/>
    <w:docVar w:name="KSO_WPS_MARK_KEY" w:val="d6e51669-e1de-45fb-a8e1-435f3b065840"/>
  </w:docVars>
  <w:rsids>
    <w:rsidRoot w:val="1E2C61BE"/>
    <w:rsid w:val="0AAF2538"/>
    <w:rsid w:val="0EFDFE8B"/>
    <w:rsid w:val="11B1300C"/>
    <w:rsid w:val="1A8E7D82"/>
    <w:rsid w:val="1B7709C3"/>
    <w:rsid w:val="1E2C61BE"/>
    <w:rsid w:val="1EDF0716"/>
    <w:rsid w:val="1FFC2D1D"/>
    <w:rsid w:val="1FFF3AC7"/>
    <w:rsid w:val="33FF06FE"/>
    <w:rsid w:val="35C0783C"/>
    <w:rsid w:val="39FD36B5"/>
    <w:rsid w:val="3B7D5591"/>
    <w:rsid w:val="3E876D1B"/>
    <w:rsid w:val="3FB53683"/>
    <w:rsid w:val="3FB7F29D"/>
    <w:rsid w:val="3FE5E1AD"/>
    <w:rsid w:val="3FFF98DF"/>
    <w:rsid w:val="474313D6"/>
    <w:rsid w:val="4F23043E"/>
    <w:rsid w:val="516F4848"/>
    <w:rsid w:val="52E53CDC"/>
    <w:rsid w:val="57FDF442"/>
    <w:rsid w:val="58B7BCDB"/>
    <w:rsid w:val="59BDCAF9"/>
    <w:rsid w:val="5AF2C2CF"/>
    <w:rsid w:val="5AF73214"/>
    <w:rsid w:val="5D734955"/>
    <w:rsid w:val="5DFFB618"/>
    <w:rsid w:val="5FFF8231"/>
    <w:rsid w:val="635ADDB7"/>
    <w:rsid w:val="63FF74F1"/>
    <w:rsid w:val="690C1B6B"/>
    <w:rsid w:val="6CF748E0"/>
    <w:rsid w:val="6DFED698"/>
    <w:rsid w:val="6E0B2A40"/>
    <w:rsid w:val="6E5DE7A7"/>
    <w:rsid w:val="716EC43E"/>
    <w:rsid w:val="73ED5F93"/>
    <w:rsid w:val="74FF3C7E"/>
    <w:rsid w:val="77F316CC"/>
    <w:rsid w:val="77FB8380"/>
    <w:rsid w:val="77FF7C7B"/>
    <w:rsid w:val="77FFB861"/>
    <w:rsid w:val="7AEF4D1C"/>
    <w:rsid w:val="7CBF5079"/>
    <w:rsid w:val="7D39B44C"/>
    <w:rsid w:val="7DD4C1E8"/>
    <w:rsid w:val="7DEF22B8"/>
    <w:rsid w:val="7DFF059D"/>
    <w:rsid w:val="7DFFA008"/>
    <w:rsid w:val="7EBFE9EE"/>
    <w:rsid w:val="7EFD390A"/>
    <w:rsid w:val="7F37C47E"/>
    <w:rsid w:val="7F62EA28"/>
    <w:rsid w:val="7F77852D"/>
    <w:rsid w:val="7FFE4DE4"/>
    <w:rsid w:val="7FFFEA7F"/>
    <w:rsid w:val="9ABF3E9E"/>
    <w:rsid w:val="B9DF02C5"/>
    <w:rsid w:val="BAFB89DE"/>
    <w:rsid w:val="BBFBEFE1"/>
    <w:rsid w:val="BDB34E50"/>
    <w:rsid w:val="BE797EA8"/>
    <w:rsid w:val="BF2D93BE"/>
    <w:rsid w:val="BFFA89E6"/>
    <w:rsid w:val="C64DCC85"/>
    <w:rsid w:val="CBBF2FE8"/>
    <w:rsid w:val="CDCFDC12"/>
    <w:rsid w:val="CFDF4278"/>
    <w:rsid w:val="DDD305B1"/>
    <w:rsid w:val="DED95D1A"/>
    <w:rsid w:val="DFABD5A0"/>
    <w:rsid w:val="DFB6340F"/>
    <w:rsid w:val="DFBFDEFD"/>
    <w:rsid w:val="EA898812"/>
    <w:rsid w:val="EBBF761B"/>
    <w:rsid w:val="EBFF6E29"/>
    <w:rsid w:val="EDFB0979"/>
    <w:rsid w:val="EF6B5971"/>
    <w:rsid w:val="EFEAE97A"/>
    <w:rsid w:val="EFF7BE19"/>
    <w:rsid w:val="EFFE84C4"/>
    <w:rsid w:val="F76F9208"/>
    <w:rsid w:val="F79F0424"/>
    <w:rsid w:val="F7F8FDDF"/>
    <w:rsid w:val="FBF7AAE7"/>
    <w:rsid w:val="FBFA73F9"/>
    <w:rsid w:val="FD537185"/>
    <w:rsid w:val="FDF33B97"/>
    <w:rsid w:val="FDFFF92E"/>
    <w:rsid w:val="FF55943C"/>
    <w:rsid w:val="FF744D4A"/>
    <w:rsid w:val="FF99BA28"/>
    <w:rsid w:val="FFDF44F5"/>
    <w:rsid w:val="FFE9488D"/>
    <w:rsid w:val="FFFD8C4A"/>
    <w:rsid w:val="FFFEF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Indent"/>
    <w:basedOn w:val="1"/>
    <w:unhideWhenUsed/>
    <w:qFormat/>
    <w:uiPriority w:val="99"/>
    <w:pPr>
      <w:snapToGrid w:val="0"/>
      <w:spacing w:line="590" w:lineRule="exact"/>
      <w:ind w:firstLine="420" w:firstLineChars="200"/>
    </w:pPr>
    <w:rPr>
      <w:rFonts w:ascii="Times New Roman" w:hAnsi="Times New Roman" w:eastAsia="仿宋_GB2312"/>
      <w:spacing w:val="6"/>
      <w:sz w:val="32"/>
    </w:rPr>
  </w:style>
  <w:style w:type="paragraph" w:styleId="4">
    <w:name w:val="index 5"/>
    <w:basedOn w:val="1"/>
    <w:next w:val="1"/>
    <w:qFormat/>
    <w:uiPriority w:val="99"/>
    <w:pPr>
      <w:ind w:left="1680"/>
    </w:pPr>
  </w:style>
  <w:style w:type="paragraph" w:styleId="5">
    <w:name w:val="Body Text Indent 2"/>
    <w:basedOn w:val="1"/>
    <w:next w:val="1"/>
    <w:qFormat/>
    <w:uiPriority w:val="0"/>
    <w:pPr>
      <w:spacing w:line="700" w:lineRule="exact"/>
      <w:ind w:firstLine="630"/>
    </w:pPr>
    <w:rPr>
      <w:rFonts w:ascii="楷体_GB2312" w:eastAsia="楷体_GB2312"/>
      <w:b/>
      <w:bCs/>
      <w:sz w:val="32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font71"/>
    <w:basedOn w:val="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6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1717</Words>
  <Characters>1858</Characters>
  <Lines>0</Lines>
  <Paragraphs>0</Paragraphs>
  <TotalTime>1</TotalTime>
  <ScaleCrop>false</ScaleCrop>
  <LinksUpToDate>false</LinksUpToDate>
  <CharactersWithSpaces>1916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2024-03-16T06:57:00Z</dcterms:created>
  <dc:creator>芷维</dc:creator>
  <cp:lastModifiedBy>三点水</cp:lastModifiedBy>
  <cp:lastPrinted>2025-06-07T01:46:00Z</cp:lastPrinted>
  <dcterms:modified xsi:type="dcterms:W3CDTF">2025-09-15T21:07:21Z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24BE1A7B74A7444B871D8BF79748EC03</vt:lpwstr>
  </property>
</Properties>
</file>