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中共民乐县委组织部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lang w:val="en-US" w:eastAsia="zh-CN" w:bidi="ar"/>
        </w:rPr>
        <w:t>部门整体支出绩效目标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县财政局：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根据《关于开展202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年度绩效自评工作的通知》文件精神，我单位认真组织开展202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年度预算执行情况绩效自评工作，现将</w:t>
      </w:r>
      <w:r>
        <w:rPr>
          <w:rFonts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年部门整体支出预算绩效目标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监控</w:t>
      </w:r>
      <w:r>
        <w:rPr>
          <w:rFonts w:hint="eastAsia" w:ascii="仿宋_GB2312" w:eastAsia="仿宋_GB2312" w:cs="仿宋_GB2312"/>
          <w:sz w:val="32"/>
          <w:szCs w:val="32"/>
        </w:rPr>
        <w:t>完成情况和预算执行情况报告如下：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一、基本职能及机构设置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eastAsia="楷体_GB2312" w:cs="Times New Roman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（一）机构组成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中共县委组织部为县委工作机关，正科级建制，挂县委老干部局、县公务员局牌子，内设职能股室6个（办公室、干部组、组织组、公务员管理组、考核监督组、老干部工作组），</w:t>
      </w:r>
      <w:r>
        <w:rPr>
          <w:rFonts w:hint="eastAsia" w:ascii="仿宋_GB2312" w:eastAsia="仿宋_GB2312" w:cs="仿宋_GB2312"/>
          <w:sz w:val="32"/>
          <w:szCs w:val="32"/>
        </w:rPr>
        <w:t>财政全额拨款事业单位。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eastAsia="楷体_GB2312" w:cs="Times New Roman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eastAsia="楷体_GB2312" w:cs="楷体_GB2312"/>
          <w:b/>
          <w:bCs/>
          <w:sz w:val="32"/>
          <w:szCs w:val="32"/>
        </w:rPr>
        <w:t>）部门主要职能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1.负责干部队伍建设的宏观管理，研究制定干部队伍建设规划和干部管理的有关制度，提出干部队伍建设的意见和建议。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2.负责县委管理干部的考察、任免、调配、交流、待遇等工作，办理干部的退（离）休手续。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3.负责干部考核监督工作，制定干部考核监督的规章制度，对干部选拔任用工作和领导干部进行监督和考核，受理有关干部问题的举报和申诉。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.研究和指导全县基层党组织建设，制定加强基层党组织建设的规划和措施，指导基层党组织开展活动，提高基层党组织的凝聚力和战斗力。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负责党员队伍建设，制定党员发展、教育、管理和服务的规划和措施，组织开展党员教育培训，做好党员发展和管理工作，指导基层党组织做好党内激励关怀帮扶工作。规划制定和督查落实全县未成年人思想道德建设工作；指导管理县文学艺术联合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.贯彻落实人才工作方针政策，研究制定人才发展规划和有关政策措施，指导和协调全县人才工作。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.负责高层次人才的引进、培养、管理和服务工作，组织开展人才评选表彰活动，营造良好的人才发展环境。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.制定干部教育培训规划和年度计划，组织实施县委管理干部和基层干部的教育培训工作。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.指导全县干部教育培训基地建设和师资队伍建设，开发利用干部教育培训资源。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.负责退（离）休干部工作的宏观管理，指导和协调各部门做好退（离）休干部的服务和管理工作。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.完成县委和上级组织部门交办的其他任务。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eastAsia="楷体_GB2312" w:cs="Times New Roman"/>
          <w:b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（三）人员概况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中共民乐县委组织部</w:t>
      </w:r>
      <w:r>
        <w:rPr>
          <w:rFonts w:hint="eastAsia" w:ascii="仿宋_GB2312" w:eastAsia="仿宋_GB2312" w:cs="仿宋_GB2312"/>
          <w:sz w:val="32"/>
          <w:szCs w:val="32"/>
        </w:rPr>
        <w:t>共有干部职工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 w:cs="仿宋_GB2312"/>
          <w:sz w:val="32"/>
          <w:szCs w:val="32"/>
        </w:rPr>
        <w:t>人，其中: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公务员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17人，</w:t>
      </w:r>
      <w:r>
        <w:rPr>
          <w:rFonts w:hint="eastAsia" w:ascii="仿宋_GB2312" w:eastAsia="仿宋_GB2312" w:cs="仿宋_GB2312"/>
          <w:sz w:val="32"/>
          <w:szCs w:val="32"/>
        </w:rPr>
        <w:t>事业编制人员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 w:cs="仿宋_GB2312"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Style w:val="10"/>
          <w:rFonts w:hint="eastAsia" w:ascii="黑体" w:hAnsi="黑体" w:eastAsia="黑体" w:cs="黑体"/>
          <w:lang w:val="en-US" w:eastAsia="zh-CN"/>
        </w:rPr>
      </w:pPr>
      <w:r>
        <w:rPr>
          <w:rStyle w:val="9"/>
          <w:rFonts w:hint="eastAsia" w:ascii="黑体" w:hAnsi="黑体" w:eastAsia="黑体" w:cs="黑体"/>
          <w:lang w:val="en-US" w:eastAsia="zh-CN"/>
        </w:rPr>
        <w:t>二、绩效自评工作组织开展情况</w:t>
      </w:r>
      <w:r>
        <w:rPr>
          <w:rStyle w:val="10"/>
          <w:rFonts w:hint="eastAsia" w:ascii="黑体" w:hAnsi="黑体" w:eastAsia="黑体" w:cs="黑体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（一）自评工作组织开展情况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高度重视，及时在财务内审工作领导小组会议上安排部署2025年度绩效自评工作，重点强调预算绩效管理工作的重要性和必要性，要严格对照年初预算设定的绩效目标，逐项梳理资金执行情况，确保数据真实、逻辑严谨，在规定时限内高质量完成自评任务。对自评中发现的问题，立行立改，将结果作为下一年度预算调整的重要依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纳入自评范围的单位、项目、资金等情况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内设股室6个，下属参公及事业单位6个，全部纳入绩效评价，根据整体支出的部门管理、履职效果、能力建设、服务对象满意度设定评价指标，共涉及自评项目1个，预算总金额992.50万元，实际执行数992.50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090000" w:fill="FFFFFF"/>
          <w:lang w:val="en-US" w:eastAsia="zh-CN" w:bidi="ar-SA"/>
        </w:rPr>
      </w:pPr>
      <w:r>
        <w:rPr>
          <w:rStyle w:val="9"/>
          <w:rFonts w:hint="eastAsia" w:ascii="黑体" w:hAnsi="黑体" w:eastAsia="黑体" w:cs="黑体"/>
          <w:lang w:val="en-US" w:eastAsia="zh-CN"/>
        </w:rPr>
        <w:t>三、部门整体支出绩效自评情况分析</w:t>
      </w:r>
      <w:r>
        <w:rPr>
          <w:rStyle w:val="10"/>
          <w:rFonts w:hint="eastAsia" w:ascii="黑体" w:hAnsi="黑体" w:eastAsia="黑体" w:cs="黑体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（一）部门决算情况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2025年部门决算收入992.50万元，其中：一般公共预算收入992.50万元。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2025年部门决算支出992.50万元。其中：基本支出977.50万元，项目支出15.00万元。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总体绩效目标完成情况分析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2025年，本部门预算支出项目1个，当年财政拨款992.50万元，全年支出992.50万元，执行率100%。通过自评，项目结果为94.34分。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各项指标完成情况分析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微软雅黑" w:eastAsia="仿宋_GB2312"/>
          <w:b/>
          <w:bCs/>
          <w:sz w:val="32"/>
          <w:szCs w:val="32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微软雅黑" w:eastAsia="仿宋_GB2312"/>
          <w:b/>
          <w:bCs/>
          <w:sz w:val="32"/>
          <w:szCs w:val="32"/>
        </w:rPr>
        <w:t>产出指标: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坚持政治立部，在学思践悟中把稳组织工作方向。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严格落实“第一议题”等制度，召开部务会会议、理论学习中心组学习会议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次、研讨交流4次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开展加强党的建设调研，围绕加强政治建设、思想建设等9个方面总结经验、查找短板，有针对性制定11个专项提升方案，着力提高党的建设质量。落实落细意识形态工作责任制，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大力宣传组织工作好经验好做法，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盯紧抓牢涉组涉干网络舆情监测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紧扣中心大局，在引领融合中展现组织工作担当。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认真履行乡村振兴组织振兴、人才振兴工作专班和组织保障、驻村帮扶专责组牵头单位工作职责，协调解决问题，调整轮换驻村干部5批次20人次，督促单位履行责任、各镇履行属地管理责任，用责任倒逼落实。征集招商引资线索33条，其中请进来洽谈项目2项，走出去开展考察5次，对接张掖市金牛农业有限责任公司打造玉米种植基地，落地项目资金800万元。协调争取市组部和市直部门支持基层党建、干部培训、人才工作等项目资金61.11万元。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注重统筹兼顾，在知责尽责中提升组织工作质效。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落实“第一议题”制度，深入实施领导干部政治能力提升等“六大计划”，抓好农村党员进党校集中轮训和城市社区党员专题培训，举办各类培训班58期5141人次。完善领导干部上讲台机制，举办“临松薤谷”大讲堂4期培训1070余人。认真落实政绩观偏差问题清单，常态化开设政绩观教育专题，组织开展专题培训2期650人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落实“第一议题”制度，深入实施领导干部政治能力提升等“六大计划”，抓好农村党员进党校集中轮训和城市社区党员专题培训，举办各类培训班58期5141人次。完善领导干部上讲台机制，举办“临松薤谷”大讲堂4期培训1070余人。认真落实政绩观偏差问题清单，常态化开设政绩观教育专题，组织开展专题培训2期650人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</w:rPr>
        <w:t>2.效益指标:</w:t>
      </w:r>
      <w:r>
        <w:rPr>
          <w:rFonts w:hint="eastAsia" w:ascii="仿宋_GB2312" w:hAnsi="微软雅黑" w:eastAsia="仿宋_GB2312"/>
          <w:sz w:val="32"/>
          <w:szCs w:val="32"/>
        </w:rPr>
        <w:t>通过坚持守正创新，全面落实意识形态工作责任制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sz w:val="32"/>
          <w:szCs w:val="32"/>
        </w:rPr>
        <w:t>坚持服务大局，全力推动干部理论教育更加系统深入、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  <w:t>党建工作基础不断加强</w:t>
      </w:r>
      <w:r>
        <w:rPr>
          <w:rFonts w:hint="eastAsia" w:ascii="仿宋_GB2312" w:hAnsi="微软雅黑" w:eastAsia="仿宋_GB2312"/>
          <w:sz w:val="32"/>
          <w:szCs w:val="32"/>
        </w:rPr>
        <w:t>、履职能力培训更加精准高效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教育培训资源更加多元丰富，着力锻造高素质干部队伍，为推动全县高质量发展铸魂赋能、凝聚力量。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认真履行全面从严治党主体责任，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制定全面从严治党主体责任工作安排，同步制定组织工作要点、机关党建、清廉建设等任务清单，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扛起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党组织主体责任、“一把手”第一责任、班子成员“一岗双责”，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强化对分管领域、组室廉政风险防控和党员干部日常管理监督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开展加强党的建设调研，围绕加强政治建设、思想建设等9个方面总结经验、查找短板，有针对性制定11个专项提升方案，着力提高党的建设质量。落实落细意识形态工作责任制，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大力宣传组织工作好经验好做法，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盯紧抓牢涉组涉干网络舆情监测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</w:rPr>
        <w:t>3.满</w:t>
      </w:r>
      <w:r>
        <w:rPr>
          <w:rFonts w:hint="eastAsia" w:ascii="仿宋_GB2312" w:hAnsi="微软雅黑" w:eastAsia="仿宋_GB2312"/>
          <w:b/>
          <w:bCs/>
          <w:spacing w:val="-6"/>
          <w:sz w:val="32"/>
          <w:szCs w:val="32"/>
        </w:rPr>
        <w:t>意度指标</w:t>
      </w:r>
      <w:r>
        <w:rPr>
          <w:rFonts w:hint="eastAsia" w:ascii="仿宋_GB2312" w:hAnsi="微软雅黑" w:eastAsia="仿宋_GB2312"/>
          <w:spacing w:val="-6"/>
          <w:sz w:val="32"/>
          <w:szCs w:val="32"/>
        </w:rPr>
        <w:t>:全县服务对象满意度95%以上，全部完成年初目</w:t>
      </w:r>
      <w:r>
        <w:rPr>
          <w:rFonts w:hint="eastAsia" w:ascii="仿宋_GB2312" w:hAnsi="微软雅黑" w:eastAsia="仿宋_GB2312"/>
          <w:sz w:val="32"/>
          <w:szCs w:val="32"/>
        </w:rPr>
        <w:t>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Chars="200" w:firstLine="320" w:firstLineChars="100"/>
        <w:textAlignment w:val="auto"/>
        <w:rPr>
          <w:rStyle w:val="9"/>
          <w:rFonts w:hint="default"/>
        </w:rPr>
      </w:pPr>
      <w:r>
        <w:rPr>
          <w:rStyle w:val="9"/>
          <w:rFonts w:hint="default"/>
        </w:rPr>
        <w:t>四、部门管理的省对市县转移支付绩效自评情况分析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年本部门无转移支付资金。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leftChars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五、绩效自评结果拟应用和公开情况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5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  <w:t>财务绩效自评结果将从三方面推进应用：一是强化结果运用，将自评发现的问题及时整改，督促财务人员优化预算编制和执行流程，提升资金使用效率；二是深化结果挂钩，将自评结果与预算安排紧密结合，作为下一年度预算调整的主要依据；三是健全监督机制，持续跟踪整改落实情况，形成管理闭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5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color="080000" w:fill="FFFFFF"/>
          <w:lang w:val="en-US" w:eastAsia="zh-CN" w:bidi="ar-SA"/>
        </w:rPr>
        <w:t>在公开方面，严格遵循政府信息公开要求，通过政务公开平台，依法依规及时、准确、完整地向社会公开财务绩效自评结果，主动接受社会监督，增强财政资金使用透明度，保障公众知情权与监督权，切实提升财政资金管理公信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84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-4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-4"/>
          <w:kern w:val="0"/>
          <w:sz w:val="30"/>
          <w:szCs w:val="30"/>
          <w:shd w:val="clear" w:fill="FFFFFF"/>
          <w:lang w:val="en-US" w:eastAsia="zh-CN" w:bidi="ar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中共民乐县委组织部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AD96C"/>
    <w:multiLevelType w:val="singleLevel"/>
    <w:tmpl w:val="F7DAD96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B5F032A"/>
    <w:multiLevelType w:val="singleLevel"/>
    <w:tmpl w:val="3B5F032A"/>
    <w:lvl w:ilvl="0" w:tentative="0">
      <w:start w:val="2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mNDZhMDhlZGI1ZDQ1ZTliYjIwYzUyN2IwNTU3MTkifQ=="/>
    <w:docVar w:name="KSO_WPS_MARK_KEY" w:val="d6e51669-e1de-45fb-a8e1-435f3b065840"/>
  </w:docVars>
  <w:rsids>
    <w:rsidRoot w:val="1E2C61BE"/>
    <w:rsid w:val="0AAF2538"/>
    <w:rsid w:val="0EFDFE8B"/>
    <w:rsid w:val="11B1300C"/>
    <w:rsid w:val="1A8E7D82"/>
    <w:rsid w:val="1B7709C3"/>
    <w:rsid w:val="1E2C61BE"/>
    <w:rsid w:val="1EDF0716"/>
    <w:rsid w:val="1FFC2D1D"/>
    <w:rsid w:val="1FFF3AC7"/>
    <w:rsid w:val="33FF06FE"/>
    <w:rsid w:val="35C0783C"/>
    <w:rsid w:val="37AB28F6"/>
    <w:rsid w:val="39FD36B5"/>
    <w:rsid w:val="3B7D5591"/>
    <w:rsid w:val="3E876D1B"/>
    <w:rsid w:val="3FB53683"/>
    <w:rsid w:val="3FB7F29D"/>
    <w:rsid w:val="3FE5E1AD"/>
    <w:rsid w:val="3FFF98DF"/>
    <w:rsid w:val="474313D6"/>
    <w:rsid w:val="4D6FC61D"/>
    <w:rsid w:val="4F23043E"/>
    <w:rsid w:val="516F4848"/>
    <w:rsid w:val="52E53CDC"/>
    <w:rsid w:val="57FDF442"/>
    <w:rsid w:val="58B7BCDB"/>
    <w:rsid w:val="59BDCAF9"/>
    <w:rsid w:val="5AF2C2CF"/>
    <w:rsid w:val="5AF73214"/>
    <w:rsid w:val="5D734955"/>
    <w:rsid w:val="5DFFB618"/>
    <w:rsid w:val="5FFF8231"/>
    <w:rsid w:val="635ADDB7"/>
    <w:rsid w:val="63FF74F1"/>
    <w:rsid w:val="690C1B6B"/>
    <w:rsid w:val="6CF748E0"/>
    <w:rsid w:val="6DFED698"/>
    <w:rsid w:val="6E0B2A40"/>
    <w:rsid w:val="6E5DE7A7"/>
    <w:rsid w:val="716EC43E"/>
    <w:rsid w:val="73ED5F93"/>
    <w:rsid w:val="74FF3C7E"/>
    <w:rsid w:val="77F316CC"/>
    <w:rsid w:val="77FB8380"/>
    <w:rsid w:val="77FF7C7B"/>
    <w:rsid w:val="77FFB861"/>
    <w:rsid w:val="7AEF4D1C"/>
    <w:rsid w:val="7CBF5079"/>
    <w:rsid w:val="7D39B44C"/>
    <w:rsid w:val="7DD4C1E8"/>
    <w:rsid w:val="7DEF22B8"/>
    <w:rsid w:val="7DFF059D"/>
    <w:rsid w:val="7DFFA008"/>
    <w:rsid w:val="7EBFE9EE"/>
    <w:rsid w:val="7EFD390A"/>
    <w:rsid w:val="7F37C47E"/>
    <w:rsid w:val="7F3BA860"/>
    <w:rsid w:val="7F62EA28"/>
    <w:rsid w:val="7F77852D"/>
    <w:rsid w:val="7FDE56A9"/>
    <w:rsid w:val="7FFE4DE4"/>
    <w:rsid w:val="7FFFEA7F"/>
    <w:rsid w:val="9ABF3E9E"/>
    <w:rsid w:val="B9DF02C5"/>
    <w:rsid w:val="BAFB89DE"/>
    <w:rsid w:val="BBFBEFE1"/>
    <w:rsid w:val="BDB34E50"/>
    <w:rsid w:val="BE797EA8"/>
    <w:rsid w:val="BF2D93BE"/>
    <w:rsid w:val="BFFA89E6"/>
    <w:rsid w:val="C64DCC85"/>
    <w:rsid w:val="CBBF2FE8"/>
    <w:rsid w:val="CDCFDC12"/>
    <w:rsid w:val="CFDF4278"/>
    <w:rsid w:val="DDD305B1"/>
    <w:rsid w:val="DED95D1A"/>
    <w:rsid w:val="DFABD5A0"/>
    <w:rsid w:val="DFB6340F"/>
    <w:rsid w:val="DFBFDEFD"/>
    <w:rsid w:val="EA898812"/>
    <w:rsid w:val="EBBF761B"/>
    <w:rsid w:val="EBFF6E29"/>
    <w:rsid w:val="EDFB0979"/>
    <w:rsid w:val="EF6B5971"/>
    <w:rsid w:val="EFEAE97A"/>
    <w:rsid w:val="EFF7BE19"/>
    <w:rsid w:val="EFFE84C4"/>
    <w:rsid w:val="F76F9208"/>
    <w:rsid w:val="F79F0424"/>
    <w:rsid w:val="F7F8FDDF"/>
    <w:rsid w:val="FBF7AAE7"/>
    <w:rsid w:val="FBFA73F9"/>
    <w:rsid w:val="FD537185"/>
    <w:rsid w:val="FDF33B97"/>
    <w:rsid w:val="FDFD12D9"/>
    <w:rsid w:val="FDFFF92E"/>
    <w:rsid w:val="FEB36DDA"/>
    <w:rsid w:val="FF55943C"/>
    <w:rsid w:val="FF6A94C1"/>
    <w:rsid w:val="FF744D4A"/>
    <w:rsid w:val="FF99BA28"/>
    <w:rsid w:val="FFB78641"/>
    <w:rsid w:val="FFDF44F5"/>
    <w:rsid w:val="FFE9488D"/>
    <w:rsid w:val="FFFD8C4A"/>
    <w:rsid w:val="FFFEF2F2"/>
    <w:rsid w:val="FFFEFE48"/>
    <w:rsid w:val="FF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napToGrid w:val="0"/>
      <w:spacing w:line="590" w:lineRule="exact"/>
      <w:ind w:firstLine="420" w:firstLineChars="200"/>
    </w:pPr>
    <w:rPr>
      <w:rFonts w:ascii="Times New Roman" w:hAnsi="Times New Roman" w:eastAsia="仿宋_GB2312"/>
      <w:spacing w:val="6"/>
      <w:sz w:val="32"/>
    </w:r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4">
    <w:name w:val="Body Text"/>
    <w:basedOn w:val="1"/>
    <w:next w:val="1"/>
    <w:qFormat/>
    <w:uiPriority w:val="99"/>
  </w:style>
  <w:style w:type="paragraph" w:styleId="5">
    <w:name w:val="Body Text Indent 2"/>
    <w:basedOn w:val="1"/>
    <w:next w:val="1"/>
    <w:qFormat/>
    <w:uiPriority w:val="0"/>
    <w:pPr>
      <w:spacing w:line="700" w:lineRule="exact"/>
      <w:ind w:firstLine="630"/>
    </w:pPr>
    <w:rPr>
      <w:rFonts w:ascii="楷体_GB2312" w:eastAsia="楷体_GB2312"/>
      <w:b/>
      <w:bCs/>
      <w:sz w:val="32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71"/>
    <w:basedOn w:val="8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0">
    <w:name w:val="font61"/>
    <w:basedOn w:val="8"/>
    <w:qFormat/>
    <w:uiPriority w:val="0"/>
    <w:rPr>
      <w:rFonts w:ascii="Arial" w:hAnsi="Arial" w:cs="Arial"/>
      <w:color w:val="000000"/>
      <w:sz w:val="32"/>
      <w:szCs w:val="3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1717</Words>
  <Characters>1858</Characters>
  <Lines>0</Lines>
  <Paragraphs>0</Paragraphs>
  <TotalTime>1</TotalTime>
  <ScaleCrop>false</ScaleCrop>
  <LinksUpToDate>false</LinksUpToDate>
  <CharactersWithSpaces>1916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2024-03-17T22:57:00Z</dcterms:created>
  <dc:creator>芷维</dc:creator>
  <cp:lastModifiedBy>红洋芋</cp:lastModifiedBy>
  <cp:lastPrinted>2025-06-08T17:46:00Z</cp:lastPrinted>
  <dcterms:modified xsi:type="dcterms:W3CDTF">2026-09-04T10:57:37Z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6B171013A7ED10491D42996A49D9EA9D_43</vt:lpwstr>
  </property>
</Properties>
</file>