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A824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880" w:firstLineChars="200"/>
        <w:jc w:val="both"/>
        <w:textAlignment w:val="baseline"/>
        <w:rPr>
          <w:rFonts w:hint="eastAsia" w:ascii="方正小标宋简体" w:hAnsi="方正小标宋简体" w:eastAsia="方正小标宋简体" w:cs="方正小标宋简体"/>
          <w:sz w:val="44"/>
          <w:szCs w:val="44"/>
        </w:rPr>
      </w:pPr>
    </w:p>
    <w:p w14:paraId="3E628E0E">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方正小标宋简体" w:hAnsi="方正小标宋简体" w:eastAsia="方正小标宋简体" w:cs="方正小标宋简体"/>
          <w:sz w:val="32"/>
          <w:szCs w:val="32"/>
        </w:rPr>
      </w:pPr>
    </w:p>
    <w:p w14:paraId="21738CE2">
      <w:pPr>
        <w:keepNext w:val="0"/>
        <w:keepLines w:val="0"/>
        <w:pageBreakBefore w:val="0"/>
        <w:widowControl/>
        <w:kinsoku w:val="0"/>
        <w:wordWrap/>
        <w:overflowPunct/>
        <w:topLinePunct w:val="0"/>
        <w:autoSpaceDE w:val="0"/>
        <w:autoSpaceDN w:val="0"/>
        <w:bidi w:val="0"/>
        <w:adjustRightInd w:val="0"/>
        <w:snapToGrid w:val="0"/>
        <w:spacing w:line="640" w:lineRule="exact"/>
        <w:ind w:right="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丰乐</w:t>
      </w:r>
      <w:r>
        <w:rPr>
          <w:rFonts w:hint="eastAsia" w:ascii="方正小标宋简体" w:hAnsi="方正小标宋简体" w:eastAsia="方正小标宋简体" w:cs="方正小标宋简体"/>
          <w:sz w:val="44"/>
          <w:szCs w:val="44"/>
        </w:rPr>
        <w:t>镇人民政府</w:t>
      </w:r>
    </w:p>
    <w:p w14:paraId="4A9E7B20">
      <w:pPr>
        <w:keepNext w:val="0"/>
        <w:keepLines w:val="0"/>
        <w:pageBreakBefore w:val="0"/>
        <w:widowControl/>
        <w:kinsoku w:val="0"/>
        <w:wordWrap/>
        <w:overflowPunct/>
        <w:topLinePunct w:val="0"/>
        <w:autoSpaceDE w:val="0"/>
        <w:autoSpaceDN w:val="0"/>
        <w:bidi w:val="0"/>
        <w:adjustRightInd w:val="0"/>
        <w:snapToGrid w:val="0"/>
        <w:spacing w:line="640" w:lineRule="exact"/>
        <w:ind w:right="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年部门整体支出绩效评价报告</w:t>
      </w:r>
    </w:p>
    <w:p w14:paraId="5661A065">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eastAsia" w:ascii="仿宋_GB2312" w:hAnsi="仿宋_GB2312" w:eastAsia="仿宋_GB2312" w:cs="仿宋_GB2312"/>
          <w:sz w:val="32"/>
          <w:szCs w:val="32"/>
        </w:rPr>
      </w:pPr>
    </w:p>
    <w:p w14:paraId="6FD77DF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一 、部门职责</w:t>
      </w:r>
    </w:p>
    <w:p w14:paraId="1AEABED0">
      <w:pPr>
        <w:keepNext w:val="0"/>
        <w:keepLines w:val="0"/>
        <w:pageBreakBefore w:val="0"/>
        <w:widowControl/>
        <w:kinsoku/>
        <w:wordWrap/>
        <w:overflowPunct/>
        <w:topLinePunct w:val="0"/>
        <w:autoSpaceDE/>
        <w:autoSpaceDN/>
        <w:bidi w:val="0"/>
        <w:adjustRightInd/>
        <w:snapToGrid/>
        <w:spacing w:before="100" w:after="100" w:line="560" w:lineRule="exact"/>
        <w:ind w:firstLine="643" w:firstLineChars="200"/>
        <w:jc w:val="both"/>
        <w:textAlignment w:val="auto"/>
        <w:rPr>
          <w:rFonts w:hint="eastAsia" w:ascii="楷体_GB2312" w:hAnsi="楷体_GB2312" w:eastAsia="楷体_GB2312" w:cs="楷体_GB2312"/>
          <w:b/>
          <w:bCs w:val="0"/>
          <w:sz w:val="32"/>
          <w:szCs w:val="32"/>
          <w:lang w:val="zh-CN"/>
        </w:rPr>
      </w:pPr>
      <w:r>
        <w:rPr>
          <w:rFonts w:hint="eastAsia" w:ascii="楷体_GB2312" w:hAnsi="楷体_GB2312" w:eastAsia="楷体_GB2312" w:cs="楷体_GB2312"/>
          <w:b/>
          <w:bCs w:val="0"/>
          <w:sz w:val="32"/>
          <w:szCs w:val="32"/>
          <w:lang w:val="zh-CN"/>
        </w:rPr>
        <w:t>一、部门职责</w:t>
      </w:r>
    </w:p>
    <w:p w14:paraId="18FB56B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rPr>
        <w:t>(一)宣传和贯彻执行党的路线方针政策和党中央、上级党组织及镇党员代表大会(党员大会)的决议。执行本级人民代表大会的决议和上级国家行政机关的决定和命令，发布决定和命令</w:t>
      </w:r>
      <w:r>
        <w:rPr>
          <w:rFonts w:hint="eastAsia" w:ascii="仿宋_GB2312" w:hAnsi="仿宋_GB2312" w:eastAsia="仿宋_GB2312" w:cs="仿宋_GB2312"/>
          <w:sz w:val="32"/>
          <w:szCs w:val="32"/>
          <w:lang w:val="zh-CN" w:eastAsia="zh-CN"/>
        </w:rPr>
        <w:t>。</w:t>
      </w:r>
    </w:p>
    <w:p w14:paraId="177F51D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研究决定本镇党的建设、政治建设、经济建设、文化建设、社会建设、生态文明建设和乡村振兴等方面的重大问题对辖区内地区性、群众性、公益性、社会性工作履行组织领导综合协调、服务和监督检查职责。</w:t>
      </w:r>
    </w:p>
    <w:p w14:paraId="42E7CE5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落实基层党建工作责任制，加强镇党委自身建设和村党组织建设，以及其他隶属镇党委的党组织建设，抓好发展党员工作，加强党员队伍建设。维护和执行党的纪律，监督党员干部和其他任何工作人员严格遵守国家法律法规。领导辖区内政权机关、群团组织和其他各类组织，加强指导和规范，支持和保证这些机关和组织依照国家法律法规以及各自章程履行职责。</w:t>
      </w:r>
    </w:p>
    <w:p w14:paraId="5C9D6B6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四)统筹制定区域发展重大决策和建设规划，负责制定符合镇情的经济发展规划，推进重大项目建设和落地，落实经济运行目标，整顿规范市场经济秩序，研究解决经济发展中的问题。按规定权限开展或与有关职能部门共同开展城市管理、生态环境保护、环境卫生管理、市场监督管理等工作。负责本镇的三农工作。</w:t>
      </w:r>
    </w:p>
    <w:p w14:paraId="7CE3CAE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(五)统筹负责辖区内的民生保障、公共服务、社会服务:按规定权限做好辖区内的科技、教育、体育、社保、就业、民政、医保、卫生健康、双拥、退役军人、残疾人保障、志愿者服务、共驻共建等工作。</w:t>
      </w:r>
    </w:p>
    <w:p w14:paraId="792D787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六)统筹负责辖区综合治理工作,负责辖区内的公共安全平安建设、法治建设、社会治安、信访维稳、矛盾纠纷调处化解,应急管理、安全生产、消防管理、防汛抗旱、自然资源、森林草原湿地保护、防灾减灾救灾、社区矫正、社情民意反映等工作。负责民事调解及法律服务工作，保护公民私人所有的合法财产，保护公民的人身权利、民主权利和其他权利。</w:t>
      </w:r>
    </w:p>
    <w:p w14:paraId="66F7C49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七)完善党领导下的基层社会治理体系，负责基层政权组织建设工作，指导和帮助村民委员会做好组织建设和制度建设，发挥村民委员会的群众自治组织作用。动员辖区内各类单位、社会组织和村民等社会力量参与社会治理，引导辖区单位履行社会责任，整合区域内各种社会力量为村级发展服务，大力兴办社会福利事业，发动和组织村民委员会开展各类社会公益活动。</w:t>
      </w:r>
    </w:p>
    <w:p w14:paraId="3FE7D4D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(八)统筹负责辖区综合行政执法工作，履行法律法规明确或上级政府依法赋予和委托的行政执法职权。统筹协调县级部门派驻机构的执法力量，做好辖区综合行政执法规范化建设。</w:t>
      </w:r>
    </w:p>
    <w:p w14:paraId="5C886B2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(九)负责本镇财政、审计、统计工作，负责编制本镇财政预决算计划，负责本镇国有资产和集体资产管理工作，保障各种经济组织的合法权益，组织开展村组集体三资管理。</w:t>
      </w:r>
    </w:p>
    <w:p w14:paraId="6239DEF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(十)按照干部管理权限，负责对本镇及村组干部的教育培训、推荐选拔、考核和监督管理工作，做好农村人才队伍建设</w:t>
      </w:r>
    </w:p>
    <w:p w14:paraId="7BB8FB2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(十一)承办县委、县政府交办的其他工作</w:t>
      </w:r>
    </w:p>
    <w:p w14:paraId="4493C87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二、机构设置</w:t>
      </w:r>
    </w:p>
    <w:p w14:paraId="06F90D75">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（一）党政内设机构</w:t>
      </w:r>
    </w:p>
    <w:p w14:paraId="2E1D864D">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(一)党政综合办公室。负责镇机关党的建设、政府、人大、政协、纪检监察、宣传、统战(民族宗教)、意识形态、精神文明、群团等工作;承担机关党建、文书档案、统计、信息、会务、机关后勤等日常事务工作。</w:t>
      </w:r>
    </w:p>
    <w:p w14:paraId="33B0F841">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党建工作办公室。负责基层党建工作，指导协调督促做好基层组织设置、发展党员、党员队伍建设、党内统计、党费收缴、党组织关系转接、党务公开、基层组织活动场所建设党内激励关怀帮扶、党建示范点创建、软弱涣散党组织整顿转化等工作。</w:t>
      </w:r>
    </w:p>
    <w:p w14:paraId="6A15237D">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经济发展和社会事务办公室。负责制定和组织实施镇农业、工业、第三产业发展规划，贯彻落实强农惠农政策措施，统筹产业发展布局和结构调整、乡村建设等工作;负责申报、实施和监督镇各类项目建设;负责国民经济和社会产业综合统计等工作，协调与经济发展相关的其他工作;负责教育、科技、卫生健康、民政、社保、医保、退役军人等社会事务;负责农村基层政权建设，综合协调村组社区事务管理;负责生态环境保护、生态环境综合整治、农村饮用水水源地保护及生态示范创建。</w:t>
      </w:r>
    </w:p>
    <w:p w14:paraId="52EE737F">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四)平安法治办公室(加挂社会治安综合治理中心牌子)负责辖区内的社会治安综合治理、平安建设、信访维稳、矛盾纠纷调处化解等工作，管理协调综治工作平台;统筹负责辖区内安全生产、应急处置工作，负责建立健全应急管理平战结合机制;承担应对安全生产类、自然灾害类等突发事件和综合防灾减灾救灾工作。</w:t>
      </w:r>
    </w:p>
    <w:p w14:paraId="7FBABA8A">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（二）事业内设机构</w:t>
      </w:r>
    </w:p>
    <w:p w14:paraId="75864794">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一)农业农村综合服务中心。副科级建制，核定事业编制7名，设主任1名。负责农技、农机、林业、农村能源等技术服务工作，引进、试验、示范和推广农业新技术、新品种、新机具开展动植物资源保护和开发利用;预测、预报、防治和处置农作物、林木草原病虫害和农业灾害，承担农产品质量、农业机械安全监测服务等工作;负责畜牧兽医、动物疫病防控救治等工作;承担农村“三变”、承包地、宅基地等改革服务工作，参与农村集体产权制度改革，指导农民合作经济组织、农业社会化服务体系、新型农业经营主体建设与发展;承担新农村建设、乡村振兴巩固拓展脱贫攻坚成果同乡村振兴有效衔接、集镇建设、全域无垃圾治理等服务工作;负责农村劳动力技能培训、劳务输出工作;负责辖区公路及其设施建设和管护工作。</w:t>
      </w:r>
    </w:p>
    <w:p w14:paraId="1C568591">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党群服务中心(加挂新时代文明实践所、退役军人服务站牌子)。副科级建制，核定事业编制8名，设主任1名。负责党群服务中心的标准化、信息化建设;提供党员群众日常教育、法律、文化体育、卫生健康、就业创业、公共安全、区域共建共享等服务;负责行政审批服务事项的受理、办理工作，提供政策和业务咨询;指导村便民服务点建设;负责志愿者服务，新时代文明实践等工作;负责退役军人服务等工作。</w:t>
      </w:r>
    </w:p>
    <w:p w14:paraId="5214BBB3">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文化服务中心。副科级建制，核定事业编制3名，设主任1名。负责组织开展文化旅游活动,指导培训基层文艺骨干，指导村级开展文化服务工作;负责搜集、整理民间文化遗产，做好辖区内的文物保护工作;负责非物质文化遗产的管理、搜集、整理和优秀民族文化的传承普及工作;负责辖区公共文化阵地建设，管护基层公共文化设施、设备正常运转;负责文化体育旅游经济运行监测、统计工作;负责辖区内文化体育旅游、全民健身工作。</w:t>
      </w:r>
    </w:p>
    <w:p w14:paraId="54F98424">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四)综合执法队。科级建制，核定事业编制16名，科级职数2名，设队长1名、副队长1名。负责整合辖区内执法力量和资源，以镇名义开展辖区内综合执法工作，负责授权范围内的行政处罚以及与行政处罚相关的行政检查和行政强制。</w:t>
      </w:r>
    </w:p>
    <w:p w14:paraId="4EC9FFF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三、部门资金收入、支出情况</w:t>
      </w:r>
    </w:p>
    <w:p w14:paraId="32F9D03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(一)部门收入情况</w:t>
      </w:r>
    </w:p>
    <w:p w14:paraId="4CCE75A5">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民乐县</w:t>
      </w:r>
      <w:r>
        <w:rPr>
          <w:rFonts w:hint="eastAsia" w:ascii="仿宋_GB2312" w:hAnsi="仿宋_GB2312" w:eastAsia="仿宋_GB2312" w:cs="仿宋_GB2312"/>
          <w:sz w:val="32"/>
          <w:szCs w:val="32"/>
          <w:lang w:eastAsia="zh-CN"/>
        </w:rPr>
        <w:t>丰乐</w:t>
      </w:r>
      <w:r>
        <w:rPr>
          <w:rFonts w:hint="eastAsia" w:ascii="仿宋_GB2312" w:hAnsi="仿宋_GB2312" w:eastAsia="仿宋_GB2312" w:cs="仿宋_GB2312"/>
          <w:sz w:val="32"/>
          <w:szCs w:val="32"/>
        </w:rPr>
        <w:t>镇人民政府202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年部门决算收入</w:t>
      </w:r>
      <w:r>
        <w:rPr>
          <w:rFonts w:hint="eastAsia" w:ascii="仿宋_GB2312" w:hAnsi="仿宋_GB2312" w:eastAsia="仿宋_GB2312" w:cs="仿宋_GB2312"/>
          <w:sz w:val="32"/>
          <w:szCs w:val="32"/>
          <w:lang w:val="en-US" w:eastAsia="zh-CN"/>
        </w:rPr>
        <w:t>1189.22</w:t>
      </w:r>
      <w:r>
        <w:rPr>
          <w:rFonts w:hint="eastAsia" w:ascii="仿宋_GB2312" w:hAnsi="仿宋_GB2312" w:eastAsia="仿宋_GB2312" w:cs="仿宋_GB2312"/>
          <w:sz w:val="32"/>
          <w:szCs w:val="32"/>
        </w:rPr>
        <w:t>万元，全部为财政预算拨款收入。</w:t>
      </w:r>
    </w:p>
    <w:p w14:paraId="24EA897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(二)部门支出情况</w:t>
      </w:r>
    </w:p>
    <w:p w14:paraId="6059FD9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民乐县</w:t>
      </w:r>
      <w:r>
        <w:rPr>
          <w:rFonts w:hint="eastAsia" w:ascii="仿宋_GB2312" w:hAnsi="仿宋_GB2312" w:eastAsia="仿宋_GB2312" w:cs="仿宋_GB2312"/>
          <w:sz w:val="32"/>
          <w:szCs w:val="32"/>
          <w:lang w:eastAsia="zh-CN"/>
        </w:rPr>
        <w:t>丰乐</w:t>
      </w:r>
      <w:r>
        <w:rPr>
          <w:rFonts w:hint="eastAsia" w:ascii="仿宋_GB2312" w:hAnsi="仿宋_GB2312" w:eastAsia="仿宋_GB2312" w:cs="仿宋_GB2312"/>
          <w:sz w:val="32"/>
          <w:szCs w:val="32"/>
        </w:rPr>
        <w:t>镇人民政府202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年决算支出总计</w:t>
      </w:r>
      <w:r>
        <w:rPr>
          <w:rFonts w:hint="eastAsia" w:ascii="仿宋_GB2312" w:hAnsi="仿宋_GB2312" w:eastAsia="仿宋_GB2312" w:cs="仿宋_GB2312"/>
          <w:sz w:val="32"/>
          <w:szCs w:val="32"/>
          <w:lang w:val="en-US" w:eastAsia="zh-CN"/>
        </w:rPr>
        <w:t>1189.22</w:t>
      </w:r>
      <w:r>
        <w:rPr>
          <w:rFonts w:hint="eastAsia" w:ascii="仿宋_GB2312" w:hAnsi="仿宋_GB2312" w:eastAsia="仿宋_GB2312" w:cs="仿宋_GB2312"/>
          <w:sz w:val="32"/>
          <w:szCs w:val="32"/>
        </w:rPr>
        <w:t>万元， 按支出性质分类</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2"/>
          <w:lang w:val="en-US" w:eastAsia="zh-CN"/>
        </w:rPr>
        <w:t>1174.66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 xml:space="preserve">项目支出 </w:t>
      </w:r>
      <w:r>
        <w:rPr>
          <w:rFonts w:hint="eastAsia" w:ascii="仿宋_GB2312" w:hAnsi="仿宋_GB2312" w:eastAsia="仿宋_GB2312" w:cs="仿宋_GB2312"/>
          <w:sz w:val="32"/>
          <w:szCs w:val="32"/>
          <w:lang w:val="en-US" w:eastAsia="zh-CN"/>
        </w:rPr>
        <w:t>14.56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7313B1E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四、总体评价与绩效指标评价分析</w:t>
      </w:r>
    </w:p>
    <w:p w14:paraId="7CD3AAA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(一)总体评价</w:t>
      </w:r>
    </w:p>
    <w:p w14:paraId="3134673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年，民乐县</w:t>
      </w:r>
      <w:r>
        <w:rPr>
          <w:rFonts w:hint="eastAsia" w:ascii="仿宋_GB2312" w:hAnsi="仿宋_GB2312" w:eastAsia="仿宋_GB2312" w:cs="仿宋_GB2312"/>
          <w:sz w:val="32"/>
          <w:szCs w:val="32"/>
          <w:lang w:eastAsia="zh-CN"/>
        </w:rPr>
        <w:t>丰乐</w:t>
      </w:r>
      <w:r>
        <w:rPr>
          <w:rFonts w:hint="eastAsia" w:ascii="仿宋_GB2312" w:hAnsi="仿宋_GB2312" w:eastAsia="仿宋_GB2312" w:cs="仿宋_GB2312"/>
          <w:sz w:val="32"/>
          <w:szCs w:val="32"/>
        </w:rPr>
        <w:t>镇人民政府紧紧围绕县委、县政府“小 县大城”发展格局，以乡村振兴为目标，以乡村建设为抓手，以 生态及地质灾害避险搬迁为牵引，团结和依靠全镇人民，紧抓重 点，攻克难点，创新亮点，全镇经济环境平稳运行、社会环境和 谐稳定、政治环境风清气正，各项工作稳步推进。结合民乐县</w:t>
      </w:r>
      <w:r>
        <w:rPr>
          <w:rFonts w:hint="eastAsia" w:ascii="仿宋_GB2312" w:hAnsi="仿宋_GB2312" w:eastAsia="仿宋_GB2312" w:cs="仿宋_GB2312"/>
          <w:sz w:val="32"/>
          <w:szCs w:val="32"/>
          <w:lang w:eastAsia="zh-CN"/>
        </w:rPr>
        <w:t>丰乐</w:t>
      </w:r>
      <w:r>
        <w:rPr>
          <w:rFonts w:hint="eastAsia" w:ascii="仿宋_GB2312" w:hAnsi="仿宋_GB2312" w:eastAsia="仿宋_GB2312" w:cs="仿宋_GB2312"/>
          <w:sz w:val="32"/>
          <w:szCs w:val="32"/>
        </w:rPr>
        <w:t>镇人民政府部门整体情况及发展要求，经综合评价：民乐县</w:t>
      </w:r>
      <w:r>
        <w:rPr>
          <w:rFonts w:hint="eastAsia" w:ascii="仿宋_GB2312" w:hAnsi="仿宋_GB2312" w:eastAsia="仿宋_GB2312" w:cs="仿宋_GB2312"/>
          <w:sz w:val="32"/>
          <w:szCs w:val="32"/>
          <w:lang w:eastAsia="zh-CN"/>
        </w:rPr>
        <w:t>丰乐</w:t>
      </w:r>
      <w:r>
        <w:rPr>
          <w:rFonts w:hint="eastAsia" w:ascii="仿宋_GB2312" w:hAnsi="仿宋_GB2312" w:eastAsia="仿宋_GB2312" w:cs="仿宋_GB2312"/>
          <w:sz w:val="32"/>
          <w:szCs w:val="32"/>
        </w:rPr>
        <w:t>镇人民政府202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年部门整体支出绩效评价综合评分结果为 </w:t>
      </w:r>
      <w:r>
        <w:rPr>
          <w:rFonts w:hint="eastAsia" w:ascii="仿宋_GB2312" w:hAnsi="仿宋_GB2312" w:eastAsia="仿宋_GB2312" w:cs="仿宋_GB2312"/>
          <w:sz w:val="32"/>
          <w:szCs w:val="32"/>
          <w:lang w:val="en-US" w:eastAsia="zh-CN"/>
        </w:rPr>
        <w:t>90.32</w:t>
      </w:r>
      <w:r>
        <w:rPr>
          <w:rFonts w:hint="eastAsia" w:ascii="仿宋_GB2312" w:hAnsi="仿宋_GB2312" w:eastAsia="仿宋_GB2312" w:cs="仿宋_GB2312"/>
          <w:sz w:val="32"/>
          <w:szCs w:val="32"/>
        </w:rPr>
        <w:t>分，综合评定等级为“优”</w:t>
      </w:r>
      <w:r>
        <w:rPr>
          <w:rFonts w:hint="eastAsia" w:ascii="仿宋_GB2312" w:hAnsi="仿宋_GB2312" w:eastAsia="仿宋_GB2312" w:cs="仿宋_GB2312"/>
          <w:sz w:val="32"/>
          <w:szCs w:val="32"/>
          <w:lang w:eastAsia="zh-CN"/>
        </w:rPr>
        <w:t>。</w:t>
      </w:r>
    </w:p>
    <w:p w14:paraId="4819E85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(二)绩效指标评价分析</w:t>
      </w:r>
    </w:p>
    <w:p w14:paraId="63DC66C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1.部门管理指标</w:t>
      </w:r>
    </w:p>
    <w:p w14:paraId="5E7DC59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资金投入：(1)基本支出预算执行率=100%;(2)项目支出预算执行率≤100%;(3)“三公”经费控制率≤100%;(4)结转结余受动率≤0%,此指标赋分8分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得分8分。</w:t>
      </w:r>
    </w:p>
    <w:p w14:paraId="298DB26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财务管理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(1)财务管理制度健全性——健全;(2)资金使用规范性——规范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此指标赋分4分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得分3.</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分。</w:t>
      </w:r>
    </w:p>
    <w:p w14:paraId="1246778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采购管理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政府采购规范性——规范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此指标赋分2分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w:t>
      </w:r>
      <w:r>
        <w:rPr>
          <w:rFonts w:hint="eastAsia" w:ascii="仿宋_GB2312" w:hAnsi="仿宋_GB2312" w:eastAsia="仿宋_GB2312" w:cs="仿宋_GB2312"/>
          <w:sz w:val="32"/>
          <w:szCs w:val="32"/>
          <w:lang w:val="en-US" w:eastAsia="zh-CN"/>
        </w:rPr>
        <w:t>分</w:t>
      </w:r>
      <w:r>
        <w:rPr>
          <w:rFonts w:hint="eastAsia" w:ascii="仿宋_GB2312" w:hAnsi="仿宋_GB2312" w:eastAsia="仿宋_GB2312" w:cs="仿宋_GB2312"/>
          <w:sz w:val="32"/>
          <w:szCs w:val="32"/>
        </w:rPr>
        <w:t>1.8分。</w:t>
      </w:r>
    </w:p>
    <w:p w14:paraId="43DA4B5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人员管理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在职人员控制率≤100%,此指标赋分2分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w:t>
      </w:r>
      <w:r>
        <w:rPr>
          <w:rFonts w:hint="eastAsia" w:ascii="仿宋_GB2312" w:hAnsi="仿宋_GB2312" w:eastAsia="仿宋_GB2312" w:cs="仿宋_GB2312"/>
          <w:sz w:val="32"/>
          <w:szCs w:val="32"/>
          <w:lang w:val="en-US" w:eastAsia="zh-CN"/>
        </w:rPr>
        <w:t>分</w:t>
      </w:r>
      <w:r>
        <w:rPr>
          <w:rFonts w:hint="eastAsia" w:ascii="仿宋_GB2312" w:hAnsi="仿宋_GB2312" w:eastAsia="仿宋_GB2312" w:cs="仿宋_GB2312"/>
          <w:sz w:val="32"/>
          <w:szCs w:val="32"/>
        </w:rPr>
        <w:t>2分。</w:t>
      </w:r>
    </w:p>
    <w:p w14:paraId="1B9DDB7E">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重点工作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重点工作管理制度健全性——健全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 xml:space="preserve">此指标赋分 </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得分1.</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分。</w:t>
      </w:r>
    </w:p>
    <w:p w14:paraId="20E7C09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资产管理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资产管理规范性——规范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此指标赋分2分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得分1.8分。</w:t>
      </w:r>
    </w:p>
    <w:p w14:paraId="5BD0CD1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2.履职效果指标</w:t>
      </w:r>
    </w:p>
    <w:p w14:paraId="2802483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部门履职</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(1)实际完成率≥100%;(2)各项工作完成及时率≥100%;(3)资金发放及时率≥100%;(4)社保等缴纳及时性——及时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此指标赋分25分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得分24.</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分。</w:t>
      </w:r>
    </w:p>
    <w:p w14:paraId="4D65B69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部门效果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(1)公用经费控制率=100%;(</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)持续提升工作效率及工作质量——提升</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此指标赋分</w:t>
      </w:r>
      <w:r>
        <w:rPr>
          <w:rFonts w:hint="eastAsia" w:ascii="仿宋_GB2312" w:hAnsi="仿宋_GB2312" w:eastAsia="仿宋_GB2312" w:cs="仿宋_GB2312"/>
          <w:sz w:val="32"/>
          <w:szCs w:val="32"/>
          <w:lang w:val="en-US" w:eastAsia="zh-CN"/>
        </w:rPr>
        <w:t>12.5</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得分</w:t>
      </w:r>
      <w:r>
        <w:rPr>
          <w:rFonts w:hint="eastAsia" w:ascii="仿宋_GB2312" w:hAnsi="仿宋_GB2312" w:eastAsia="仿宋_GB2312" w:cs="仿宋_GB2312"/>
          <w:sz w:val="32"/>
          <w:szCs w:val="32"/>
          <w:lang w:val="en-US" w:eastAsia="zh-CN"/>
        </w:rPr>
        <w:t>12.5</w:t>
      </w:r>
      <w:r>
        <w:rPr>
          <w:rFonts w:hint="eastAsia" w:ascii="仿宋_GB2312" w:hAnsi="仿宋_GB2312" w:eastAsia="仿宋_GB2312" w:cs="仿宋_GB2312"/>
          <w:sz w:val="32"/>
          <w:szCs w:val="32"/>
        </w:rPr>
        <w:t>分。</w:t>
      </w:r>
    </w:p>
    <w:p w14:paraId="09241F1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社会影响</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(1)违法违纪情况——无</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(2)获奖数=1个，此指标赋分</w:t>
      </w:r>
      <w:r>
        <w:rPr>
          <w:rFonts w:hint="eastAsia" w:ascii="仿宋_GB2312" w:hAnsi="仿宋_GB2312" w:eastAsia="仿宋_GB2312" w:cs="仿宋_GB2312"/>
          <w:sz w:val="32"/>
          <w:szCs w:val="32"/>
          <w:lang w:val="en-US" w:eastAsia="zh-CN"/>
        </w:rPr>
        <w:t>12.5</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得分</w:t>
      </w:r>
      <w:r>
        <w:rPr>
          <w:rFonts w:hint="eastAsia" w:ascii="仿宋_GB2312" w:hAnsi="仿宋_GB2312" w:eastAsia="仿宋_GB2312" w:cs="仿宋_GB2312"/>
          <w:sz w:val="32"/>
          <w:szCs w:val="32"/>
          <w:lang w:val="en-US" w:eastAsia="zh-CN"/>
        </w:rPr>
        <w:t>11.75</w:t>
      </w:r>
      <w:r>
        <w:rPr>
          <w:rFonts w:hint="eastAsia" w:ascii="仿宋_GB2312" w:hAnsi="仿宋_GB2312" w:eastAsia="仿宋_GB2312" w:cs="仿宋_GB2312"/>
          <w:sz w:val="32"/>
          <w:szCs w:val="32"/>
        </w:rPr>
        <w:t>分。</w:t>
      </w:r>
    </w:p>
    <w:p w14:paraId="0D54C03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服务对象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办事群众满意度≥95%,此指标赋分10分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得分10分。</w:t>
      </w:r>
    </w:p>
    <w:p w14:paraId="79F67C4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3.能力建设指标</w:t>
      </w:r>
    </w:p>
    <w:p w14:paraId="31481BA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长效管理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中长期规划建设完成情况——完备；</w:t>
      </w:r>
    </w:p>
    <w:p w14:paraId="79E77A4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人力资源</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人员培训健全机制率——</w:t>
      </w:r>
      <w:r>
        <w:rPr>
          <w:rFonts w:hint="eastAsia" w:ascii="仿宋_GB2312" w:hAnsi="仿宋_GB2312" w:eastAsia="仿宋_GB2312" w:cs="仿宋_GB2312"/>
          <w:sz w:val="32"/>
          <w:szCs w:val="32"/>
          <w:lang w:eastAsia="zh-CN"/>
        </w:rPr>
        <w:t>完备</w:t>
      </w:r>
      <w:r>
        <w:rPr>
          <w:rFonts w:hint="eastAsia" w:ascii="仿宋_GB2312" w:hAnsi="仿宋_GB2312" w:eastAsia="仿宋_GB2312" w:cs="仿宋_GB2312"/>
          <w:sz w:val="32"/>
          <w:szCs w:val="32"/>
        </w:rPr>
        <w:t>；</w:t>
      </w:r>
    </w:p>
    <w:p w14:paraId="6C4F1FA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档案管理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档案完备管理情况——完备；</w:t>
      </w:r>
    </w:p>
    <w:p w14:paraId="3F156E5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此指标赋分10分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得分9.</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分。</w:t>
      </w:r>
    </w:p>
    <w:p w14:paraId="6568190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五、存在的问题及原因</w:t>
      </w:r>
    </w:p>
    <w:p w14:paraId="23E7D05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(一)项目进度不均衡</w:t>
      </w:r>
    </w:p>
    <w:p w14:paraId="2B1D8D6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部分项目因资金拨付延迟或前期准备工作不充分，导致项目 进展滞后。</w:t>
      </w:r>
    </w:p>
    <w:p w14:paraId="187CD71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(二)项目进度不均衡</w:t>
      </w:r>
    </w:p>
    <w:p w14:paraId="1A70A62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部分项目在实施过程中存在管理不规范、监督不到位的情况，导致项目效果未达到预期。</w:t>
      </w:r>
    </w:p>
    <w:p w14:paraId="79915AD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(三)资金使用效率有待提高</w:t>
      </w:r>
    </w:p>
    <w:p w14:paraId="545309F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部分项目资金使用效率较低，存在资金闲置或浪费现象。</w:t>
      </w:r>
    </w:p>
    <w:p w14:paraId="146F406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六、改进的措施及方法</w:t>
      </w:r>
    </w:p>
    <w:p w14:paraId="60AA081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(一)加强项目前期准备</w:t>
      </w:r>
    </w:p>
    <w:p w14:paraId="2BF0009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在项目立项阶段，充分做好前期调研和准备工作，确保项目 按计划推进。</w:t>
      </w:r>
    </w:p>
    <w:p w14:paraId="13EBA34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(二)优化资金拨付流程</w:t>
      </w:r>
    </w:p>
    <w:p w14:paraId="37596F8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加强与财政部门的沟通协调，确保项目资金及时拨付，避免 因资金问题影响项目进度。</w:t>
      </w:r>
    </w:p>
    <w:p w14:paraId="65FB452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(三)强化项目管理</w:t>
      </w:r>
    </w:p>
    <w:p w14:paraId="5B515AE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建立健全项目管理制度，明确责任分工，加强项目实施的监 督和评估，确保项目按计划推进并取得预期效果。</w:t>
      </w:r>
    </w:p>
    <w:p w14:paraId="56D9C25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(四)提高资金使用效率</w:t>
      </w:r>
    </w:p>
    <w:p w14:paraId="0D2EE71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加强资金使用的绩效评估，确保资金用在刀刃上，避免资金 闲置或浪费。同时，探索引入第三方评估机制，提升资金使用的 透明度和效益。</w:t>
      </w:r>
    </w:p>
    <w:p w14:paraId="2E47CEA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(五)提升群众参与度</w:t>
      </w:r>
    </w:p>
    <w:p w14:paraId="0972A95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在项目实施过程中，广泛征求群众意见，确保项目符合群众 需求，提升群众满意度。</w:t>
      </w:r>
    </w:p>
    <w:p w14:paraId="5F4728E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p>
    <w:p w14:paraId="33FBEAB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p>
    <w:p w14:paraId="5E5EFDF3">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5440" w:firstLineChars="17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丰乐</w:t>
      </w:r>
      <w:r>
        <w:rPr>
          <w:rFonts w:hint="eastAsia" w:ascii="仿宋_GB2312" w:hAnsi="仿宋_GB2312" w:eastAsia="仿宋_GB2312" w:cs="仿宋_GB2312"/>
          <w:sz w:val="32"/>
          <w:szCs w:val="32"/>
        </w:rPr>
        <w:t>镇人民政府</w:t>
      </w:r>
    </w:p>
    <w:p w14:paraId="2A33659D">
      <w:pPr>
        <w:keepNext w:val="0"/>
        <w:keepLines w:val="0"/>
        <w:pageBreakBefore w:val="0"/>
        <w:widowControl/>
        <w:kinsoku w:val="0"/>
        <w:wordWrap/>
        <w:overflowPunct/>
        <w:topLinePunct w:val="0"/>
        <w:autoSpaceDE w:val="0"/>
        <w:autoSpaceDN w:val="0"/>
        <w:bidi w:val="0"/>
        <w:adjustRightInd w:val="0"/>
        <w:snapToGrid w:val="0"/>
        <w:spacing w:line="560" w:lineRule="exact"/>
        <w:ind w:right="315" w:rightChars="15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bookmarkStart w:id="0" w:name="_GoBack"/>
      <w:bookmarkEnd w:id="0"/>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日</w:t>
      </w:r>
    </w:p>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8180A">
    <w:pPr>
      <w:jc w:val="right"/>
      <w:rPr>
        <w:rFonts w:ascii="宋体" w:hAnsi="宋体" w:eastAsia="宋体" w:cs="宋体"/>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1C191">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2C1C191">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03422"/>
    <w:rsid w:val="01D636E1"/>
    <w:rsid w:val="02DC57FB"/>
    <w:rsid w:val="0C303422"/>
    <w:rsid w:val="1CC75EC6"/>
    <w:rsid w:val="43D72329"/>
    <w:rsid w:val="4DFD1F57"/>
    <w:rsid w:val="505341F8"/>
    <w:rsid w:val="55C21214"/>
    <w:rsid w:val="5805073A"/>
    <w:rsid w:val="5AB67D0C"/>
    <w:rsid w:val="5D0C0CBE"/>
    <w:rsid w:val="67612084"/>
    <w:rsid w:val="6B5143A1"/>
    <w:rsid w:val="74563369"/>
    <w:rsid w:val="7A532139"/>
    <w:rsid w:val="7BA45C33"/>
    <w:rsid w:val="7C142D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3823</Words>
  <Characters>3983</Characters>
  <Lines>0</Lines>
  <Paragraphs>0</Paragraphs>
  <TotalTime>133</TotalTime>
  <ScaleCrop>false</ScaleCrop>
  <LinksUpToDate>false</LinksUpToDate>
  <CharactersWithSpaces>4028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2025-06-06T10:10:00Z</dcterms:created>
  <dc:creator>གོ་ང་གོ།</dc:creator>
  <cp:lastModifiedBy>WPS_1467815966</cp:lastModifiedBy>
  <cp:lastPrinted>2025-06-10T01:36:00Z</cp:lastPrinted>
  <dcterms:modified xsi:type="dcterms:W3CDTF">2026-09-03T10:46:31Z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E88914B5B90C4D968BD4137296FF3EEE_13</vt:lpwstr>
  </property>
  <property fmtid="{D5CDD505-2E9C-101B-9397-08002B2CF9AE}" pid="4" name="KSOTemplateDocerSaveRecord">
    <vt:lpwstr>eyJoZGlkIjoiYzU2NWU1YWY4ZmU2MWE2M2M3NDk5ZDA1ODQ3ZjIxNzIiLCJ1c2VySWQiOiIyMjgwODc1MTUifQ==</vt:lpwstr>
  </property>
</Properties>
</file>