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B636A">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_GB2312" w:eastAsia="仿宋_GB2312"/>
          <w:sz w:val="32"/>
          <w:szCs w:val="32"/>
          <w:lang w:val="en-US" w:eastAsia="zh-CN"/>
        </w:rPr>
      </w:pPr>
    </w:p>
    <w:p w14:paraId="1DF50476">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方正小标宋简体" w:eastAsia="方正小标宋简体" w:cs="Times New Roman"/>
          <w:sz w:val="44"/>
          <w:szCs w:val="44"/>
          <w:lang w:val="en-US" w:eastAsia="zh-CN"/>
        </w:rPr>
      </w:pPr>
      <w:r>
        <w:rPr>
          <w:rFonts w:hint="eastAsia" w:ascii="方正小标宋简体" w:eastAsia="方正小标宋简体"/>
          <w:sz w:val="44"/>
          <w:szCs w:val="44"/>
          <w:lang w:eastAsia="zh-CN"/>
        </w:rPr>
        <w:t>民乐县乐民新城社区服务中心</w:t>
      </w:r>
      <w:r>
        <w:rPr>
          <w:rFonts w:hint="eastAsia" w:ascii="方正小标宋简体" w:eastAsia="方正小标宋简体" w:cs="Times New Roman"/>
          <w:sz w:val="44"/>
          <w:szCs w:val="44"/>
          <w:lang w:val="en-US" w:eastAsia="zh-CN"/>
        </w:rPr>
        <w:t>2025年度</w:t>
      </w:r>
    </w:p>
    <w:p w14:paraId="6119A92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方正小标宋简体" w:hAnsi="Calibri" w:eastAsia="方正小标宋简体" w:cs="Times New Roman"/>
          <w:sz w:val="44"/>
          <w:szCs w:val="44"/>
          <w:lang w:val="en-US" w:eastAsia="zh-CN"/>
        </w:rPr>
      </w:pPr>
      <w:r>
        <w:rPr>
          <w:rFonts w:hint="eastAsia" w:ascii="方正小标宋简体" w:eastAsia="方正小标宋简体" w:cs="Times New Roman"/>
          <w:sz w:val="44"/>
          <w:szCs w:val="44"/>
          <w:lang w:val="en-US" w:eastAsia="zh-CN"/>
        </w:rPr>
        <w:t>整体绩效</w:t>
      </w:r>
      <w:r>
        <w:rPr>
          <w:rFonts w:hint="eastAsia" w:ascii="方正小标宋简体" w:hAnsi="Calibri" w:eastAsia="方正小标宋简体" w:cs="Times New Roman"/>
          <w:sz w:val="44"/>
          <w:szCs w:val="44"/>
          <w:lang w:val="en-US" w:eastAsia="zh-CN"/>
        </w:rPr>
        <w:t>自评报告</w:t>
      </w:r>
    </w:p>
    <w:p w14:paraId="21172D30">
      <w:pPr>
        <w:pStyle w:val="5"/>
        <w:jc w:val="center"/>
        <w:rPr>
          <w:rFonts w:hint="eastAsia"/>
          <w:lang w:eastAsia="zh-CN"/>
        </w:rPr>
      </w:pPr>
    </w:p>
    <w:p w14:paraId="368FC36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一、部门职责</w:t>
      </w:r>
    </w:p>
    <w:p w14:paraId="02DFB7AB">
      <w:pPr>
        <w:keepNext w:val="0"/>
        <w:keepLines w:val="0"/>
        <w:pageBreakBefore w:val="0"/>
        <w:widowControl w:val="0"/>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(一）部门主要职能</w:t>
      </w:r>
    </w:p>
    <w:p w14:paraId="746FBA2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民乐县乐民新城社区服务中心，科级建制，公益一类事业单位，在中共民乐县乐民新城社区工作委员会的领导下负责乐民新城搬迁群众的服务管理工作。核心职能如下:</w:t>
      </w:r>
    </w:p>
    <w:p w14:paraId="302BDBC4">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(一)加强党的建设。全面落实基层党建工作责任制，学习 宣传贯彻执行党的路线、方针、政策。落实县委、县政府的工作  安排。推进社区党建与单位党建、行业党建、区域党建互联互动。</w:t>
      </w:r>
    </w:p>
    <w:p w14:paraId="032D0A05">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(二)加强平安法治建设。负责公共安全、平安建设、法治 建设、宣传、意识形态、精神文明建设、新时代文明实践、综合 治理、信访维稳、矛盾纠纷调处化解、应急管理、社区矫正、社 情民意反映等工作。</w:t>
      </w:r>
    </w:p>
    <w:p w14:paraId="0B13D41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(三)统筹区域发展。负责乐民新城内各项发展规划，对乐民新城建设规划、公共服务布局和事关群众利益的重大项目提出 意见建议，推动乐民新城各项事业可持续发展。</w:t>
      </w:r>
    </w:p>
    <w:p w14:paraId="1F397F7B">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(四)组织公共服务。组织实施与搬迁群众生产生活密切相关 的社区公共服务，落实人社、民政、教育、卫生健康、科技、医保、 文化、体育、旅游、退役军人等方面的相关政策，及时回应群众诉 求，推进社区民生建设。协调、指导、推动网格化建设服务工作。</w:t>
      </w:r>
    </w:p>
    <w:p w14:paraId="5EB23998">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(五)实施综合管理。落实乐民新城公共管理各项任务，主动 做好组织领导、推进实施、综合协调等相关工作，推进乐民新城公共 事务管理常态化。负责生态环境保护、物业管理、殡葬管理等工作。</w:t>
      </w:r>
    </w:p>
    <w:p w14:paraId="40FB74D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(六)统筹监督管理。统筹协调乐民新城内相关力量，对各 类专业执法工作组织开展群众监督和社会监督，协助做好监督检 查中的事中事后监管工作。</w:t>
      </w:r>
    </w:p>
    <w:p w14:paraId="1C18F3C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(七)领导基层自治。以社区居委会和居民监督委员会为基 础，建立协同联动的社区治理架构，完善党组织领导下的社区居 民自治机制。</w:t>
      </w:r>
    </w:p>
    <w:p w14:paraId="61474B6E">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(八)动员社会参与。组织辖区内部门单位、非公有制经济和 社会组织、社区居民等社会力量，履行社会责任、参与社区治理、 服务社区发展。组织开展志愿者服务、共驻共建共治共联等工作。</w:t>
      </w:r>
    </w:p>
    <w:p w14:paraId="064813C0">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(九)依法行使县直相关部门授权或委托的行政管理和公共 管理职能。</w:t>
      </w:r>
    </w:p>
    <w:p w14:paraId="2BE3DEB0">
      <w:pPr>
        <w:spacing w:before="100" w:after="10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(十)在中共民乐县乐民新城社区工作委员会的领导下和相 关部门做好乐民新城的人大、政协、统战、民族宗教、人民武装、公检法司、群团等工作。</w:t>
      </w:r>
    </w:p>
    <w:p w14:paraId="742C5218">
      <w:pPr>
        <w:ind w:firstLine="321" w:firstLineChars="100"/>
        <w:rPr>
          <w:rFonts w:hint="eastAsia" w:ascii="楷体_GB2312" w:hAnsi="楷体_GB2312" w:eastAsia="楷体_GB2312" w:cs="楷体_GB2312"/>
          <w:b/>
          <w:bCs/>
          <w:color w:val="auto"/>
          <w:sz w:val="32"/>
          <w:szCs w:val="32"/>
          <w:lang w:val="en"/>
        </w:rPr>
      </w:pPr>
      <w:r>
        <w:rPr>
          <w:rFonts w:hint="eastAsia" w:ascii="楷体_GB2312" w:hAnsi="楷体_GB2312" w:eastAsia="楷体_GB2312" w:cs="楷体_GB2312"/>
          <w:b/>
          <w:bCs/>
          <w:color w:val="auto"/>
          <w:sz w:val="32"/>
          <w:szCs w:val="32"/>
          <w:lang w:val="en"/>
        </w:rPr>
        <w:t>（二）内设机构及所属单位概况</w:t>
      </w:r>
    </w:p>
    <w:p w14:paraId="6BD5C258">
      <w:pPr>
        <w:spacing w:before="183" w:line="285" w:lineRule="auto"/>
        <w:ind w:firstLine="76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乐民新城社区服务中心下设党政综合办公室、党建工作办公室、平安法治建设办公室、公共事务办公室、党群服务中心 、政务服务中心。下辖复兴苑、富强苑、幸福苑、圆梦苑4个社区，其中：复兴苑、富强苑、幸福苑3个社区为生态及地灾搬迁社区，圆梦苑社区为易地扶贫搬迁社区，党工委下设4个社区党委（支部），乐民新城社区现有人员37名，其中公务员2名、事业编23名、专职社区工作者12人。</w:t>
      </w:r>
    </w:p>
    <w:p w14:paraId="67C8D5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二、绩效自评工作组织开展情况 </w:t>
      </w:r>
    </w:p>
    <w:p w14:paraId="318AB669">
      <w:pPr>
        <w:pStyle w:val="2"/>
        <w:keepNext w:val="0"/>
        <w:keepLines w:val="0"/>
        <w:pageBreakBefore w:val="0"/>
        <w:widowControl/>
        <w:kinsoku/>
        <w:wordWrap/>
        <w:overflowPunct/>
        <w:topLinePunct w:val="0"/>
        <w:autoSpaceDE/>
        <w:autoSpaceDN/>
        <w:bidi w:val="0"/>
        <w:adjustRightInd/>
        <w:spacing w:before="100" w:after="100"/>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我单位及时召开2025年项目支出绩效自评工作布置会议，</w:t>
      </w:r>
      <w:r>
        <w:rPr>
          <w:rFonts w:hint="eastAsia" w:ascii="仿宋_GB2312" w:hAnsi="仿宋_GB2312" w:eastAsia="仿宋_GB2312" w:cstheme="minorBidi"/>
          <w:color w:val="auto"/>
          <w:kern w:val="2"/>
          <w:sz w:val="32"/>
          <w:szCs w:val="24"/>
          <w:lang w:val="en-US" w:eastAsia="zh-CN" w:bidi="ar-SA"/>
        </w:rPr>
        <w:t>由分管财务领导主持，各社区负责人参加，重点强调部门各项目支出绩效自评工作的重要性和必要性，确保自评工作有序、有效开展。</w:t>
      </w:r>
      <w:r>
        <w:rPr>
          <w:rFonts w:hint="eastAsia" w:ascii="仿宋_GB2312" w:hAnsi="仿宋_GB2312" w:eastAsia="仿宋_GB2312" w:cs="仿宋_GB2312"/>
          <w:sz w:val="32"/>
          <w:szCs w:val="32"/>
          <w:lang w:val="en-US" w:eastAsia="zh-CN"/>
        </w:rPr>
        <w:t>部门整体预算总金额</w:t>
      </w:r>
      <w:r>
        <w:rPr>
          <w:rFonts w:hint="eastAsia" w:ascii="仿宋_GB2312" w:hAnsi="仿宋_GB2312" w:eastAsia="仿宋_GB2312" w:cs="仿宋_GB2312"/>
          <w:color w:val="auto"/>
          <w:sz w:val="32"/>
          <w:szCs w:val="32"/>
          <w:lang w:val="zh-CN" w:eastAsia="zh-CN"/>
        </w:rPr>
        <w:t>97.54</w:t>
      </w:r>
      <w:r>
        <w:rPr>
          <w:rFonts w:hint="eastAsia" w:ascii="仿宋_GB2312" w:hAnsi="仿宋_GB2312" w:eastAsia="仿宋_GB2312" w:cs="仿宋_GB2312"/>
          <w:sz w:val="32"/>
          <w:szCs w:val="32"/>
          <w:lang w:val="en-US" w:eastAsia="zh-CN"/>
        </w:rPr>
        <w:t>万元，实际执行数97.54万元，项目资金全部执行完毕，项目内容涉及</w:t>
      </w:r>
      <w:r>
        <w:rPr>
          <w:rFonts w:hint="eastAsia" w:ascii="仿宋_GB2312" w:hAnsi="仿宋_GB2312" w:eastAsia="仿宋_GB2312" w:cs="仿宋_GB2312"/>
          <w:color w:val="auto"/>
          <w:kern w:val="0"/>
          <w:sz w:val="32"/>
          <w:szCs w:val="32"/>
          <w:lang w:val="en-US" w:eastAsia="zh-CN" w:bidi="ar"/>
        </w:rPr>
        <w:t>工资福利支出、商品和服务支出、资本性支出。</w:t>
      </w:r>
    </w:p>
    <w:p w14:paraId="52CCAD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三、部门整体支出绩效自评情况分析 </w:t>
      </w:r>
    </w:p>
    <w:p w14:paraId="2C8C59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楷体" w:hAnsi="楷体" w:eastAsia="楷体" w:cs="楷体"/>
          <w:b/>
          <w:bCs/>
          <w:i w:val="0"/>
          <w:iCs w:val="0"/>
          <w:color w:val="000000"/>
          <w:kern w:val="0"/>
          <w:sz w:val="32"/>
          <w:szCs w:val="32"/>
          <w:u w:val="none"/>
          <w:lang w:val="en-US" w:eastAsia="zh-CN" w:bidi="ar"/>
        </w:rPr>
      </w:pPr>
      <w:r>
        <w:rPr>
          <w:rFonts w:hint="eastAsia" w:ascii="楷体" w:hAnsi="楷体" w:eastAsia="楷体" w:cs="楷体"/>
          <w:b/>
          <w:bCs/>
          <w:i w:val="0"/>
          <w:iCs w:val="0"/>
          <w:color w:val="000000"/>
          <w:kern w:val="0"/>
          <w:sz w:val="32"/>
          <w:szCs w:val="32"/>
          <w:u w:val="none"/>
          <w:lang w:val="en-US" w:eastAsia="zh-CN" w:bidi="ar"/>
        </w:rPr>
        <w:t>(一)部门决算情况</w:t>
      </w:r>
    </w:p>
    <w:p w14:paraId="5F204BA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微软雅黑" w:eastAsia="仿宋_GB2312" w:cs="仿宋_GB2312"/>
          <w:i w:val="0"/>
          <w:iCs w:val="0"/>
          <w:caps w:val="0"/>
          <w:color w:val="000000"/>
          <w:spacing w:val="0"/>
          <w:sz w:val="31"/>
          <w:szCs w:val="31"/>
          <w:shd w:val="clear" w:color="auto" w:fill="FFFFFF"/>
          <w:lang w:eastAsia="zh-CN"/>
        </w:rPr>
      </w:pPr>
      <w:r>
        <w:rPr>
          <w:rFonts w:hint="eastAsia" w:ascii="仿宋_GB2312" w:hAnsi="仿宋_GB2312" w:eastAsia="仿宋_GB2312" w:cs="仿宋_GB2312"/>
          <w:color w:val="auto"/>
          <w:sz w:val="32"/>
          <w:szCs w:val="32"/>
          <w:lang w:val="zh-CN"/>
        </w:rPr>
        <w:t>2025年度收入合计97.54万元，其中：财政拨款收入97.54万元，占100.00%；</w:t>
      </w:r>
      <w:r>
        <w:rPr>
          <w:rFonts w:hint="eastAsia" w:ascii="仿宋_GB2312" w:hAnsi="微软雅黑" w:eastAsia="仿宋_GB2312" w:cs="仿宋_GB2312"/>
          <w:i w:val="0"/>
          <w:iCs w:val="0"/>
          <w:caps w:val="0"/>
          <w:color w:val="000000"/>
          <w:spacing w:val="0"/>
          <w:sz w:val="31"/>
          <w:szCs w:val="31"/>
          <w:shd w:val="clear" w:color="auto" w:fill="FFFFFF"/>
        </w:rPr>
        <w:t>包括：一般公共预算收入</w:t>
      </w:r>
      <w:r>
        <w:rPr>
          <w:rFonts w:hint="eastAsia" w:ascii="仿宋_GB2312" w:hAnsi="微软雅黑" w:eastAsia="仿宋_GB2312" w:cs="仿宋_GB2312"/>
          <w:i w:val="0"/>
          <w:iCs w:val="0"/>
          <w:caps w:val="0"/>
          <w:color w:val="000000"/>
          <w:spacing w:val="0"/>
          <w:sz w:val="31"/>
          <w:szCs w:val="31"/>
          <w:shd w:val="clear" w:color="auto" w:fill="FFFFFF"/>
          <w:lang w:val="en-US" w:eastAsia="zh-CN"/>
        </w:rPr>
        <w:t>97.54</w:t>
      </w:r>
      <w:r>
        <w:rPr>
          <w:rFonts w:hint="eastAsia" w:ascii="仿宋_GB2312" w:hAnsi="微软雅黑" w:eastAsia="仿宋_GB2312" w:cs="仿宋_GB2312"/>
          <w:i w:val="0"/>
          <w:iCs w:val="0"/>
          <w:caps w:val="0"/>
          <w:color w:val="000000"/>
          <w:spacing w:val="0"/>
          <w:sz w:val="31"/>
          <w:szCs w:val="31"/>
          <w:shd w:val="clear" w:color="auto" w:fill="FFFFFF"/>
        </w:rPr>
        <w:t>万元</w:t>
      </w:r>
      <w:r>
        <w:rPr>
          <w:rFonts w:hint="eastAsia" w:ascii="仿宋_GB2312" w:hAnsi="微软雅黑" w:eastAsia="仿宋_GB2312" w:cs="仿宋_GB2312"/>
          <w:i w:val="0"/>
          <w:iCs w:val="0"/>
          <w:caps w:val="0"/>
          <w:color w:val="000000"/>
          <w:spacing w:val="0"/>
          <w:sz w:val="31"/>
          <w:szCs w:val="31"/>
          <w:shd w:val="clear" w:color="auto" w:fill="FFFFFF"/>
          <w:lang w:eastAsia="zh-CN"/>
        </w:rPr>
        <w:t>。</w:t>
      </w:r>
    </w:p>
    <w:p w14:paraId="62E9613B">
      <w:pPr>
        <w:keepNext w:val="0"/>
        <w:keepLines w:val="0"/>
        <w:pageBreakBefore w:val="0"/>
        <w:widowControl/>
        <w:kinsoku/>
        <w:wordWrap/>
        <w:overflowPunct/>
        <w:topLinePunct w:val="0"/>
        <w:autoSpaceDE/>
        <w:autoSpaceDN/>
        <w:bidi w:val="0"/>
        <w:adjustRightInd/>
        <w:snapToGrid/>
        <w:spacing w:before="100" w:beforeLines="0" w:after="100" w:afterLines="0" w:line="560" w:lineRule="exact"/>
        <w:ind w:firstLine="640" w:firstLineChars="200"/>
        <w:jc w:val="left"/>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2025年度支出合计97.54万元，其中：</w:t>
      </w:r>
      <w:r>
        <w:rPr>
          <w:rFonts w:hint="eastAsia" w:ascii="仿宋_GB2312" w:hAnsi="微软雅黑" w:eastAsia="仿宋_GB2312" w:cs="仿宋_GB2312"/>
          <w:i w:val="0"/>
          <w:iCs w:val="0"/>
          <w:caps w:val="0"/>
          <w:color w:val="000000"/>
          <w:spacing w:val="0"/>
          <w:sz w:val="31"/>
          <w:szCs w:val="31"/>
          <w:shd w:val="clear" w:color="auto" w:fill="FFFFFF"/>
        </w:rPr>
        <w:t>一般公共服务支出</w:t>
      </w:r>
      <w:r>
        <w:rPr>
          <w:rFonts w:hint="eastAsia" w:ascii="仿宋_GB2312" w:hAnsi="仿宋_GB2312" w:eastAsia="仿宋_GB2312" w:cs="仿宋_GB2312"/>
          <w:color w:val="auto"/>
          <w:sz w:val="32"/>
          <w:szCs w:val="32"/>
          <w:lang w:val="zh-CN"/>
        </w:rPr>
        <w:t>97.54万元，占100.00%。</w:t>
      </w:r>
    </w:p>
    <w:p w14:paraId="733506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 w:hAnsi="楷体" w:eastAsia="楷体" w:cs="楷体"/>
          <w:b/>
          <w:bCs/>
          <w:i w:val="0"/>
          <w:iCs w:val="0"/>
          <w:color w:val="000000"/>
          <w:kern w:val="0"/>
          <w:sz w:val="32"/>
          <w:szCs w:val="32"/>
          <w:u w:val="none"/>
          <w:lang w:val="en" w:eastAsia="zh-CN" w:bidi="ar"/>
        </w:rPr>
      </w:pPr>
      <w:r>
        <w:rPr>
          <w:rFonts w:hint="eastAsia" w:ascii="楷体" w:hAnsi="楷体" w:eastAsia="楷体" w:cs="楷体"/>
          <w:b/>
          <w:bCs/>
          <w:i w:val="0"/>
          <w:iCs w:val="0"/>
          <w:color w:val="000000"/>
          <w:kern w:val="0"/>
          <w:sz w:val="32"/>
          <w:szCs w:val="32"/>
          <w:u w:val="none"/>
          <w:lang w:val="en" w:eastAsia="zh-CN" w:bidi="ar"/>
        </w:rPr>
        <w:t>（二）总体绩效目标完成情况分析</w:t>
      </w:r>
    </w:p>
    <w:p w14:paraId="7CDFA05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2"/>
          <w:sz w:val="32"/>
          <w:szCs w:val="32"/>
          <w:lang w:val="zh-CN"/>
          <w14:textFill>
            <w14:solidFill>
              <w14:schemeClr w14:val="tx1"/>
            </w14:solidFill>
          </w14:textFill>
        </w:rPr>
      </w:pPr>
      <w:r>
        <w:rPr>
          <w:rFonts w:hint="eastAsia" w:ascii="仿宋_GB2312" w:hAnsi="仿宋_GB2312" w:eastAsia="仿宋_GB2312" w:cs="仿宋_GB2312"/>
          <w:color w:val="000000" w:themeColor="text1"/>
          <w:kern w:val="2"/>
          <w:sz w:val="32"/>
          <w:szCs w:val="32"/>
          <w:lang w:val="zh-CN"/>
          <w14:textFill>
            <w14:solidFill>
              <w14:schemeClr w14:val="tx1"/>
            </w14:solidFill>
          </w14:textFill>
        </w:rPr>
        <w:t>从自评情况来看，本部门整体绩效目标完成率达到了100%，占一般公共预算支出总额的100%。预算项目支出执行率达到了100%，部门整体绩效自评为“优”。部门整体绩效目标包括部门管理、履职效果、能力建设、服务对象满意度四个指标，目标分值为100分，经过自评，</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kern w:val="2"/>
          <w:sz w:val="32"/>
          <w:szCs w:val="32"/>
          <w:lang w:val="zh-CN"/>
          <w14:textFill>
            <w14:solidFill>
              <w14:schemeClr w14:val="tx1"/>
            </w14:solidFill>
          </w14:textFill>
        </w:rPr>
        <w:t>个年度指标中，按照绩效目标已全部完成，年度指标综合自评得分</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96</w:t>
      </w:r>
      <w:r>
        <w:rPr>
          <w:rFonts w:hint="eastAsia" w:ascii="仿宋_GB2312" w:hAnsi="仿宋_GB2312" w:eastAsia="仿宋_GB2312" w:cs="仿宋_GB2312"/>
          <w:color w:val="000000" w:themeColor="text1"/>
          <w:kern w:val="2"/>
          <w:sz w:val="32"/>
          <w:szCs w:val="32"/>
          <w:lang w:val="zh-CN"/>
          <w14:textFill>
            <w14:solidFill>
              <w14:schemeClr w14:val="tx1"/>
            </w14:solidFill>
          </w14:textFill>
        </w:rPr>
        <w:t>分。</w:t>
      </w:r>
    </w:p>
    <w:p w14:paraId="399ED4F4">
      <w:pPr>
        <w:pStyle w:val="2"/>
        <w:numPr>
          <w:numId w:val="0"/>
        </w:numPr>
        <w:spacing w:after="0"/>
        <w:ind w:left="638" w:leftChars="304" w:firstLine="0" w:firstLineChars="0"/>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 w:eastAsia="zh-CN"/>
        </w:rPr>
        <w:t>四、</w:t>
      </w:r>
      <w:r>
        <w:rPr>
          <w:rFonts w:hint="eastAsia" w:ascii="黑体" w:hAnsi="黑体" w:eastAsia="黑体" w:cs="黑体"/>
          <w:color w:val="auto"/>
          <w:sz w:val="32"/>
          <w:szCs w:val="32"/>
          <w:lang w:val="en"/>
        </w:rPr>
        <w:t>部门管理的</w:t>
      </w:r>
      <w:r>
        <w:rPr>
          <w:rFonts w:hint="eastAsia" w:ascii="黑体" w:hAnsi="黑体" w:eastAsia="黑体" w:cs="黑体"/>
          <w:color w:val="auto"/>
          <w:sz w:val="32"/>
          <w:szCs w:val="32"/>
          <w:lang w:val="en-US" w:eastAsia="zh-CN"/>
        </w:rPr>
        <w:t>中央</w:t>
      </w:r>
      <w:r>
        <w:rPr>
          <w:rFonts w:hint="eastAsia" w:ascii="黑体" w:hAnsi="黑体" w:eastAsia="黑体" w:cs="黑体"/>
          <w:color w:val="auto"/>
          <w:sz w:val="32"/>
          <w:szCs w:val="32"/>
          <w:lang w:val="en"/>
        </w:rPr>
        <w:t>省市对县转移支付绩效自评情况分析</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000000" w:themeColor="text1"/>
          <w:kern w:val="2"/>
          <w:sz w:val="32"/>
          <w:szCs w:val="32"/>
          <w:lang w:val="en" w:eastAsia="zh-CN" w:bidi="ar-SA"/>
          <w14:textFill>
            <w14:solidFill>
              <w14:schemeClr w14:val="tx1"/>
            </w14:solidFill>
          </w14:textFill>
        </w:rPr>
        <w:t>本单位</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无转移支付资金。 </w:t>
      </w:r>
    </w:p>
    <w:p w14:paraId="75B50A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宋体" w:eastAsia="黑体" w:cs="黑体"/>
          <w:i w:val="0"/>
          <w:iCs w:val="0"/>
          <w:color w:val="000000"/>
          <w:kern w:val="0"/>
          <w:sz w:val="32"/>
          <w:szCs w:val="32"/>
          <w:u w:val="none"/>
          <w:lang w:val="en-US" w:eastAsia="zh-CN" w:bidi="ar"/>
        </w:rPr>
      </w:pPr>
      <w:r>
        <w:rPr>
          <w:rFonts w:hint="eastAsia" w:ascii="黑体" w:hAnsi="宋体" w:eastAsia="黑体" w:cs="黑体"/>
          <w:i w:val="0"/>
          <w:iCs w:val="0"/>
          <w:color w:val="000000"/>
          <w:kern w:val="0"/>
          <w:sz w:val="32"/>
          <w:szCs w:val="32"/>
          <w:u w:val="none"/>
          <w:lang w:val="en-US" w:eastAsia="zh-CN" w:bidi="ar"/>
        </w:rPr>
        <w:t>五、绩效自评结果拟应用和公开情况</w:t>
      </w:r>
    </w:p>
    <w:p w14:paraId="14AAB632">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绩效评价结果应用，既是开展绩效评价工作的基本前提，又是加强财政支出管理、增强资金绩效理念、合理配置公共资源、优化财政支出结构、强化资金管理水平、提高资金使用效益的重要手段。为使绩效评价结果得到合理应用，将以此次绩效评价结果作为以后年度预算编制的重要依据。</w:t>
      </w:r>
    </w:p>
    <w:p w14:paraId="56D1D6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宋体" w:eastAsia="黑体" w:cs="黑体"/>
          <w:i w:val="0"/>
          <w:iCs w:val="0"/>
          <w:color w:val="000000"/>
          <w:kern w:val="0"/>
          <w:sz w:val="32"/>
          <w:szCs w:val="32"/>
          <w:u w:val="none"/>
          <w:lang w:val="en-US" w:eastAsia="zh-CN" w:bidi="ar"/>
        </w:rPr>
      </w:pPr>
      <w:r>
        <w:rPr>
          <w:rFonts w:hint="eastAsia" w:ascii="黑体" w:hAnsi="宋体" w:eastAsia="黑体" w:cs="黑体"/>
          <w:i w:val="0"/>
          <w:iCs w:val="0"/>
          <w:color w:val="000000"/>
          <w:kern w:val="0"/>
          <w:sz w:val="32"/>
          <w:szCs w:val="32"/>
          <w:u w:val="none"/>
          <w:lang w:val="en-US" w:eastAsia="zh-CN" w:bidi="ar"/>
        </w:rPr>
        <w:t>六、其他需要说明的问题</w:t>
      </w:r>
    </w:p>
    <w:p w14:paraId="73AB5C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无。</w:t>
      </w:r>
      <w:bookmarkStart w:id="0" w:name="_GoBack"/>
      <w:bookmarkEnd w:id="0"/>
    </w:p>
    <w:p w14:paraId="2235E00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i w:val="0"/>
          <w:iCs w:val="0"/>
          <w:color w:val="000000"/>
          <w:kern w:val="0"/>
          <w:sz w:val="32"/>
          <w:szCs w:val="32"/>
          <w:u w:val="none"/>
          <w:lang w:val="en-US" w:eastAsia="zh-CN" w:bidi="ar"/>
        </w:rPr>
      </w:pPr>
    </w:p>
    <w:p w14:paraId="595096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i w:val="0"/>
          <w:iCs w:val="0"/>
          <w:color w:val="000000"/>
          <w:kern w:val="0"/>
          <w:sz w:val="32"/>
          <w:szCs w:val="32"/>
          <w:u w:val="none"/>
          <w:lang w:val="en-US" w:eastAsia="zh-CN" w:bidi="ar"/>
        </w:rPr>
      </w:pPr>
    </w:p>
    <w:p w14:paraId="25CE3C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i w:val="0"/>
          <w:iCs w:val="0"/>
          <w:color w:val="000000"/>
          <w:kern w:val="0"/>
          <w:sz w:val="32"/>
          <w:szCs w:val="32"/>
          <w:u w:val="none"/>
          <w:lang w:val="en-US" w:eastAsia="zh-CN" w:bidi="ar"/>
        </w:rPr>
      </w:pPr>
    </w:p>
    <w:p w14:paraId="56719474">
      <w:pPr>
        <w:pStyle w:val="18"/>
        <w:keepNext w:val="0"/>
        <w:keepLines w:val="0"/>
        <w:pageBreakBefore w:val="0"/>
        <w:widowControl w:val="0"/>
        <w:kinsoku/>
        <w:wordWrap/>
        <w:overflowPunct/>
        <w:topLinePunct w:val="0"/>
        <w:autoSpaceDE/>
        <w:autoSpaceDN/>
        <w:bidi w:val="0"/>
        <w:adjustRightInd/>
        <w:snapToGrid/>
        <w:spacing w:line="560" w:lineRule="exact"/>
        <w:ind w:firstLine="3840" w:firstLineChars="1200"/>
        <w:jc w:val="both"/>
        <w:textAlignment w:val="auto"/>
        <w:rPr>
          <w:rFonts w:hint="eastAsia" w:ascii="仿宋" w:hAnsi="仿宋" w:eastAsia="仿宋" w:cs="仿宋"/>
          <w:i w:val="0"/>
          <w:iCs w:val="0"/>
          <w:color w:val="000000"/>
          <w:kern w:val="0"/>
          <w:sz w:val="32"/>
          <w:szCs w:val="32"/>
          <w:u w:val="none"/>
          <w:lang w:val="en-US" w:eastAsia="zh-CN" w:bidi="ar"/>
        </w:rPr>
      </w:pPr>
      <w:r>
        <w:rPr>
          <w:rFonts w:hint="eastAsia" w:ascii="仿宋_GB2312" w:hAnsi="仿宋_GB2312" w:eastAsia="仿宋_GB2312" w:cs="仿宋_GB2312"/>
          <w:color w:val="auto"/>
          <w:sz w:val="32"/>
          <w:szCs w:val="32"/>
          <w:lang w:val="en" w:eastAsia="zh-CN"/>
        </w:rPr>
        <w:t>民乐县乐民新城社区服务中心</w:t>
      </w:r>
      <w:r>
        <w:rPr>
          <w:rFonts w:hint="eastAsia" w:ascii="仿宋" w:hAnsi="仿宋" w:eastAsia="仿宋" w:cs="仿宋"/>
          <w:i w:val="0"/>
          <w:iCs w:val="0"/>
          <w:color w:val="000000"/>
          <w:kern w:val="0"/>
          <w:sz w:val="32"/>
          <w:szCs w:val="32"/>
          <w:u w:val="none"/>
          <w:lang w:val="en-US" w:eastAsia="zh-CN" w:bidi="ar"/>
        </w:rPr>
        <w:t xml:space="preserve">  </w:t>
      </w:r>
    </w:p>
    <w:p w14:paraId="60AF4B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 xml:space="preserve">                           2026年9月1日</w:t>
      </w:r>
    </w:p>
    <w:p w14:paraId="682FA7ED">
      <w:pPr>
        <w:jc w:val="both"/>
        <w:rPr>
          <w:rFonts w:hint="default"/>
          <w:color w:val="auto"/>
          <w:lang w:val="en"/>
        </w:rPr>
      </w:pPr>
    </w:p>
    <w:sectPr>
      <w:footerReference r:id="rId3" w:type="default"/>
      <w:pgSz w:w="11906" w:h="16838"/>
      <w:pgMar w:top="1701" w:right="1474" w:bottom="1701"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仿宋_GB2312"/>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88CB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F60F5">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4F60F5">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ZTAxNTNiYjc4MjdjYmNjMWNkZDc5ZjA2ZTlmYmQifQ=="/>
  </w:docVars>
  <w:rsids>
    <w:rsidRoot w:val="00000000"/>
    <w:rsid w:val="02F8296A"/>
    <w:rsid w:val="07753767"/>
    <w:rsid w:val="093A3733"/>
    <w:rsid w:val="0D0449F9"/>
    <w:rsid w:val="0F5B2655"/>
    <w:rsid w:val="160D6AE8"/>
    <w:rsid w:val="16DA6555"/>
    <w:rsid w:val="186E15CD"/>
    <w:rsid w:val="18EC1D29"/>
    <w:rsid w:val="20E44B5B"/>
    <w:rsid w:val="25484415"/>
    <w:rsid w:val="294D2542"/>
    <w:rsid w:val="30D633F6"/>
    <w:rsid w:val="35666097"/>
    <w:rsid w:val="36A21F39"/>
    <w:rsid w:val="3A1F234D"/>
    <w:rsid w:val="3BD80A06"/>
    <w:rsid w:val="3BF31BE6"/>
    <w:rsid w:val="3C123F18"/>
    <w:rsid w:val="3DB50FFF"/>
    <w:rsid w:val="3EAB0813"/>
    <w:rsid w:val="42E932A9"/>
    <w:rsid w:val="43543068"/>
    <w:rsid w:val="441B2B95"/>
    <w:rsid w:val="44DF2E05"/>
    <w:rsid w:val="4B0C795C"/>
    <w:rsid w:val="4E3B72FE"/>
    <w:rsid w:val="53E72E96"/>
    <w:rsid w:val="54EC0AA3"/>
    <w:rsid w:val="571F34E9"/>
    <w:rsid w:val="593A3C61"/>
    <w:rsid w:val="5ACF2741"/>
    <w:rsid w:val="5BE014E5"/>
    <w:rsid w:val="62853E84"/>
    <w:rsid w:val="66B57430"/>
    <w:rsid w:val="6B7018AB"/>
    <w:rsid w:val="6F483736"/>
    <w:rsid w:val="70A95EF1"/>
    <w:rsid w:val="711E4F2C"/>
    <w:rsid w:val="72473978"/>
    <w:rsid w:val="7662101C"/>
    <w:rsid w:val="774D2D46"/>
    <w:rsid w:val="792F71B0"/>
    <w:rsid w:val="79B57CCA"/>
    <w:rsid w:val="7A635363"/>
    <w:rsid w:val="7AEA15E0"/>
    <w:rsid w:val="7BEDA395"/>
    <w:rsid w:val="7D578A46"/>
    <w:rsid w:val="7ECF1219"/>
    <w:rsid w:val="7F5B2429"/>
    <w:rsid w:val="BB5E5A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spacing w:after="120"/>
      <w:ind w:left="420" w:leftChars="200"/>
      <w:jc w:val="left"/>
    </w:pPr>
    <w:rPr>
      <w:rFonts w:ascii="宋体" w:hAnsi="宋体" w:cs="宋体"/>
      <w:kern w:val="0"/>
      <w:sz w:val="24"/>
    </w:rPr>
  </w:style>
  <w:style w:type="paragraph" w:styleId="4">
    <w:name w:val="Body Tex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5">
    <w:name w:val="Body Text Indent 2"/>
    <w:basedOn w:val="1"/>
    <w:next w:val="4"/>
    <w:autoRedefine/>
    <w:qFormat/>
    <w:uiPriority w:val="0"/>
    <w:pPr>
      <w:spacing w:after="120" w:afterLines="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next w:val="2"/>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font21"/>
    <w:basedOn w:val="11"/>
    <w:qFormat/>
    <w:uiPriority w:val="0"/>
    <w:rPr>
      <w:rFonts w:hint="eastAsia" w:ascii="宋体" w:hAnsi="宋体" w:eastAsia="宋体" w:cs="宋体"/>
      <w:b/>
      <w:color w:val="000000"/>
      <w:sz w:val="44"/>
      <w:szCs w:val="44"/>
      <w:u w:val="none"/>
    </w:rPr>
  </w:style>
  <w:style w:type="character" w:customStyle="1" w:styleId="13">
    <w:name w:val="font71"/>
    <w:basedOn w:val="11"/>
    <w:qFormat/>
    <w:uiPriority w:val="0"/>
    <w:rPr>
      <w:rFonts w:ascii="仿宋_GB2312" w:eastAsia="仿宋_GB2312" w:cs="仿宋_GB2312"/>
      <w:color w:val="000000"/>
      <w:sz w:val="44"/>
      <w:szCs w:val="44"/>
      <w:u w:val="none"/>
    </w:rPr>
  </w:style>
  <w:style w:type="character" w:customStyle="1" w:styleId="14">
    <w:name w:val="font51"/>
    <w:basedOn w:val="11"/>
    <w:qFormat/>
    <w:uiPriority w:val="0"/>
    <w:rPr>
      <w:rFonts w:hint="eastAsia" w:ascii="黑体" w:hAnsi="宋体" w:eastAsia="黑体" w:cs="黑体"/>
      <w:color w:val="000000"/>
      <w:sz w:val="32"/>
      <w:szCs w:val="32"/>
      <w:u w:val="none"/>
    </w:rPr>
  </w:style>
  <w:style w:type="character" w:customStyle="1" w:styleId="15">
    <w:name w:val="font11"/>
    <w:basedOn w:val="11"/>
    <w:qFormat/>
    <w:uiPriority w:val="0"/>
    <w:rPr>
      <w:rFonts w:ascii="Arial" w:hAnsi="Arial" w:cs="Arial"/>
      <w:color w:val="000000"/>
      <w:sz w:val="32"/>
      <w:szCs w:val="32"/>
      <w:u w:val="none"/>
    </w:rPr>
  </w:style>
  <w:style w:type="character" w:customStyle="1" w:styleId="16">
    <w:name w:val="font61"/>
    <w:basedOn w:val="11"/>
    <w:qFormat/>
    <w:uiPriority w:val="0"/>
    <w:rPr>
      <w:rFonts w:hint="eastAsia" w:ascii="楷体" w:hAnsi="楷体" w:eastAsia="楷体" w:cs="楷体"/>
      <w:color w:val="000000"/>
      <w:sz w:val="32"/>
      <w:szCs w:val="32"/>
      <w:u w:val="none"/>
    </w:rPr>
  </w:style>
  <w:style w:type="character" w:customStyle="1" w:styleId="17">
    <w:name w:val="font01"/>
    <w:basedOn w:val="11"/>
    <w:qFormat/>
    <w:uiPriority w:val="0"/>
    <w:rPr>
      <w:rFonts w:hint="eastAsia" w:ascii="仿宋_GB2312" w:eastAsia="仿宋_GB2312" w:cs="仿宋_GB2312"/>
      <w:color w:val="000000"/>
      <w:sz w:val="32"/>
      <w:szCs w:val="32"/>
      <w:u w:val="none"/>
    </w:rPr>
  </w:style>
  <w:style w:type="paragraph" w:customStyle="1" w:styleId="18">
    <w:name w:val="正文首行缩进 21"/>
    <w:basedOn w:val="19"/>
    <w:qFormat/>
    <w:uiPriority w:val="0"/>
    <w:pPr>
      <w:ind w:firstLine="420" w:firstLineChars="200"/>
    </w:pPr>
  </w:style>
  <w:style w:type="paragraph" w:customStyle="1" w:styleId="19">
    <w:name w:val="正文文本缩进1"/>
    <w:basedOn w:val="1"/>
    <w:qFormat/>
    <w:uiPriority w:val="0"/>
    <w:pPr>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1691</Words>
  <Characters>1761</Characters>
  <Lines>0</Lines>
  <Paragraphs>0</Paragraphs>
  <TotalTime>1</TotalTime>
  <ScaleCrop>false</ScaleCrop>
  <LinksUpToDate>false</LinksUpToDate>
  <CharactersWithSpaces>1813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錯過的年華^O^</cp:lastModifiedBy>
  <cp:lastPrinted>2024-09-23T01:54:00Z</cp:lastPrinted>
  <dcterms:modified xsi:type="dcterms:W3CDTF">2026-09-02T02:20:23Z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0A80DCA3CC41491AAD164BCFE0D9A227_13</vt:lpwstr>
  </property>
  <property fmtid="{D5CDD505-2E9C-101B-9397-08002B2CF9AE}" pid="4" name="KSOTemplateDocerSaveRecord">
    <vt:lpwstr>eyJoZGlkIjoiNTdiMDUwMjNhMGU1MGM4MWZmMjdhNTdmNjZmY2IxZDIiLCJ1c2VySWQiOiI0NTk2NzU1MDIifQ==</vt:lpwstr>
  </property>
</Properties>
</file>