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879CB">
      <w:pPr>
        <w:spacing w:line="394" w:lineRule="auto"/>
        <w:rPr>
          <w:rFonts w:ascii="Arial"/>
          <w:sz w:val="21"/>
        </w:rPr>
      </w:pPr>
    </w:p>
    <w:p w14:paraId="7F473DFA">
      <w:pPr>
        <w:spacing w:before="143" w:line="219" w:lineRule="auto"/>
        <w:jc w:val="center"/>
        <w:outlineLvl w:val="0"/>
        <w:rPr>
          <w:rFonts w:ascii="宋体" w:hAnsi="宋体" w:eastAsia="宋体" w:cs="宋体"/>
          <w:sz w:val="44"/>
          <w:szCs w:val="44"/>
        </w:rPr>
      </w:pPr>
      <w:r>
        <w:rPr>
          <w:rFonts w:ascii="宋体" w:hAnsi="宋体" w:eastAsia="宋体" w:cs="宋体"/>
          <w:b/>
          <w:bCs/>
          <w:spacing w:val="-6"/>
          <w:sz w:val="44"/>
          <w:szCs w:val="44"/>
        </w:rPr>
        <w:t>民乐县</w:t>
      </w:r>
      <w:r>
        <w:rPr>
          <w:rFonts w:hint="eastAsia" w:ascii="宋体" w:hAnsi="宋体" w:eastAsia="宋体" w:cs="宋体"/>
          <w:b/>
          <w:bCs/>
          <w:spacing w:val="-6"/>
          <w:sz w:val="44"/>
          <w:szCs w:val="44"/>
          <w:lang w:val="en-US" w:eastAsia="zh-CN"/>
        </w:rPr>
        <w:t>交通运输局</w:t>
      </w:r>
      <w:r>
        <w:rPr>
          <w:rFonts w:ascii="宋体" w:hAnsi="宋体" w:eastAsia="宋体" w:cs="宋体"/>
          <w:b/>
          <w:bCs/>
          <w:spacing w:val="-6"/>
          <w:sz w:val="44"/>
          <w:szCs w:val="44"/>
        </w:rPr>
        <w:t>202</w:t>
      </w:r>
      <w:r>
        <w:rPr>
          <w:rFonts w:hint="eastAsia" w:ascii="宋体" w:hAnsi="宋体" w:eastAsia="宋体" w:cs="宋体"/>
          <w:b/>
          <w:bCs/>
          <w:spacing w:val="-6"/>
          <w:sz w:val="44"/>
          <w:szCs w:val="44"/>
          <w:lang w:val="en-US" w:eastAsia="zh-CN"/>
        </w:rPr>
        <w:t>5</w:t>
      </w:r>
      <w:r>
        <w:rPr>
          <w:rFonts w:ascii="宋体" w:hAnsi="宋体" w:eastAsia="宋体" w:cs="宋体"/>
          <w:b/>
          <w:bCs/>
          <w:spacing w:val="-6"/>
          <w:sz w:val="44"/>
          <w:szCs w:val="44"/>
        </w:rPr>
        <w:t>年</w:t>
      </w:r>
      <w:r>
        <w:rPr>
          <w:rFonts w:hint="eastAsia" w:ascii="宋体" w:hAnsi="宋体" w:eastAsia="宋体" w:cs="宋体"/>
          <w:b/>
          <w:bCs/>
          <w:spacing w:val="-10"/>
          <w:sz w:val="44"/>
          <w:szCs w:val="44"/>
          <w:lang w:val="en-US" w:eastAsia="zh-CN"/>
        </w:rPr>
        <w:t>农村公路日常养护工程部门</w:t>
      </w:r>
      <w:r>
        <w:rPr>
          <w:rFonts w:ascii="宋体" w:hAnsi="宋体" w:eastAsia="宋体" w:cs="宋体"/>
          <w:b/>
          <w:bCs/>
          <w:spacing w:val="-10"/>
          <w:sz w:val="44"/>
          <w:szCs w:val="44"/>
        </w:rPr>
        <w:t>绩效评价结论表</w:t>
      </w:r>
    </w:p>
    <w:p w14:paraId="3C10CA5D">
      <w:pPr>
        <w:spacing w:line="269" w:lineRule="auto"/>
        <w:rPr>
          <w:rFonts w:ascii="Arial"/>
          <w:sz w:val="21"/>
        </w:rPr>
      </w:pPr>
    </w:p>
    <w:p w14:paraId="7E2DA6DF">
      <w:pPr>
        <w:spacing w:line="270" w:lineRule="auto"/>
        <w:rPr>
          <w:rFonts w:ascii="Arial"/>
          <w:sz w:val="21"/>
        </w:rPr>
      </w:pPr>
      <w:r>
        <w:drawing>
          <wp:anchor distT="0" distB="0" distL="0" distR="0" simplePos="0" relativeHeight="251659264" behindDoc="0" locked="0" layoutInCell="1" allowOverlap="1">
            <wp:simplePos x="0" y="0"/>
            <wp:positionH relativeFrom="column">
              <wp:posOffset>3175</wp:posOffset>
            </wp:positionH>
            <wp:positionV relativeFrom="paragraph">
              <wp:posOffset>89535</wp:posOffset>
            </wp:positionV>
            <wp:extent cx="5365750" cy="127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5365766" cy="12733"/>
                    </a:xfrm>
                    <a:prstGeom prst="rect">
                      <a:avLst/>
                    </a:prstGeom>
                  </pic:spPr>
                </pic:pic>
              </a:graphicData>
            </a:graphic>
          </wp:anchor>
        </w:drawing>
      </w:r>
    </w:p>
    <w:p w14:paraId="3553FA3F">
      <w:pPr>
        <w:keepNext w:val="0"/>
        <w:keepLines w:val="0"/>
        <w:pageBreakBefore w:val="0"/>
        <w:widowControl w:val="0"/>
        <w:kinsoku w:val="0"/>
        <w:wordWrap/>
        <w:overflowPunct w:val="0"/>
        <w:topLinePunct w:val="0"/>
        <w:autoSpaceDE w:val="0"/>
        <w:autoSpaceDN w:val="0"/>
        <w:bidi w:val="0"/>
        <w:spacing w:before="78" w:line="219" w:lineRule="auto"/>
        <w:ind w:left="3295"/>
        <w:rPr>
          <w:rFonts w:hint="eastAsia" w:ascii="宋体" w:hAnsi="宋体" w:eastAsia="宋体" w:cs="宋体"/>
          <w:b/>
          <w:bCs/>
          <w:sz w:val="21"/>
          <w:szCs w:val="21"/>
        </w:rPr>
      </w:pPr>
      <w:r>
        <w:rPr>
          <w:rFonts w:hint="eastAsia" w:ascii="宋体" w:hAnsi="宋体" w:eastAsia="宋体" w:cs="宋体"/>
          <w:b/>
          <w:bCs/>
          <w:spacing w:val="-1"/>
          <w:sz w:val="21"/>
          <w:szCs w:val="21"/>
        </w:rPr>
        <w:t>一、项目基本情况</w:t>
      </w:r>
    </w:p>
    <w:tbl>
      <w:tblPr>
        <w:tblStyle w:val="6"/>
        <w:tblpPr w:leftFromText="180" w:rightFromText="180" w:vertAnchor="text" w:horzAnchor="page" w:tblpX="1721" w:tblpY="76"/>
        <w:tblOverlap w:val="never"/>
        <w:tblW w:w="8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2087"/>
        <w:gridCol w:w="1728"/>
        <w:gridCol w:w="1728"/>
        <w:gridCol w:w="310"/>
        <w:gridCol w:w="1883"/>
      </w:tblGrid>
      <w:tr w14:paraId="47D35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84" w:type="dxa"/>
            <w:vMerge w:val="restart"/>
            <w:tcBorders>
              <w:bottom w:val="nil"/>
            </w:tcBorders>
            <w:textDirection w:val="tbRlV"/>
            <w:vAlign w:val="center"/>
          </w:tcPr>
          <w:p w14:paraId="778DE5C4">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宋体" w:hAnsi="宋体" w:eastAsia="宋体" w:cs="宋体"/>
                <w:sz w:val="21"/>
                <w:szCs w:val="21"/>
              </w:rPr>
            </w:pPr>
            <w:r>
              <w:rPr>
                <w:rFonts w:hint="eastAsia" w:ascii="宋体" w:hAnsi="宋体" w:eastAsia="宋体" w:cs="宋体"/>
                <w:sz w:val="21"/>
                <w:szCs w:val="21"/>
              </w:rPr>
              <w:t>基 本 情 况</w:t>
            </w:r>
          </w:p>
        </w:tc>
        <w:tc>
          <w:tcPr>
            <w:tcW w:w="2087" w:type="dxa"/>
            <w:vAlign w:val="top"/>
          </w:tcPr>
          <w:p w14:paraId="6D455837">
            <w:pPr>
              <w:pStyle w:val="7"/>
              <w:keepNext w:val="0"/>
              <w:keepLines w:val="0"/>
              <w:pageBreakBefore w:val="0"/>
              <w:widowControl w:val="0"/>
              <w:kinsoku w:val="0"/>
              <w:wordWrap/>
              <w:overflowPunct w:val="0"/>
              <w:topLinePunct w:val="0"/>
              <w:autoSpaceDE w:val="0"/>
              <w:autoSpaceDN w:val="0"/>
              <w:bidi w:val="0"/>
              <w:adjustRightInd w:val="0"/>
              <w:snapToGrid w:val="0"/>
              <w:spacing w:before="185" w:line="240" w:lineRule="atLeast"/>
              <w:ind w:left="570"/>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项目名称</w:t>
            </w:r>
          </w:p>
        </w:tc>
        <w:tc>
          <w:tcPr>
            <w:tcW w:w="5649" w:type="dxa"/>
            <w:gridSpan w:val="4"/>
            <w:vAlign w:val="top"/>
          </w:tcPr>
          <w:p w14:paraId="7902AA95">
            <w:pPr>
              <w:pStyle w:val="7"/>
              <w:keepNext w:val="0"/>
              <w:keepLines w:val="0"/>
              <w:pageBreakBefore w:val="0"/>
              <w:widowControl w:val="0"/>
              <w:kinsoku w:val="0"/>
              <w:wordWrap/>
              <w:overflowPunct w:val="0"/>
              <w:topLinePunct w:val="0"/>
              <w:autoSpaceDE w:val="0"/>
              <w:autoSpaceDN w:val="0"/>
              <w:bidi w:val="0"/>
              <w:adjustRightInd w:val="0"/>
              <w:snapToGrid w:val="0"/>
              <w:spacing w:before="182" w:line="240" w:lineRule="atLeast"/>
              <w:ind w:left="333"/>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202</w:t>
            </w:r>
            <w:r>
              <w:rPr>
                <w:rFonts w:hint="eastAsia" w:ascii="仿宋_GB2312" w:hAnsi="仿宋_GB2312" w:eastAsia="仿宋_GB2312" w:cs="仿宋_GB2312"/>
                <w:spacing w:val="-1"/>
                <w:sz w:val="22"/>
                <w:szCs w:val="22"/>
                <w:lang w:val="en-US" w:eastAsia="zh-CN"/>
              </w:rPr>
              <w:t>5</w:t>
            </w:r>
            <w:r>
              <w:rPr>
                <w:rFonts w:hint="eastAsia" w:ascii="仿宋_GB2312" w:hAnsi="仿宋_GB2312" w:eastAsia="仿宋_GB2312" w:cs="仿宋_GB2312"/>
                <w:spacing w:val="-1"/>
                <w:sz w:val="22"/>
                <w:szCs w:val="22"/>
              </w:rPr>
              <w:t>年</w:t>
            </w:r>
            <w:r>
              <w:rPr>
                <w:rFonts w:hint="eastAsia" w:ascii="仿宋_GB2312" w:hAnsi="仿宋_GB2312" w:eastAsia="仿宋_GB2312" w:cs="仿宋_GB2312"/>
                <w:spacing w:val="-1"/>
                <w:sz w:val="22"/>
                <w:szCs w:val="22"/>
                <w:lang w:val="en-US" w:eastAsia="zh-CN"/>
              </w:rPr>
              <w:t>农村公路日常养护工程</w:t>
            </w:r>
            <w:r>
              <w:rPr>
                <w:rFonts w:hint="eastAsia" w:ascii="仿宋_GB2312" w:hAnsi="仿宋_GB2312" w:eastAsia="仿宋_GB2312" w:cs="仿宋_GB2312"/>
                <w:spacing w:val="-1"/>
                <w:sz w:val="22"/>
                <w:szCs w:val="22"/>
              </w:rPr>
              <w:t>绩效评价</w:t>
            </w:r>
          </w:p>
        </w:tc>
      </w:tr>
      <w:tr w14:paraId="60777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684" w:type="dxa"/>
            <w:vMerge w:val="continue"/>
            <w:tcBorders>
              <w:top w:val="nil"/>
              <w:bottom w:val="nil"/>
            </w:tcBorders>
            <w:textDirection w:val="tbRlV"/>
            <w:vAlign w:val="top"/>
          </w:tcPr>
          <w:p w14:paraId="59FEC1B5">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宋体" w:hAnsi="宋体" w:eastAsia="宋体" w:cs="宋体"/>
                <w:sz w:val="21"/>
                <w:szCs w:val="21"/>
              </w:rPr>
            </w:pPr>
          </w:p>
        </w:tc>
        <w:tc>
          <w:tcPr>
            <w:tcW w:w="2087" w:type="dxa"/>
            <w:vAlign w:val="top"/>
          </w:tcPr>
          <w:p w14:paraId="747C4F24">
            <w:pPr>
              <w:pStyle w:val="7"/>
              <w:keepNext w:val="0"/>
              <w:keepLines w:val="0"/>
              <w:pageBreakBefore w:val="0"/>
              <w:widowControl w:val="0"/>
              <w:kinsoku w:val="0"/>
              <w:wordWrap/>
              <w:overflowPunct w:val="0"/>
              <w:topLinePunct w:val="0"/>
              <w:autoSpaceDE w:val="0"/>
              <w:autoSpaceDN w:val="0"/>
              <w:bidi w:val="0"/>
              <w:adjustRightInd w:val="0"/>
              <w:snapToGrid w:val="0"/>
              <w:spacing w:before="168" w:line="240" w:lineRule="atLeast"/>
              <w:ind w:left="570"/>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3"/>
                <w:sz w:val="22"/>
                <w:szCs w:val="22"/>
              </w:rPr>
              <w:t>评价年度</w:t>
            </w:r>
          </w:p>
        </w:tc>
        <w:tc>
          <w:tcPr>
            <w:tcW w:w="1728" w:type="dxa"/>
            <w:vAlign w:val="top"/>
          </w:tcPr>
          <w:p w14:paraId="6951EFC6">
            <w:pPr>
              <w:pStyle w:val="7"/>
              <w:keepNext w:val="0"/>
              <w:keepLines w:val="0"/>
              <w:pageBreakBefore w:val="0"/>
              <w:widowControl w:val="0"/>
              <w:kinsoku w:val="0"/>
              <w:wordWrap/>
              <w:overflowPunct w:val="0"/>
              <w:topLinePunct w:val="0"/>
              <w:autoSpaceDE w:val="0"/>
              <w:autoSpaceDN w:val="0"/>
              <w:bidi w:val="0"/>
              <w:adjustRightInd w:val="0"/>
              <w:snapToGrid w:val="0"/>
              <w:spacing w:before="170" w:line="240" w:lineRule="atLeast"/>
              <w:ind w:left="393"/>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202</w:t>
            </w:r>
            <w:r>
              <w:rPr>
                <w:rFonts w:hint="eastAsia" w:ascii="仿宋_GB2312" w:hAnsi="仿宋_GB2312" w:eastAsia="仿宋_GB2312" w:cs="仿宋_GB2312"/>
                <w:spacing w:val="2"/>
                <w:sz w:val="22"/>
                <w:szCs w:val="22"/>
                <w:lang w:val="en-US" w:eastAsia="zh-CN"/>
              </w:rPr>
              <w:t>6</w:t>
            </w:r>
            <w:r>
              <w:rPr>
                <w:rFonts w:hint="eastAsia" w:ascii="仿宋_GB2312" w:hAnsi="仿宋_GB2312" w:eastAsia="仿宋_GB2312" w:cs="仿宋_GB2312"/>
                <w:spacing w:val="2"/>
                <w:sz w:val="22"/>
                <w:szCs w:val="22"/>
              </w:rPr>
              <w:t>年度</w:t>
            </w:r>
          </w:p>
        </w:tc>
        <w:tc>
          <w:tcPr>
            <w:tcW w:w="1728" w:type="dxa"/>
            <w:vAlign w:val="top"/>
          </w:tcPr>
          <w:p w14:paraId="644F2C47">
            <w:pPr>
              <w:pStyle w:val="7"/>
              <w:keepNext w:val="0"/>
              <w:keepLines w:val="0"/>
              <w:pageBreakBefore w:val="0"/>
              <w:widowControl w:val="0"/>
              <w:kinsoku w:val="0"/>
              <w:wordWrap/>
              <w:overflowPunct w:val="0"/>
              <w:topLinePunct w:val="0"/>
              <w:autoSpaceDE w:val="0"/>
              <w:autoSpaceDN w:val="0"/>
              <w:bidi w:val="0"/>
              <w:adjustRightInd w:val="0"/>
              <w:snapToGrid w:val="0"/>
              <w:spacing w:before="168" w:line="240" w:lineRule="atLeast"/>
              <w:ind w:left="396"/>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3"/>
                <w:sz w:val="22"/>
                <w:szCs w:val="22"/>
              </w:rPr>
              <w:t>评价类型</w:t>
            </w:r>
          </w:p>
        </w:tc>
        <w:tc>
          <w:tcPr>
            <w:tcW w:w="2193" w:type="dxa"/>
            <w:gridSpan w:val="2"/>
            <w:vAlign w:val="top"/>
          </w:tcPr>
          <w:p w14:paraId="74A8783F">
            <w:pPr>
              <w:pStyle w:val="7"/>
              <w:keepNext w:val="0"/>
              <w:keepLines w:val="0"/>
              <w:pageBreakBefore w:val="0"/>
              <w:widowControl w:val="0"/>
              <w:kinsoku w:val="0"/>
              <w:wordWrap/>
              <w:overflowPunct w:val="0"/>
              <w:topLinePunct w:val="0"/>
              <w:autoSpaceDE w:val="0"/>
              <w:autoSpaceDN w:val="0"/>
              <w:bidi w:val="0"/>
              <w:adjustRightInd w:val="0"/>
              <w:snapToGrid w:val="0"/>
              <w:spacing w:before="168" w:line="240" w:lineRule="atLeast"/>
              <w:ind w:left="627"/>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部门</w:t>
            </w:r>
            <w:r>
              <w:rPr>
                <w:rFonts w:hint="eastAsia" w:ascii="仿宋_GB2312" w:hAnsi="仿宋_GB2312" w:eastAsia="仿宋_GB2312" w:cs="仿宋_GB2312"/>
                <w:spacing w:val="2"/>
                <w:sz w:val="22"/>
                <w:szCs w:val="22"/>
                <w:lang w:val="en-US" w:eastAsia="zh-CN"/>
              </w:rPr>
              <w:t>绩效</w:t>
            </w:r>
            <w:r>
              <w:rPr>
                <w:rFonts w:hint="eastAsia" w:ascii="仿宋_GB2312" w:hAnsi="仿宋_GB2312" w:eastAsia="仿宋_GB2312" w:cs="仿宋_GB2312"/>
                <w:spacing w:val="2"/>
                <w:sz w:val="22"/>
                <w:szCs w:val="22"/>
              </w:rPr>
              <w:t>评价</w:t>
            </w:r>
          </w:p>
        </w:tc>
      </w:tr>
      <w:tr w14:paraId="1F251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84" w:type="dxa"/>
            <w:vMerge w:val="continue"/>
            <w:tcBorders>
              <w:top w:val="nil"/>
              <w:bottom w:val="nil"/>
            </w:tcBorders>
            <w:textDirection w:val="tbRlV"/>
            <w:vAlign w:val="top"/>
          </w:tcPr>
          <w:p w14:paraId="6B408300">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宋体" w:hAnsi="宋体" w:eastAsia="宋体" w:cs="宋体"/>
                <w:sz w:val="21"/>
                <w:szCs w:val="21"/>
              </w:rPr>
            </w:pPr>
          </w:p>
        </w:tc>
        <w:tc>
          <w:tcPr>
            <w:tcW w:w="2087" w:type="dxa"/>
            <w:vAlign w:val="center"/>
          </w:tcPr>
          <w:p w14:paraId="716DABD7">
            <w:pPr>
              <w:pStyle w:val="7"/>
              <w:keepNext w:val="0"/>
              <w:keepLines w:val="0"/>
              <w:pageBreakBefore w:val="0"/>
              <w:widowControl w:val="0"/>
              <w:kinsoku w:val="0"/>
              <w:wordWrap/>
              <w:overflowPunct w:val="0"/>
              <w:topLinePunct w:val="0"/>
              <w:autoSpaceDE w:val="0"/>
              <w:autoSpaceDN w:val="0"/>
              <w:bidi w:val="0"/>
              <w:adjustRightInd w:val="0"/>
              <w:snapToGrid w:val="0"/>
              <w:spacing w:before="75" w:line="240" w:lineRule="atLeast"/>
              <w:ind w:firstLine="432" w:firstLineChars="200"/>
              <w:jc w:val="both"/>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委托评价单位</w:t>
            </w:r>
          </w:p>
        </w:tc>
        <w:tc>
          <w:tcPr>
            <w:tcW w:w="1728" w:type="dxa"/>
            <w:vAlign w:val="center"/>
          </w:tcPr>
          <w:p w14:paraId="0F7EA075">
            <w:pPr>
              <w:pStyle w:val="7"/>
              <w:keepNext w:val="0"/>
              <w:keepLines w:val="0"/>
              <w:pageBreakBefore w:val="0"/>
              <w:widowControl w:val="0"/>
              <w:kinsoku w:val="0"/>
              <w:wordWrap/>
              <w:overflowPunct w:val="0"/>
              <w:topLinePunct w:val="0"/>
              <w:autoSpaceDE w:val="0"/>
              <w:autoSpaceDN w:val="0"/>
              <w:bidi w:val="0"/>
              <w:adjustRightInd w:val="0"/>
              <w:snapToGrid w:val="0"/>
              <w:spacing w:before="75" w:line="240" w:lineRule="atLeast"/>
              <w:jc w:val="center"/>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6"/>
                <w:w w:val="100"/>
                <w:sz w:val="22"/>
                <w:szCs w:val="22"/>
              </w:rPr>
              <w:t>民乐县</w:t>
            </w:r>
            <w:r>
              <w:rPr>
                <w:rFonts w:hint="eastAsia" w:ascii="仿宋_GB2312" w:hAnsi="仿宋_GB2312" w:eastAsia="仿宋_GB2312" w:cs="仿宋_GB2312"/>
                <w:spacing w:val="-6"/>
                <w:w w:val="100"/>
                <w:sz w:val="22"/>
                <w:szCs w:val="22"/>
                <w:lang w:val="en-US" w:eastAsia="zh-CN"/>
              </w:rPr>
              <w:t>交通运输</w:t>
            </w:r>
            <w:r>
              <w:rPr>
                <w:rFonts w:hint="eastAsia" w:ascii="仿宋_GB2312" w:hAnsi="仿宋_GB2312" w:eastAsia="仿宋_GB2312" w:cs="仿宋_GB2312"/>
                <w:spacing w:val="-6"/>
                <w:w w:val="100"/>
                <w:sz w:val="22"/>
                <w:szCs w:val="22"/>
              </w:rPr>
              <w:t>局</w:t>
            </w:r>
          </w:p>
        </w:tc>
        <w:tc>
          <w:tcPr>
            <w:tcW w:w="1728" w:type="dxa"/>
            <w:vAlign w:val="center"/>
          </w:tcPr>
          <w:p w14:paraId="1BDC854E">
            <w:pPr>
              <w:pStyle w:val="7"/>
              <w:keepNext w:val="0"/>
              <w:keepLines w:val="0"/>
              <w:pageBreakBefore w:val="0"/>
              <w:widowControl w:val="0"/>
              <w:kinsoku w:val="0"/>
              <w:wordWrap/>
              <w:overflowPunct w:val="0"/>
              <w:topLinePunct w:val="0"/>
              <w:autoSpaceDE w:val="0"/>
              <w:autoSpaceDN w:val="0"/>
              <w:bidi w:val="0"/>
              <w:adjustRightInd w:val="0"/>
              <w:snapToGrid w:val="0"/>
              <w:spacing w:before="75" w:line="240" w:lineRule="atLeast"/>
              <w:ind w:firstLine="216" w:firstLineChars="100"/>
              <w:jc w:val="both"/>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评价机构名称</w:t>
            </w:r>
          </w:p>
        </w:tc>
        <w:tc>
          <w:tcPr>
            <w:tcW w:w="2193" w:type="dxa"/>
            <w:gridSpan w:val="2"/>
            <w:vAlign w:val="center"/>
          </w:tcPr>
          <w:p w14:paraId="2D3E2166">
            <w:pPr>
              <w:pStyle w:val="7"/>
              <w:keepNext w:val="0"/>
              <w:keepLines w:val="0"/>
              <w:pageBreakBefore w:val="0"/>
              <w:widowControl w:val="0"/>
              <w:kinsoku w:val="0"/>
              <w:wordWrap/>
              <w:overflowPunct w:val="0"/>
              <w:topLinePunct w:val="0"/>
              <w:autoSpaceDE w:val="0"/>
              <w:autoSpaceDN w:val="0"/>
              <w:bidi w:val="0"/>
              <w:adjustRightInd w:val="0"/>
              <w:snapToGrid w:val="0"/>
              <w:spacing w:line="240" w:lineRule="atLeast"/>
              <w:ind w:right="0"/>
              <w:jc w:val="center"/>
              <w:textAlignment w:val="baseline"/>
              <w:rPr>
                <w:rFonts w:hint="eastAsia" w:ascii="仿宋_GB2312" w:hAnsi="仿宋_GB2312" w:eastAsia="仿宋_GB2312" w:cs="仿宋_GB2312"/>
                <w:sz w:val="22"/>
                <w:szCs w:val="22"/>
              </w:rPr>
            </w:pPr>
            <w:r>
              <w:rPr>
                <w:rFonts w:hint="eastAsia" w:ascii="仿宋_GB2312" w:hAnsi="仿宋_GB2312" w:eastAsia="仿宋_GB2312" w:cs="仿宋_GB2312"/>
                <w:spacing w:val="-6"/>
                <w:sz w:val="22"/>
                <w:szCs w:val="22"/>
              </w:rPr>
              <w:t>民乐县</w:t>
            </w:r>
            <w:r>
              <w:rPr>
                <w:rFonts w:hint="eastAsia" w:ascii="仿宋_GB2312" w:hAnsi="仿宋_GB2312" w:eastAsia="仿宋_GB2312" w:cs="仿宋_GB2312"/>
                <w:spacing w:val="-6"/>
                <w:sz w:val="22"/>
                <w:szCs w:val="22"/>
                <w:lang w:val="en-US" w:eastAsia="zh-CN"/>
              </w:rPr>
              <w:t>交通运输局</w:t>
            </w:r>
            <w:r>
              <w:rPr>
                <w:rFonts w:hint="eastAsia" w:ascii="仿宋_GB2312" w:hAnsi="仿宋_GB2312" w:eastAsia="仿宋_GB2312" w:cs="仿宋_GB2312"/>
                <w:spacing w:val="-6"/>
                <w:sz w:val="22"/>
                <w:szCs w:val="22"/>
              </w:rPr>
              <w:t>专家评价组</w:t>
            </w:r>
          </w:p>
        </w:tc>
      </w:tr>
      <w:tr w14:paraId="23E80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84" w:type="dxa"/>
            <w:vMerge w:val="continue"/>
            <w:tcBorders>
              <w:top w:val="nil"/>
            </w:tcBorders>
            <w:textDirection w:val="tbRlV"/>
            <w:vAlign w:val="top"/>
          </w:tcPr>
          <w:p w14:paraId="64DCEFE9">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ascii="宋体" w:hAnsi="宋体" w:eastAsia="宋体" w:cs="宋体"/>
                <w:sz w:val="21"/>
                <w:szCs w:val="21"/>
              </w:rPr>
            </w:pPr>
          </w:p>
        </w:tc>
        <w:tc>
          <w:tcPr>
            <w:tcW w:w="2087" w:type="dxa"/>
            <w:vAlign w:val="center"/>
          </w:tcPr>
          <w:p w14:paraId="783FDAE9">
            <w:pPr>
              <w:pStyle w:val="7"/>
              <w:keepNext w:val="0"/>
              <w:keepLines w:val="0"/>
              <w:pageBreakBefore w:val="0"/>
              <w:widowControl w:val="0"/>
              <w:kinsoku w:val="0"/>
              <w:wordWrap/>
              <w:overflowPunct w:val="0"/>
              <w:topLinePunct w:val="0"/>
              <w:autoSpaceDE w:val="0"/>
              <w:autoSpaceDN w:val="0"/>
              <w:bidi w:val="0"/>
              <w:adjustRightInd w:val="0"/>
              <w:snapToGrid w:val="0"/>
              <w:spacing w:before="187" w:line="240" w:lineRule="atLeast"/>
              <w:ind w:firstLine="406" w:firstLineChars="200"/>
              <w:jc w:val="both"/>
              <w:textAlignment w:val="baseline"/>
              <w:rPr>
                <w:sz w:val="21"/>
                <w:szCs w:val="21"/>
              </w:rPr>
            </w:pPr>
            <w:r>
              <w:rPr>
                <w:b/>
                <w:bCs/>
                <w:spacing w:val="-4"/>
                <w:sz w:val="21"/>
                <w:szCs w:val="21"/>
              </w:rPr>
              <w:t>评价对象名称</w:t>
            </w:r>
          </w:p>
        </w:tc>
        <w:tc>
          <w:tcPr>
            <w:tcW w:w="5649" w:type="dxa"/>
            <w:gridSpan w:val="4"/>
            <w:vAlign w:val="center"/>
          </w:tcPr>
          <w:p w14:paraId="3E478C50">
            <w:pPr>
              <w:pStyle w:val="7"/>
              <w:keepNext w:val="0"/>
              <w:keepLines w:val="0"/>
              <w:pageBreakBefore w:val="0"/>
              <w:widowControl w:val="0"/>
              <w:kinsoku w:val="0"/>
              <w:wordWrap/>
              <w:overflowPunct w:val="0"/>
              <w:topLinePunct w:val="0"/>
              <w:autoSpaceDE w:val="0"/>
              <w:autoSpaceDN w:val="0"/>
              <w:bidi w:val="0"/>
              <w:adjustRightInd w:val="0"/>
              <w:snapToGrid w:val="0"/>
              <w:spacing w:before="191" w:line="240" w:lineRule="atLeast"/>
              <w:ind w:firstLine="654" w:firstLineChars="300"/>
              <w:jc w:val="both"/>
              <w:textAlignment w:val="baseline"/>
              <w:rPr>
                <w:sz w:val="21"/>
                <w:szCs w:val="21"/>
              </w:rPr>
            </w:pPr>
            <w:r>
              <w:rPr>
                <w:rFonts w:hint="eastAsia" w:ascii="仿宋_GB2312" w:hAnsi="仿宋_GB2312" w:eastAsia="仿宋_GB2312" w:cs="仿宋_GB2312"/>
                <w:spacing w:val="-1"/>
                <w:sz w:val="22"/>
                <w:szCs w:val="22"/>
              </w:rPr>
              <w:t>202</w:t>
            </w:r>
            <w:r>
              <w:rPr>
                <w:rFonts w:hint="eastAsia" w:ascii="仿宋_GB2312" w:hAnsi="仿宋_GB2312" w:eastAsia="仿宋_GB2312" w:cs="仿宋_GB2312"/>
                <w:spacing w:val="-1"/>
                <w:sz w:val="22"/>
                <w:szCs w:val="22"/>
                <w:lang w:val="en-US" w:eastAsia="zh-CN"/>
              </w:rPr>
              <w:t>5</w:t>
            </w:r>
            <w:r>
              <w:rPr>
                <w:rFonts w:hint="eastAsia" w:ascii="仿宋_GB2312" w:hAnsi="仿宋_GB2312" w:eastAsia="仿宋_GB2312" w:cs="仿宋_GB2312"/>
                <w:spacing w:val="-1"/>
                <w:sz w:val="22"/>
                <w:szCs w:val="22"/>
              </w:rPr>
              <w:t>年</w:t>
            </w:r>
            <w:r>
              <w:rPr>
                <w:rFonts w:hint="eastAsia" w:ascii="仿宋_GB2312" w:hAnsi="仿宋_GB2312" w:eastAsia="仿宋_GB2312" w:cs="仿宋_GB2312"/>
                <w:spacing w:val="-1"/>
                <w:sz w:val="22"/>
                <w:szCs w:val="22"/>
                <w:lang w:val="en-US" w:eastAsia="zh-CN"/>
              </w:rPr>
              <w:t>农村公路日常养护工程</w:t>
            </w:r>
          </w:p>
        </w:tc>
      </w:tr>
      <w:tr w14:paraId="05EA5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8" w:hRule="atLeast"/>
        </w:trPr>
        <w:tc>
          <w:tcPr>
            <w:tcW w:w="684" w:type="dxa"/>
            <w:textDirection w:val="tbRlV"/>
            <w:vAlign w:val="center"/>
          </w:tcPr>
          <w:p w14:paraId="504049F0">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ascii="宋体" w:hAnsi="宋体" w:eastAsia="宋体" w:cs="宋体"/>
                <w:sz w:val="21"/>
                <w:szCs w:val="21"/>
              </w:rPr>
            </w:pPr>
            <w:r>
              <w:rPr>
                <w:rFonts w:ascii="宋体" w:hAnsi="宋体" w:eastAsia="宋体" w:cs="宋体"/>
                <w:sz w:val="21"/>
                <w:szCs w:val="21"/>
              </w:rPr>
              <w:t>实 施 目 的</w:t>
            </w:r>
          </w:p>
        </w:tc>
        <w:tc>
          <w:tcPr>
            <w:tcW w:w="7736" w:type="dxa"/>
            <w:gridSpan w:val="5"/>
            <w:vAlign w:val="top"/>
          </w:tcPr>
          <w:p w14:paraId="5CE574B8">
            <w:pPr>
              <w:pStyle w:val="7"/>
              <w:keepNext w:val="0"/>
              <w:keepLines w:val="0"/>
              <w:pageBreakBefore w:val="0"/>
              <w:widowControl w:val="0"/>
              <w:kinsoku/>
              <w:wordWrap/>
              <w:overflowPunct w:val="0"/>
              <w:topLinePunct w:val="0"/>
              <w:autoSpaceDE w:val="0"/>
              <w:autoSpaceDN w:val="0"/>
              <w:bidi w:val="0"/>
              <w:adjustRightInd w:val="0"/>
              <w:snapToGrid w:val="0"/>
              <w:spacing w:before="75" w:line="240" w:lineRule="atLeast"/>
              <w:ind w:firstLine="452" w:firstLineChars="200"/>
              <w:textAlignment w:val="baseline"/>
              <w:rPr>
                <w:rFonts w:hint="default" w:ascii="仿宋_GB2312" w:hAnsi="仿宋_GB2312" w:eastAsia="仿宋_GB2312" w:cs="仿宋_GB2312"/>
                <w:spacing w:val="3"/>
                <w:sz w:val="22"/>
                <w:szCs w:val="22"/>
                <w:lang w:val="en-US" w:eastAsia="zh-CN"/>
              </w:rPr>
            </w:pPr>
            <w:r>
              <w:rPr>
                <w:rFonts w:hint="eastAsia" w:ascii="仿宋_GB2312" w:hAnsi="仿宋_GB2312" w:eastAsia="仿宋_GB2312" w:cs="仿宋_GB2312"/>
                <w:spacing w:val="3"/>
                <w:sz w:val="22"/>
                <w:szCs w:val="22"/>
              </w:rPr>
              <w:t>为进一步</w:t>
            </w:r>
            <w:r>
              <w:rPr>
                <w:rFonts w:hint="eastAsia" w:ascii="仿宋_GB2312" w:hAnsi="仿宋_GB2312" w:eastAsia="仿宋_GB2312" w:cs="仿宋_GB2312"/>
                <w:spacing w:val="3"/>
                <w:sz w:val="22"/>
                <w:szCs w:val="22"/>
                <w:lang w:val="en-US" w:eastAsia="zh-CN"/>
              </w:rPr>
              <w:t>提升我县农村公路技术状况和道路的通行能力、舒适度</w:t>
            </w:r>
            <w:r>
              <w:rPr>
                <w:rFonts w:hint="eastAsia" w:ascii="仿宋_GB2312" w:hAnsi="仿宋_GB2312" w:eastAsia="仿宋_GB2312" w:cs="仿宋_GB2312"/>
                <w:spacing w:val="3"/>
                <w:sz w:val="22"/>
                <w:szCs w:val="22"/>
              </w:rPr>
              <w:t>，</w:t>
            </w:r>
            <w:r>
              <w:rPr>
                <w:rFonts w:hint="eastAsia" w:ascii="仿宋_GB2312" w:hAnsi="仿宋_GB2312" w:eastAsia="仿宋_GB2312" w:cs="仿宋_GB2312"/>
                <w:spacing w:val="3"/>
                <w:sz w:val="22"/>
                <w:szCs w:val="22"/>
                <w:lang w:val="en-US" w:eastAsia="zh-CN"/>
              </w:rPr>
              <w:t>是县域</w:t>
            </w:r>
            <w:r>
              <w:rPr>
                <w:rFonts w:hint="default" w:ascii="仿宋_GB2312" w:hAnsi="仿宋_GB2312" w:eastAsia="仿宋_GB2312" w:cs="仿宋_GB2312"/>
                <w:spacing w:val="3"/>
                <w:sz w:val="22"/>
                <w:szCs w:val="22"/>
                <w:lang w:val="en-US" w:eastAsia="zh-CN"/>
              </w:rPr>
              <w:t>经济发展的基础性、先导性产业和</w:t>
            </w:r>
            <w:r>
              <w:rPr>
                <w:rFonts w:hint="eastAsia" w:ascii="仿宋_GB2312" w:hAnsi="仿宋_GB2312" w:eastAsia="仿宋_GB2312" w:cs="仿宋_GB2312"/>
                <w:spacing w:val="3"/>
                <w:sz w:val="22"/>
                <w:szCs w:val="22"/>
                <w:lang w:val="en-US" w:eastAsia="zh-CN"/>
              </w:rPr>
              <w:t>服务型</w:t>
            </w:r>
            <w:r>
              <w:rPr>
                <w:rFonts w:hint="default" w:ascii="仿宋_GB2312" w:hAnsi="仿宋_GB2312" w:eastAsia="仿宋_GB2312" w:cs="仿宋_GB2312"/>
                <w:spacing w:val="3"/>
                <w:sz w:val="22"/>
                <w:szCs w:val="22"/>
                <w:lang w:val="en-US" w:eastAsia="zh-CN"/>
              </w:rPr>
              <w:t>行业，随着</w:t>
            </w:r>
            <w:r>
              <w:rPr>
                <w:rFonts w:hint="eastAsia" w:ascii="仿宋_GB2312" w:hAnsi="仿宋_GB2312" w:eastAsia="仿宋_GB2312" w:cs="仿宋_GB2312"/>
                <w:spacing w:val="3"/>
                <w:sz w:val="22"/>
                <w:szCs w:val="22"/>
                <w:lang w:val="en-US" w:eastAsia="zh-CN"/>
              </w:rPr>
              <w:t>道路安全保障能力</w:t>
            </w:r>
            <w:r>
              <w:rPr>
                <w:rFonts w:hint="default" w:ascii="仿宋_GB2312" w:hAnsi="仿宋_GB2312" w:eastAsia="仿宋_GB2312" w:cs="仿宋_GB2312"/>
                <w:spacing w:val="3"/>
                <w:sz w:val="22"/>
                <w:szCs w:val="22"/>
                <w:lang w:val="en-US" w:eastAsia="zh-CN"/>
              </w:rPr>
              <w:t>的</w:t>
            </w:r>
            <w:r>
              <w:rPr>
                <w:rFonts w:hint="eastAsia" w:ascii="仿宋_GB2312" w:hAnsi="仿宋_GB2312" w:eastAsia="仿宋_GB2312" w:cs="仿宋_GB2312"/>
                <w:spacing w:val="3"/>
                <w:sz w:val="22"/>
                <w:szCs w:val="22"/>
                <w:lang w:val="en-US" w:eastAsia="zh-CN"/>
              </w:rPr>
              <w:t>提</w:t>
            </w:r>
            <w:bookmarkStart w:id="0" w:name="_GoBack"/>
            <w:bookmarkEnd w:id="0"/>
            <w:r>
              <w:rPr>
                <w:rFonts w:hint="eastAsia" w:ascii="仿宋_GB2312" w:hAnsi="仿宋_GB2312" w:eastAsia="仿宋_GB2312" w:cs="仿宋_GB2312"/>
                <w:spacing w:val="3"/>
                <w:sz w:val="22"/>
                <w:szCs w:val="22"/>
                <w:lang w:val="en-US" w:eastAsia="zh-CN"/>
              </w:rPr>
              <w:t>升，</w:t>
            </w:r>
            <w:r>
              <w:rPr>
                <w:rFonts w:hint="default" w:ascii="仿宋_GB2312" w:hAnsi="仿宋_GB2312" w:eastAsia="仿宋_GB2312" w:cs="仿宋_GB2312"/>
                <w:spacing w:val="3"/>
                <w:sz w:val="22"/>
                <w:szCs w:val="22"/>
                <w:lang w:val="en-US" w:eastAsia="zh-CN"/>
              </w:rPr>
              <w:t>人民群众的出行需求</w:t>
            </w:r>
            <w:r>
              <w:rPr>
                <w:rFonts w:hint="eastAsia" w:ascii="仿宋_GB2312" w:hAnsi="仿宋_GB2312" w:eastAsia="仿宋_GB2312" w:cs="仿宋_GB2312"/>
                <w:spacing w:val="3"/>
                <w:sz w:val="22"/>
                <w:szCs w:val="22"/>
                <w:lang w:val="en-US" w:eastAsia="zh-CN"/>
              </w:rPr>
              <w:t>也不同程度</w:t>
            </w:r>
            <w:r>
              <w:rPr>
                <w:rFonts w:hint="default" w:ascii="仿宋_GB2312" w:hAnsi="仿宋_GB2312" w:eastAsia="仿宋_GB2312" w:cs="仿宋_GB2312"/>
                <w:spacing w:val="3"/>
                <w:sz w:val="22"/>
                <w:szCs w:val="22"/>
                <w:lang w:val="en-US" w:eastAsia="zh-CN"/>
              </w:rPr>
              <w:t>有所</w:t>
            </w:r>
            <w:r>
              <w:rPr>
                <w:rFonts w:hint="eastAsia" w:ascii="仿宋_GB2312" w:hAnsi="仿宋_GB2312" w:eastAsia="仿宋_GB2312" w:cs="仿宋_GB2312"/>
                <w:spacing w:val="3"/>
                <w:sz w:val="22"/>
                <w:szCs w:val="22"/>
                <w:lang w:val="en-US" w:eastAsia="zh-CN"/>
              </w:rPr>
              <w:t>提高</w:t>
            </w:r>
            <w:r>
              <w:rPr>
                <w:rFonts w:hint="default" w:ascii="仿宋_GB2312" w:hAnsi="仿宋_GB2312" w:eastAsia="仿宋_GB2312" w:cs="仿宋_GB2312"/>
                <w:spacing w:val="3"/>
                <w:sz w:val="22"/>
                <w:szCs w:val="22"/>
                <w:lang w:val="en-US" w:eastAsia="zh-CN"/>
              </w:rPr>
              <w:t>，这对交通运输行业也提出了更严格的要求。为保障群众出行安全，合法权益得到保障，满足群众出行需求，促进道路运输行业稳定、健康有序发展</w:t>
            </w:r>
            <w:r>
              <w:rPr>
                <w:rFonts w:hint="eastAsia" w:ascii="仿宋_GB2312" w:hAnsi="仿宋_GB2312" w:eastAsia="仿宋_GB2312" w:cs="仿宋_GB2312"/>
                <w:spacing w:val="3"/>
                <w:sz w:val="22"/>
                <w:szCs w:val="22"/>
                <w:lang w:val="en-US" w:eastAsia="zh-CN"/>
              </w:rPr>
              <w:t>。</w:t>
            </w:r>
          </w:p>
        </w:tc>
      </w:tr>
      <w:tr w14:paraId="0625B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684" w:type="dxa"/>
            <w:vMerge w:val="restart"/>
            <w:tcBorders>
              <w:bottom w:val="nil"/>
            </w:tcBorders>
            <w:textDirection w:val="tbRlV"/>
            <w:vAlign w:val="center"/>
          </w:tcPr>
          <w:p w14:paraId="0FEA0579">
            <w:pPr>
              <w:pStyle w:val="7"/>
              <w:keepNext w:val="0"/>
              <w:keepLines w:val="0"/>
              <w:pageBreakBefore w:val="0"/>
              <w:widowControl w:val="0"/>
              <w:kinsoku w:val="0"/>
              <w:wordWrap/>
              <w:overflowPunct w:val="0"/>
              <w:topLinePunct w:val="0"/>
              <w:autoSpaceDE w:val="0"/>
              <w:autoSpaceDN w:val="0"/>
              <w:bidi w:val="0"/>
              <w:adjustRightInd w:val="0"/>
              <w:snapToGrid w:val="0"/>
              <w:spacing w:line="240" w:lineRule="atLeast"/>
              <w:jc w:val="center"/>
              <w:textAlignment w:val="baseline"/>
              <w:rPr>
                <w:rFonts w:ascii="宋体" w:hAnsi="宋体" w:eastAsia="宋体" w:cs="宋体"/>
                <w:sz w:val="21"/>
                <w:szCs w:val="21"/>
              </w:rPr>
            </w:pPr>
            <w:r>
              <w:rPr>
                <w:rFonts w:hint="eastAsia" w:cs="宋体"/>
                <w:sz w:val="16"/>
                <w:szCs w:val="16"/>
                <w:lang w:val="en-US" w:eastAsia="zh-CN"/>
              </w:rPr>
              <w:t>资金情况（万元）</w:t>
            </w:r>
          </w:p>
        </w:tc>
        <w:tc>
          <w:tcPr>
            <w:tcW w:w="2087" w:type="dxa"/>
            <w:vAlign w:val="center"/>
          </w:tcPr>
          <w:p w14:paraId="6984E6F3">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预算安排资金</w:t>
            </w:r>
          </w:p>
        </w:tc>
        <w:tc>
          <w:tcPr>
            <w:tcW w:w="1728" w:type="dxa"/>
            <w:vAlign w:val="center"/>
          </w:tcPr>
          <w:p w14:paraId="644636C1">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400</w:t>
            </w:r>
          </w:p>
        </w:tc>
        <w:tc>
          <w:tcPr>
            <w:tcW w:w="2038" w:type="dxa"/>
            <w:gridSpan w:val="2"/>
            <w:vAlign w:val="center"/>
          </w:tcPr>
          <w:p w14:paraId="1E17BA08">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实际到位资金</w:t>
            </w:r>
          </w:p>
        </w:tc>
        <w:tc>
          <w:tcPr>
            <w:tcW w:w="1883" w:type="dxa"/>
            <w:vAlign w:val="center"/>
          </w:tcPr>
          <w:p w14:paraId="6ED6BF45">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400</w:t>
            </w:r>
          </w:p>
        </w:tc>
      </w:tr>
      <w:tr w14:paraId="7ACC6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684" w:type="dxa"/>
            <w:vMerge w:val="continue"/>
            <w:tcBorders>
              <w:top w:val="nil"/>
              <w:bottom w:val="nil"/>
            </w:tcBorders>
            <w:textDirection w:val="tbRlV"/>
            <w:vAlign w:val="center"/>
          </w:tcPr>
          <w:p w14:paraId="41D346F7">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ascii="宋体" w:hAnsi="宋体" w:eastAsia="宋体" w:cs="宋体"/>
                <w:sz w:val="21"/>
                <w:szCs w:val="21"/>
              </w:rPr>
            </w:pPr>
          </w:p>
        </w:tc>
        <w:tc>
          <w:tcPr>
            <w:tcW w:w="2087" w:type="dxa"/>
            <w:vAlign w:val="center"/>
          </w:tcPr>
          <w:p w14:paraId="4E5C6442">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上级转移支付资金</w:t>
            </w:r>
          </w:p>
        </w:tc>
        <w:tc>
          <w:tcPr>
            <w:tcW w:w="1728" w:type="dxa"/>
            <w:vAlign w:val="center"/>
          </w:tcPr>
          <w:p w14:paraId="19CCED9A">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0</w:t>
            </w:r>
          </w:p>
        </w:tc>
        <w:tc>
          <w:tcPr>
            <w:tcW w:w="2038" w:type="dxa"/>
            <w:gridSpan w:val="2"/>
            <w:vAlign w:val="center"/>
          </w:tcPr>
          <w:p w14:paraId="215753E9">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县级资金</w:t>
            </w:r>
          </w:p>
        </w:tc>
        <w:tc>
          <w:tcPr>
            <w:tcW w:w="1883" w:type="dxa"/>
            <w:vAlign w:val="center"/>
          </w:tcPr>
          <w:p w14:paraId="43A4BDCF">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0</w:t>
            </w:r>
          </w:p>
        </w:tc>
      </w:tr>
      <w:tr w14:paraId="314C4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84" w:type="dxa"/>
            <w:vMerge w:val="continue"/>
            <w:tcBorders>
              <w:top w:val="nil"/>
              <w:bottom w:val="nil"/>
            </w:tcBorders>
            <w:textDirection w:val="tbRlV"/>
            <w:vAlign w:val="center"/>
          </w:tcPr>
          <w:p w14:paraId="0CBD7914">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ascii="宋体" w:hAnsi="宋体" w:eastAsia="宋体" w:cs="宋体"/>
                <w:sz w:val="21"/>
                <w:szCs w:val="21"/>
              </w:rPr>
            </w:pPr>
          </w:p>
        </w:tc>
        <w:tc>
          <w:tcPr>
            <w:tcW w:w="2087" w:type="dxa"/>
            <w:vAlign w:val="center"/>
          </w:tcPr>
          <w:p w14:paraId="24764CD9">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实际支出资金</w:t>
            </w:r>
          </w:p>
        </w:tc>
        <w:tc>
          <w:tcPr>
            <w:tcW w:w="1728" w:type="dxa"/>
            <w:vAlign w:val="center"/>
          </w:tcPr>
          <w:p w14:paraId="19B6C030">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400</w:t>
            </w:r>
          </w:p>
        </w:tc>
        <w:tc>
          <w:tcPr>
            <w:tcW w:w="2038" w:type="dxa"/>
            <w:gridSpan w:val="2"/>
            <w:vAlign w:val="center"/>
          </w:tcPr>
          <w:p w14:paraId="0A4289E0">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结转结余资金</w:t>
            </w:r>
          </w:p>
        </w:tc>
        <w:tc>
          <w:tcPr>
            <w:tcW w:w="1883" w:type="dxa"/>
            <w:vAlign w:val="center"/>
          </w:tcPr>
          <w:p w14:paraId="5D832B5C">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0</w:t>
            </w:r>
          </w:p>
        </w:tc>
      </w:tr>
      <w:tr w14:paraId="59BE3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684" w:type="dxa"/>
            <w:vMerge w:val="continue"/>
            <w:tcBorders>
              <w:top w:val="nil"/>
            </w:tcBorders>
            <w:textDirection w:val="tbRlV"/>
            <w:vAlign w:val="center"/>
          </w:tcPr>
          <w:p w14:paraId="33985072">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ascii="宋体" w:hAnsi="宋体" w:eastAsia="宋体" w:cs="宋体"/>
                <w:sz w:val="21"/>
                <w:szCs w:val="21"/>
              </w:rPr>
            </w:pPr>
          </w:p>
        </w:tc>
        <w:tc>
          <w:tcPr>
            <w:tcW w:w="2087" w:type="dxa"/>
            <w:vAlign w:val="center"/>
          </w:tcPr>
          <w:p w14:paraId="2630BEFA">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预算执行率</w:t>
            </w:r>
          </w:p>
        </w:tc>
        <w:tc>
          <w:tcPr>
            <w:tcW w:w="5649" w:type="dxa"/>
            <w:gridSpan w:val="4"/>
            <w:vAlign w:val="center"/>
          </w:tcPr>
          <w:p w14:paraId="66B418A5">
            <w:pPr>
              <w:pStyle w:val="7"/>
              <w:keepNext w:val="0"/>
              <w:keepLines w:val="0"/>
              <w:pageBreakBefore w:val="0"/>
              <w:widowControl w:val="0"/>
              <w:kinsoku w:val="0"/>
              <w:wordWrap/>
              <w:overflowPunct w:val="0"/>
              <w:topLinePunct w:val="0"/>
              <w:autoSpaceDE w:val="0"/>
              <w:autoSpaceDN w:val="0"/>
              <w:bidi w:val="0"/>
              <w:adjustRightInd w:val="0"/>
              <w:snapToGrid w:val="0"/>
              <w:spacing w:line="200" w:lineRule="auto"/>
              <w:ind w:left="0"/>
              <w:jc w:val="center"/>
              <w:textAlignment w:val="baseline"/>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100%</w:t>
            </w:r>
          </w:p>
        </w:tc>
      </w:tr>
    </w:tbl>
    <w:p w14:paraId="38680DE2">
      <w:pPr>
        <w:keepNext w:val="0"/>
        <w:keepLines w:val="0"/>
        <w:pageBreakBefore w:val="0"/>
        <w:widowControl w:val="0"/>
        <w:kinsoku w:val="0"/>
        <w:wordWrap/>
        <w:overflowPunct w:val="0"/>
        <w:topLinePunct w:val="0"/>
        <w:autoSpaceDE w:val="0"/>
        <w:autoSpaceDN w:val="0"/>
        <w:bidi w:val="0"/>
        <w:spacing w:before="48" w:line="219" w:lineRule="auto"/>
        <w:outlineLvl w:val="3"/>
        <w:rPr>
          <w:rFonts w:ascii="宋体" w:hAnsi="宋体" w:eastAsia="宋体" w:cs="宋体"/>
          <w:sz w:val="21"/>
          <w:szCs w:val="21"/>
        </w:rPr>
      </w:pPr>
    </w:p>
    <w:p w14:paraId="64CAA832">
      <w:pPr>
        <w:keepNext w:val="0"/>
        <w:keepLines w:val="0"/>
        <w:pageBreakBefore w:val="0"/>
        <w:widowControl w:val="0"/>
        <w:kinsoku w:val="0"/>
        <w:wordWrap/>
        <w:overflowPunct w:val="0"/>
        <w:topLinePunct w:val="0"/>
        <w:autoSpaceDE w:val="0"/>
        <w:autoSpaceDN w:val="0"/>
        <w:bidi w:val="0"/>
        <w:spacing w:line="53" w:lineRule="exact"/>
        <w:rPr>
          <w:sz w:val="18"/>
          <w:szCs w:val="18"/>
        </w:rPr>
      </w:pPr>
    </w:p>
    <w:p w14:paraId="3B3230E9">
      <w:pPr>
        <w:keepNext w:val="0"/>
        <w:keepLines/>
        <w:pageBreakBefore w:val="0"/>
        <w:widowControl w:val="0"/>
        <w:wordWrap/>
        <w:overflowPunct/>
        <w:topLinePunct w:val="0"/>
        <w:bidi w:val="0"/>
        <w:rPr>
          <w:rFonts w:ascii="Arial"/>
          <w:sz w:val="18"/>
          <w:szCs w:val="18"/>
        </w:rPr>
      </w:pPr>
    </w:p>
    <w:tbl>
      <w:tblPr>
        <w:tblStyle w:val="6"/>
        <w:tblpPr w:leftFromText="180" w:rightFromText="180" w:vertAnchor="text" w:horzAnchor="page" w:tblpX="1601" w:tblpY="629"/>
        <w:tblOverlap w:val="never"/>
        <w:tblW w:w="84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1"/>
        <w:gridCol w:w="5622"/>
      </w:tblGrid>
      <w:tr w14:paraId="25E7B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trPr>
        <w:tc>
          <w:tcPr>
            <w:tcW w:w="2801" w:type="dxa"/>
            <w:vAlign w:val="top"/>
          </w:tcPr>
          <w:p w14:paraId="665627DA">
            <w:pPr>
              <w:pStyle w:val="7"/>
              <w:keepNext w:val="0"/>
              <w:keepLines w:val="0"/>
              <w:pageBreakBefore w:val="0"/>
              <w:widowControl w:val="0"/>
              <w:kinsoku w:val="0"/>
              <w:wordWrap/>
              <w:overflowPunct w:val="0"/>
              <w:topLinePunct w:val="0"/>
              <w:autoSpaceDE w:val="0"/>
              <w:autoSpaceDN w:val="0"/>
              <w:bidi w:val="0"/>
              <w:spacing w:before="81" w:line="219" w:lineRule="auto"/>
              <w:jc w:val="both"/>
              <w:rPr>
                <w:b/>
                <w:bCs/>
                <w:spacing w:val="-5"/>
                <w:sz w:val="22"/>
                <w:szCs w:val="22"/>
              </w:rPr>
            </w:pPr>
          </w:p>
          <w:p w14:paraId="2C1BD8E3">
            <w:pPr>
              <w:pStyle w:val="7"/>
              <w:keepNext w:val="0"/>
              <w:keepLines w:val="0"/>
              <w:pageBreakBefore w:val="0"/>
              <w:widowControl w:val="0"/>
              <w:kinsoku w:val="0"/>
              <w:wordWrap/>
              <w:overflowPunct w:val="0"/>
              <w:topLinePunct w:val="0"/>
              <w:autoSpaceDE w:val="0"/>
              <w:autoSpaceDN w:val="0"/>
              <w:bidi w:val="0"/>
              <w:spacing w:before="81" w:line="219" w:lineRule="auto"/>
              <w:ind w:left="648"/>
              <w:jc w:val="both"/>
              <w:rPr>
                <w:sz w:val="22"/>
                <w:szCs w:val="22"/>
              </w:rPr>
            </w:pPr>
            <w:r>
              <w:rPr>
                <w:b/>
                <w:bCs/>
                <w:spacing w:val="-5"/>
                <w:sz w:val="22"/>
                <w:szCs w:val="22"/>
              </w:rPr>
              <w:t>年度绩效目标</w:t>
            </w:r>
          </w:p>
        </w:tc>
        <w:tc>
          <w:tcPr>
            <w:tcW w:w="5622" w:type="dxa"/>
            <w:vAlign w:val="top"/>
          </w:tcPr>
          <w:p w14:paraId="691B7E39">
            <w:pPr>
              <w:keepNext w:val="0"/>
              <w:keepLines w:val="0"/>
              <w:widowControl/>
              <w:suppressLineNumbers w:val="0"/>
              <w:jc w:val="left"/>
              <w:rPr>
                <w:rFonts w:hint="eastAsia"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本项目旨在通过此项目的实施，提高道路的有效提升农村公路通行质量，大幅降低道路安全隐患，保障群众日常出行及农产品、农资运输通畅；延长农村公路使用寿命，节约道路大修重建成本；完善农村交通路网服务功能，助力乡村产业发展、人居环境提升，产生良好的社会效益和民生效益。</w:t>
            </w:r>
          </w:p>
          <w:p w14:paraId="768E71EA">
            <w:pPr>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afterAutospacing="0" w:line="240" w:lineRule="atLeast"/>
              <w:ind w:left="0" w:leftChars="0" w:right="0" w:rightChars="0" w:firstLine="440" w:firstLineChars="200"/>
              <w:jc w:val="both"/>
              <w:textAlignment w:val="auto"/>
              <w:outlineLvl w:val="9"/>
              <w:rPr>
                <w:sz w:val="22"/>
                <w:szCs w:val="22"/>
              </w:rPr>
            </w:pPr>
          </w:p>
        </w:tc>
      </w:tr>
      <w:tr w14:paraId="7B484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8423" w:type="dxa"/>
            <w:gridSpan w:val="2"/>
            <w:vAlign w:val="top"/>
          </w:tcPr>
          <w:p w14:paraId="44125EBB">
            <w:pPr>
              <w:pStyle w:val="7"/>
              <w:keepNext w:val="0"/>
              <w:keepLines w:val="0"/>
              <w:pageBreakBefore w:val="0"/>
              <w:widowControl w:val="0"/>
              <w:kinsoku w:val="0"/>
              <w:wordWrap/>
              <w:overflowPunct w:val="0"/>
              <w:topLinePunct w:val="0"/>
              <w:autoSpaceDE w:val="0"/>
              <w:autoSpaceDN w:val="0"/>
              <w:bidi w:val="0"/>
              <w:spacing w:before="210" w:line="218" w:lineRule="auto"/>
              <w:ind w:left="3258"/>
              <w:rPr>
                <w:sz w:val="22"/>
                <w:szCs w:val="22"/>
              </w:rPr>
            </w:pPr>
            <w:r>
              <w:rPr>
                <w:b/>
                <w:bCs/>
                <w:spacing w:val="-4"/>
                <w:sz w:val="22"/>
                <w:szCs w:val="22"/>
              </w:rPr>
              <w:t>三、评价基本情况</w:t>
            </w:r>
          </w:p>
        </w:tc>
      </w:tr>
      <w:tr w14:paraId="447F9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6" w:hRule="atLeast"/>
        </w:trPr>
        <w:tc>
          <w:tcPr>
            <w:tcW w:w="2801" w:type="dxa"/>
            <w:vAlign w:val="top"/>
          </w:tcPr>
          <w:p w14:paraId="36AAA2C8">
            <w:pPr>
              <w:pStyle w:val="7"/>
              <w:keepNext w:val="0"/>
              <w:keepLines w:val="0"/>
              <w:pageBreakBefore w:val="0"/>
              <w:widowControl w:val="0"/>
              <w:kinsoku w:val="0"/>
              <w:wordWrap/>
              <w:overflowPunct w:val="0"/>
              <w:topLinePunct w:val="0"/>
              <w:autoSpaceDE w:val="0"/>
              <w:autoSpaceDN w:val="0"/>
              <w:bidi w:val="0"/>
              <w:spacing w:before="81" w:line="218" w:lineRule="auto"/>
              <w:rPr>
                <w:rFonts w:hint="eastAsia" w:eastAsia="宋体"/>
                <w:b/>
                <w:bCs/>
                <w:spacing w:val="1"/>
                <w:sz w:val="22"/>
                <w:szCs w:val="22"/>
                <w:lang w:val="en-US" w:eastAsia="zh-CN"/>
              </w:rPr>
            </w:pPr>
          </w:p>
          <w:p w14:paraId="0DE3AD00">
            <w:pPr>
              <w:pStyle w:val="7"/>
              <w:keepNext w:val="0"/>
              <w:keepLines w:val="0"/>
              <w:pageBreakBefore w:val="0"/>
              <w:widowControl w:val="0"/>
              <w:kinsoku w:val="0"/>
              <w:wordWrap/>
              <w:overflowPunct w:val="0"/>
              <w:topLinePunct w:val="0"/>
              <w:autoSpaceDE w:val="0"/>
              <w:autoSpaceDN w:val="0"/>
              <w:bidi w:val="0"/>
              <w:spacing w:before="81" w:line="218" w:lineRule="auto"/>
              <w:ind w:left="898"/>
              <w:rPr>
                <w:b/>
                <w:bCs/>
                <w:spacing w:val="1"/>
                <w:sz w:val="22"/>
                <w:szCs w:val="22"/>
              </w:rPr>
            </w:pPr>
          </w:p>
          <w:p w14:paraId="093020B0">
            <w:pPr>
              <w:pStyle w:val="7"/>
              <w:keepNext w:val="0"/>
              <w:keepLines w:val="0"/>
              <w:pageBreakBefore w:val="0"/>
              <w:widowControl w:val="0"/>
              <w:kinsoku w:val="0"/>
              <w:wordWrap/>
              <w:overflowPunct w:val="0"/>
              <w:topLinePunct w:val="0"/>
              <w:autoSpaceDE w:val="0"/>
              <w:autoSpaceDN w:val="0"/>
              <w:bidi w:val="0"/>
              <w:spacing w:before="81" w:line="218" w:lineRule="auto"/>
              <w:ind w:left="898"/>
              <w:rPr>
                <w:sz w:val="22"/>
                <w:szCs w:val="22"/>
              </w:rPr>
            </w:pPr>
            <w:r>
              <w:rPr>
                <w:b/>
                <w:bCs/>
                <w:spacing w:val="1"/>
                <w:sz w:val="22"/>
                <w:szCs w:val="22"/>
              </w:rPr>
              <w:t>评价范围</w:t>
            </w:r>
          </w:p>
        </w:tc>
        <w:tc>
          <w:tcPr>
            <w:tcW w:w="5622" w:type="dxa"/>
            <w:vAlign w:val="top"/>
          </w:tcPr>
          <w:p w14:paraId="5ADB9621">
            <w:pPr>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afterAutospacing="0" w:line="240" w:lineRule="atLeast"/>
              <w:ind w:left="0" w:leftChars="0" w:right="0" w:rightChars="0" w:firstLine="452" w:firstLineChars="200"/>
              <w:jc w:val="both"/>
              <w:textAlignment w:val="auto"/>
              <w:outlineLvl w:val="9"/>
              <w:rPr>
                <w:sz w:val="22"/>
                <w:szCs w:val="22"/>
              </w:rPr>
            </w:pPr>
            <w:r>
              <w:rPr>
                <w:rFonts w:hint="eastAsia" w:ascii="仿宋_GB2312" w:hAnsi="仿宋_GB2312" w:eastAsia="仿宋_GB2312" w:cs="仿宋_GB2312"/>
                <w:snapToGrid w:val="0"/>
                <w:color w:val="000000"/>
                <w:spacing w:val="3"/>
                <w:kern w:val="0"/>
                <w:sz w:val="22"/>
                <w:szCs w:val="22"/>
                <w:lang w:val="en-US" w:eastAsia="zh-CN" w:bidi="ar-SA"/>
              </w:rPr>
              <w:t>项目总投资额为400万元，全部为县级支付资金。项目总里程约1908.73公里，计划总投资400万元，实现</w:t>
            </w:r>
            <w:r>
              <w:rPr>
                <w:rFonts w:hint="eastAsia" w:ascii="仿宋_GB2312" w:hAnsi="仿宋_GB2312" w:eastAsia="仿宋_GB2312" w:cs="仿宋_GB2312"/>
                <w:snapToGrid w:val="0"/>
                <w:color w:val="000000"/>
                <w:spacing w:val="3"/>
                <w:kern w:val="0"/>
                <w:sz w:val="22"/>
                <w:szCs w:val="22"/>
                <w:lang w:val="en-US" w:eastAsia="en-US" w:bidi="ar-SA"/>
              </w:rPr>
              <w:t>完成民乐县</w:t>
            </w:r>
            <w:r>
              <w:rPr>
                <w:rFonts w:hint="eastAsia" w:ascii="仿宋_GB2312" w:hAnsi="仿宋_GB2312" w:eastAsia="仿宋_GB2312" w:cs="仿宋_GB2312"/>
                <w:snapToGrid w:val="0"/>
                <w:color w:val="000000"/>
                <w:spacing w:val="3"/>
                <w:kern w:val="0"/>
                <w:sz w:val="22"/>
                <w:szCs w:val="22"/>
                <w:lang w:val="en-US" w:eastAsia="zh-CN" w:bidi="ar-SA"/>
              </w:rPr>
              <w:t>农村</w:t>
            </w:r>
            <w:r>
              <w:rPr>
                <w:rFonts w:hint="eastAsia" w:ascii="仿宋_GB2312" w:hAnsi="仿宋_GB2312" w:eastAsia="仿宋_GB2312" w:cs="仿宋_GB2312"/>
                <w:snapToGrid w:val="0"/>
                <w:color w:val="000000"/>
                <w:spacing w:val="3"/>
                <w:kern w:val="0"/>
                <w:sz w:val="22"/>
                <w:szCs w:val="22"/>
                <w:lang w:val="en-US" w:eastAsia="en-US" w:bidi="ar-SA"/>
              </w:rPr>
              <w:t>公路养护</w:t>
            </w:r>
            <w:r>
              <w:rPr>
                <w:rFonts w:hint="eastAsia" w:ascii="仿宋_GB2312" w:hAnsi="仿宋_GB2312" w:eastAsia="仿宋_GB2312" w:cs="仿宋_GB2312"/>
                <w:snapToGrid w:val="0"/>
                <w:color w:val="000000"/>
                <w:spacing w:val="3"/>
                <w:kern w:val="0"/>
                <w:sz w:val="22"/>
                <w:szCs w:val="22"/>
                <w:lang w:val="en-US" w:eastAsia="zh-CN" w:bidi="ar-SA"/>
              </w:rPr>
              <w:t>1908.203</w:t>
            </w:r>
            <w:r>
              <w:rPr>
                <w:rFonts w:hint="eastAsia" w:ascii="仿宋_GB2312" w:hAnsi="仿宋_GB2312" w:eastAsia="仿宋_GB2312" w:cs="仿宋_GB2312"/>
                <w:snapToGrid w:val="0"/>
                <w:color w:val="000000"/>
                <w:spacing w:val="3"/>
                <w:kern w:val="0"/>
                <w:sz w:val="22"/>
                <w:szCs w:val="22"/>
                <w:lang w:val="en-US" w:eastAsia="en-US" w:bidi="ar-SA"/>
              </w:rPr>
              <w:t>公里，其中小修养护</w:t>
            </w:r>
            <w:r>
              <w:rPr>
                <w:rFonts w:hint="eastAsia" w:ascii="仿宋_GB2312" w:hAnsi="仿宋_GB2312" w:eastAsia="仿宋_GB2312" w:cs="仿宋_GB2312"/>
                <w:snapToGrid w:val="0"/>
                <w:color w:val="000000"/>
                <w:spacing w:val="3"/>
                <w:kern w:val="0"/>
                <w:sz w:val="22"/>
                <w:szCs w:val="22"/>
                <w:lang w:val="en-US" w:eastAsia="zh-CN" w:bidi="ar-SA"/>
              </w:rPr>
              <w:t>245.492</w:t>
            </w:r>
            <w:r>
              <w:rPr>
                <w:rFonts w:hint="eastAsia" w:ascii="仿宋_GB2312" w:hAnsi="仿宋_GB2312" w:eastAsia="仿宋_GB2312" w:cs="仿宋_GB2312"/>
                <w:snapToGrid w:val="0"/>
                <w:color w:val="000000"/>
                <w:spacing w:val="3"/>
                <w:kern w:val="0"/>
                <w:sz w:val="22"/>
                <w:szCs w:val="22"/>
                <w:lang w:val="en-US" w:eastAsia="en-US" w:bidi="ar-SA"/>
              </w:rPr>
              <w:t>公里（县道</w:t>
            </w:r>
            <w:r>
              <w:rPr>
                <w:rFonts w:hint="eastAsia" w:ascii="仿宋_GB2312" w:hAnsi="仿宋_GB2312" w:eastAsia="仿宋_GB2312" w:cs="仿宋_GB2312"/>
                <w:snapToGrid w:val="0"/>
                <w:color w:val="000000"/>
                <w:spacing w:val="3"/>
                <w:kern w:val="0"/>
                <w:sz w:val="22"/>
                <w:szCs w:val="22"/>
                <w:lang w:val="en-US" w:eastAsia="zh-CN" w:bidi="ar-SA"/>
              </w:rPr>
              <w:t>26.295</w:t>
            </w:r>
            <w:r>
              <w:rPr>
                <w:rFonts w:hint="eastAsia" w:ascii="仿宋_GB2312" w:hAnsi="仿宋_GB2312" w:eastAsia="仿宋_GB2312" w:cs="仿宋_GB2312"/>
                <w:snapToGrid w:val="0"/>
                <w:color w:val="000000"/>
                <w:spacing w:val="3"/>
                <w:kern w:val="0"/>
                <w:sz w:val="22"/>
                <w:szCs w:val="22"/>
                <w:lang w:val="en-US" w:eastAsia="en-US" w:bidi="ar-SA"/>
              </w:rPr>
              <w:t>公里</w:t>
            </w:r>
            <w:r>
              <w:rPr>
                <w:rFonts w:hint="eastAsia" w:ascii="仿宋_GB2312" w:hAnsi="仿宋_GB2312" w:eastAsia="仿宋_GB2312" w:cs="仿宋_GB2312"/>
                <w:snapToGrid w:val="0"/>
                <w:color w:val="000000"/>
                <w:spacing w:val="3"/>
                <w:kern w:val="0"/>
                <w:sz w:val="22"/>
                <w:szCs w:val="22"/>
                <w:lang w:val="en-US" w:eastAsia="zh-CN" w:bidi="ar-SA"/>
              </w:rPr>
              <w:t>，</w:t>
            </w:r>
            <w:r>
              <w:rPr>
                <w:rFonts w:hint="eastAsia" w:ascii="仿宋_GB2312" w:hAnsi="仿宋_GB2312" w:eastAsia="仿宋_GB2312" w:cs="仿宋_GB2312"/>
                <w:snapToGrid w:val="0"/>
                <w:color w:val="000000"/>
                <w:spacing w:val="3"/>
                <w:kern w:val="0"/>
                <w:sz w:val="22"/>
                <w:szCs w:val="22"/>
                <w:lang w:val="en-US" w:eastAsia="en-US" w:bidi="ar-SA"/>
              </w:rPr>
              <w:t>乡道</w:t>
            </w:r>
            <w:r>
              <w:rPr>
                <w:rFonts w:hint="eastAsia" w:ascii="仿宋_GB2312" w:hAnsi="仿宋_GB2312" w:eastAsia="仿宋_GB2312" w:cs="仿宋_GB2312"/>
                <w:snapToGrid w:val="0"/>
                <w:color w:val="000000"/>
                <w:spacing w:val="3"/>
                <w:kern w:val="0"/>
                <w:sz w:val="22"/>
                <w:szCs w:val="22"/>
                <w:lang w:val="en-US" w:eastAsia="zh-CN" w:bidi="ar-SA"/>
              </w:rPr>
              <w:t>99.197</w:t>
            </w:r>
            <w:r>
              <w:rPr>
                <w:rFonts w:hint="eastAsia" w:ascii="仿宋_GB2312" w:hAnsi="仿宋_GB2312" w:eastAsia="仿宋_GB2312" w:cs="仿宋_GB2312"/>
                <w:snapToGrid w:val="0"/>
                <w:color w:val="000000"/>
                <w:spacing w:val="3"/>
                <w:kern w:val="0"/>
                <w:sz w:val="22"/>
                <w:szCs w:val="22"/>
                <w:lang w:val="en-US" w:eastAsia="en-US" w:bidi="ar-SA"/>
              </w:rPr>
              <w:t>公里</w:t>
            </w:r>
            <w:r>
              <w:rPr>
                <w:rFonts w:hint="eastAsia" w:ascii="仿宋_GB2312" w:hAnsi="仿宋_GB2312" w:eastAsia="仿宋_GB2312" w:cs="仿宋_GB2312"/>
                <w:snapToGrid w:val="0"/>
                <w:color w:val="000000"/>
                <w:spacing w:val="3"/>
                <w:kern w:val="0"/>
                <w:sz w:val="22"/>
                <w:szCs w:val="22"/>
                <w:lang w:val="en-US" w:eastAsia="zh-CN" w:bidi="ar-SA"/>
              </w:rPr>
              <w:t>，</w:t>
            </w:r>
            <w:r>
              <w:rPr>
                <w:rFonts w:hint="eastAsia" w:ascii="仿宋_GB2312" w:hAnsi="仿宋_GB2312" w:eastAsia="仿宋_GB2312" w:cs="仿宋_GB2312"/>
                <w:snapToGrid w:val="0"/>
                <w:color w:val="000000"/>
                <w:spacing w:val="3"/>
                <w:kern w:val="0"/>
                <w:sz w:val="22"/>
                <w:szCs w:val="22"/>
                <w:lang w:val="en-US" w:eastAsia="en-US" w:bidi="ar-SA"/>
              </w:rPr>
              <w:t>村道</w:t>
            </w:r>
            <w:r>
              <w:rPr>
                <w:rFonts w:hint="eastAsia" w:ascii="仿宋_GB2312" w:hAnsi="仿宋_GB2312" w:eastAsia="仿宋_GB2312" w:cs="仿宋_GB2312"/>
                <w:snapToGrid w:val="0"/>
                <w:color w:val="000000"/>
                <w:spacing w:val="3"/>
                <w:kern w:val="0"/>
                <w:sz w:val="22"/>
                <w:szCs w:val="22"/>
                <w:lang w:val="en-US" w:eastAsia="zh-CN" w:bidi="ar-SA"/>
              </w:rPr>
              <w:t>120</w:t>
            </w:r>
            <w:r>
              <w:rPr>
                <w:rFonts w:hint="eastAsia" w:ascii="仿宋_GB2312" w:hAnsi="仿宋_GB2312" w:eastAsia="仿宋_GB2312" w:cs="仿宋_GB2312"/>
                <w:snapToGrid w:val="0"/>
                <w:color w:val="000000"/>
                <w:spacing w:val="3"/>
                <w:kern w:val="0"/>
                <w:sz w:val="22"/>
                <w:szCs w:val="22"/>
                <w:lang w:val="en-US" w:eastAsia="en-US" w:bidi="ar-SA"/>
              </w:rPr>
              <w:t>公里），日常保养、日常巡查</w:t>
            </w:r>
            <w:r>
              <w:rPr>
                <w:rFonts w:hint="eastAsia" w:ascii="仿宋_GB2312" w:hAnsi="仿宋_GB2312" w:eastAsia="仿宋_GB2312" w:cs="仿宋_GB2312"/>
                <w:snapToGrid w:val="0"/>
                <w:color w:val="000000"/>
                <w:spacing w:val="3"/>
                <w:kern w:val="0"/>
                <w:sz w:val="22"/>
                <w:szCs w:val="22"/>
                <w:lang w:val="en-US" w:eastAsia="zh-CN" w:bidi="ar-SA"/>
              </w:rPr>
              <w:t>254</w:t>
            </w:r>
            <w:r>
              <w:rPr>
                <w:rFonts w:hint="eastAsia" w:ascii="仿宋_GB2312" w:hAnsi="仿宋_GB2312" w:eastAsia="仿宋_GB2312" w:cs="仿宋_GB2312"/>
                <w:snapToGrid w:val="0"/>
                <w:color w:val="000000"/>
                <w:spacing w:val="3"/>
                <w:kern w:val="0"/>
                <w:sz w:val="22"/>
                <w:szCs w:val="22"/>
                <w:lang w:val="en-US" w:eastAsia="en-US" w:bidi="ar-SA"/>
              </w:rPr>
              <w:t>公里。</w:t>
            </w:r>
            <w:r>
              <w:rPr>
                <w:rFonts w:hint="eastAsia" w:ascii="仿宋_GB2312" w:hAnsi="仿宋_GB2312" w:eastAsia="仿宋_GB2312" w:cs="仿宋_GB2312"/>
                <w:snapToGrid w:val="0"/>
                <w:color w:val="000000"/>
                <w:spacing w:val="3"/>
                <w:kern w:val="0"/>
                <w:sz w:val="22"/>
                <w:szCs w:val="22"/>
                <w:lang w:val="en-US" w:eastAsia="zh-CN" w:bidi="ar-SA"/>
              </w:rPr>
              <w:t>达到农村公路通行服务水平明显提升的目的，解决农村公路畅返不畅的问题，进一步提高全县农村公路建设管养水平、改善交通安全环境的目标</w:t>
            </w:r>
            <w:r>
              <w:rPr>
                <w:rFonts w:hint="default" w:ascii="仿宋_GB2312" w:hAnsi="仿宋_GB2312" w:eastAsia="仿宋_GB2312" w:cs="仿宋_GB2312"/>
                <w:snapToGrid w:val="0"/>
                <w:color w:val="000000"/>
                <w:spacing w:val="3"/>
                <w:kern w:val="0"/>
                <w:sz w:val="22"/>
                <w:szCs w:val="22"/>
                <w:lang w:val="en-US" w:eastAsia="zh-CN" w:bidi="ar-SA"/>
              </w:rPr>
              <w:t>。</w:t>
            </w:r>
          </w:p>
        </w:tc>
      </w:tr>
    </w:tbl>
    <w:p w14:paraId="127FDCB3">
      <w:pPr>
        <w:keepNext w:val="0"/>
        <w:keepLines w:val="0"/>
        <w:pageBreakBefore w:val="0"/>
        <w:widowControl w:val="0"/>
        <w:tabs>
          <w:tab w:val="left" w:pos="975"/>
        </w:tabs>
        <w:kinsoku w:val="0"/>
        <w:wordWrap/>
        <w:overflowPunct w:val="0"/>
        <w:topLinePunct w:val="0"/>
        <w:autoSpaceDE w:val="0"/>
        <w:autoSpaceDN w:val="0"/>
        <w:bidi w:val="0"/>
        <w:jc w:val="center"/>
        <w:rPr>
          <w:rFonts w:hint="default"/>
          <w:lang w:val="en-US" w:eastAsia="zh-CN"/>
        </w:rPr>
        <w:sectPr>
          <w:pgSz w:w="11910" w:h="16850"/>
          <w:pgMar w:top="1432" w:right="1759" w:bottom="0" w:left="1695" w:header="0" w:footer="0" w:gutter="0"/>
          <w:cols w:space="720" w:num="1"/>
        </w:sectPr>
      </w:pPr>
      <w:r>
        <w:rPr>
          <w:rFonts w:ascii="宋体" w:hAnsi="宋体" w:eastAsia="宋体" w:cs="宋体"/>
          <w:b/>
          <w:bCs/>
          <w:spacing w:val="-7"/>
          <w:sz w:val="21"/>
          <w:szCs w:val="21"/>
        </w:rPr>
        <w:t>二、部门绩效目标</w:t>
      </w:r>
    </w:p>
    <w:tbl>
      <w:tblPr>
        <w:tblStyle w:val="6"/>
        <w:tblpPr w:leftFromText="180" w:rightFromText="180" w:vertAnchor="text" w:horzAnchor="page" w:tblpX="1646" w:tblpY="475"/>
        <w:tblOverlap w:val="never"/>
        <w:tblW w:w="84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08"/>
        <w:gridCol w:w="6507"/>
      </w:tblGrid>
      <w:tr w14:paraId="2CBCB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6" w:hRule="atLeast"/>
        </w:trPr>
        <w:tc>
          <w:tcPr>
            <w:tcW w:w="1908" w:type="dxa"/>
            <w:vAlign w:val="top"/>
          </w:tcPr>
          <w:p w14:paraId="28448523">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right="0" w:rightChars="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p>
          <w:p w14:paraId="7F02AB0F">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52" w:firstLineChars="20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p>
          <w:p w14:paraId="73B1D5CE">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right="0" w:rightChars="0" w:firstLine="452" w:firstLineChars="20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评价依据</w:t>
            </w:r>
          </w:p>
        </w:tc>
        <w:tc>
          <w:tcPr>
            <w:tcW w:w="6507" w:type="dxa"/>
            <w:vAlign w:val="top"/>
          </w:tcPr>
          <w:p w14:paraId="703308E8">
            <w:pPr>
              <w:pStyle w:val="3"/>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240" w:lineRule="atLeast"/>
              <w:ind w:left="0" w:firstLine="452" w:firstLineChars="200"/>
              <w:jc w:val="left"/>
              <w:textAlignment w:val="auto"/>
              <w:rPr>
                <w:rFonts w:hint="eastAsia"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根据《甘肃省深化农村公路管理养护体制改革实施方案》（甘政办发〔2020〕48号）和《张掖市深化农村公路管理养护体制改革工作方案》（张政办发〔2021〕22号）、《民乐县人民政府关于印发民乐县深化农村公路管理养护体制改革工作方案的通知》文件为依据。</w:t>
            </w:r>
          </w:p>
        </w:tc>
      </w:tr>
      <w:tr w14:paraId="78D22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908" w:type="dxa"/>
            <w:vAlign w:val="top"/>
          </w:tcPr>
          <w:p w14:paraId="3E0DC06F">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right="0" w:rightChars="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绩效评价指标体系</w:t>
            </w:r>
          </w:p>
        </w:tc>
        <w:tc>
          <w:tcPr>
            <w:tcW w:w="6507" w:type="dxa"/>
            <w:vAlign w:val="top"/>
          </w:tcPr>
          <w:p w14:paraId="12AA95FD">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52" w:firstLineChars="20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r>
              <w:rPr>
                <w:rFonts w:hint="default" w:ascii="仿宋_GB2312" w:hAnsi="仿宋_GB2312" w:eastAsia="仿宋_GB2312" w:cs="仿宋_GB2312"/>
                <w:snapToGrid w:val="0"/>
                <w:color w:val="000000"/>
                <w:spacing w:val="3"/>
                <w:kern w:val="0"/>
                <w:sz w:val="22"/>
                <w:szCs w:val="22"/>
                <w:lang w:val="en-US" w:eastAsia="zh-CN" w:bidi="ar-SA"/>
              </w:rPr>
              <w:t>绩效评价指标体系包括决策指标、过程指标、产出指标及效益指标四个部分，具体评价指标体系见《项目支出绩效评分表》。</w:t>
            </w:r>
          </w:p>
        </w:tc>
      </w:tr>
      <w:tr w14:paraId="3CF25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908" w:type="dxa"/>
            <w:vAlign w:val="top"/>
          </w:tcPr>
          <w:p w14:paraId="358E56C8">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right="0" w:rightChars="0" w:firstLine="452" w:firstLineChars="20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评价办法</w:t>
            </w:r>
          </w:p>
        </w:tc>
        <w:tc>
          <w:tcPr>
            <w:tcW w:w="6507" w:type="dxa"/>
            <w:vAlign w:val="top"/>
          </w:tcPr>
          <w:p w14:paraId="55CA4182">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52" w:firstLineChars="200"/>
              <w:jc w:val="both"/>
              <w:textAlignment w:val="auto"/>
              <w:outlineLvl w:val="9"/>
              <w:rPr>
                <w:rFonts w:hint="default" w:ascii="仿宋_GB2312" w:hAnsi="仿宋_GB2312" w:eastAsia="仿宋_GB2312" w:cs="仿宋_GB2312"/>
                <w:snapToGrid w:val="0"/>
                <w:color w:val="000000"/>
                <w:spacing w:val="3"/>
                <w:kern w:val="0"/>
                <w:sz w:val="22"/>
                <w:szCs w:val="22"/>
                <w:lang w:val="en-US" w:eastAsia="zh-CN" w:bidi="ar-SA"/>
              </w:rPr>
            </w:pPr>
            <w:r>
              <w:rPr>
                <w:rFonts w:hint="default" w:ascii="仿宋_GB2312" w:hAnsi="仿宋_GB2312" w:eastAsia="仿宋_GB2312" w:cs="仿宋_GB2312"/>
                <w:snapToGrid w:val="0"/>
                <w:color w:val="000000"/>
                <w:spacing w:val="3"/>
                <w:kern w:val="0"/>
                <w:sz w:val="22"/>
                <w:szCs w:val="22"/>
                <w:lang w:val="en-US" w:eastAsia="zh-CN" w:bidi="ar-SA"/>
              </w:rPr>
              <w:t>比较分析法、因素分析法、公众评判法、标杆管 理法、模糊综合评价法、最低成本法等</w:t>
            </w:r>
            <w:r>
              <w:rPr>
                <w:rFonts w:hint="eastAsia" w:ascii="仿宋_GB2312" w:hAnsi="仿宋_GB2312" w:eastAsia="仿宋_GB2312" w:cs="仿宋_GB2312"/>
                <w:snapToGrid w:val="0"/>
                <w:color w:val="000000"/>
                <w:spacing w:val="3"/>
                <w:kern w:val="0"/>
                <w:sz w:val="22"/>
                <w:szCs w:val="22"/>
                <w:lang w:val="en-US" w:eastAsia="zh-CN" w:bidi="ar-SA"/>
              </w:rPr>
              <w:t>。</w:t>
            </w:r>
          </w:p>
        </w:tc>
      </w:tr>
      <w:tr w14:paraId="54F23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908" w:type="dxa"/>
            <w:vAlign w:val="top"/>
          </w:tcPr>
          <w:p w14:paraId="0EC446DB">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right="0" w:rightChars="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数据采集及处理办法</w:t>
            </w:r>
          </w:p>
        </w:tc>
        <w:tc>
          <w:tcPr>
            <w:tcW w:w="6507" w:type="dxa"/>
            <w:vAlign w:val="top"/>
          </w:tcPr>
          <w:p w14:paraId="55F3C5BD">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52" w:firstLineChars="200"/>
              <w:jc w:val="both"/>
              <w:textAlignment w:val="auto"/>
              <w:outlineLvl w:val="9"/>
              <w:rPr>
                <w:rFonts w:hint="default" w:ascii="仿宋_GB2312" w:hAnsi="仿宋_GB2312" w:eastAsia="仿宋_GB2312" w:cs="仿宋_GB2312"/>
                <w:snapToGrid w:val="0"/>
                <w:color w:val="000000"/>
                <w:spacing w:val="3"/>
                <w:kern w:val="0"/>
                <w:sz w:val="22"/>
                <w:szCs w:val="22"/>
                <w:lang w:val="en-US" w:eastAsia="zh-CN" w:bidi="ar-SA"/>
              </w:rPr>
            </w:pPr>
            <w:r>
              <w:rPr>
                <w:rFonts w:hint="default" w:ascii="仿宋_GB2312" w:hAnsi="仿宋_GB2312" w:eastAsia="仿宋_GB2312" w:cs="仿宋_GB2312"/>
                <w:snapToGrid w:val="0"/>
                <w:color w:val="000000"/>
                <w:spacing w:val="3"/>
                <w:kern w:val="0"/>
                <w:sz w:val="22"/>
                <w:szCs w:val="22"/>
                <w:lang w:val="en-US" w:eastAsia="zh-CN" w:bidi="ar-SA"/>
              </w:rPr>
              <w:t>信息与数据收集采取观察法、调查问卷法等方 式进行，数据处理采取集中分析方法开展。</w:t>
            </w:r>
          </w:p>
        </w:tc>
      </w:tr>
      <w:tr w14:paraId="6C25C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1908" w:type="dxa"/>
            <w:vAlign w:val="top"/>
          </w:tcPr>
          <w:p w14:paraId="1B508405">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right="0" w:rightChars="0"/>
              <w:jc w:val="both"/>
              <w:textAlignment w:val="auto"/>
              <w:outlineLvl w:val="9"/>
              <w:rPr>
                <w:rFonts w:hint="eastAsia"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绩效评价工作过程</w:t>
            </w:r>
          </w:p>
        </w:tc>
        <w:tc>
          <w:tcPr>
            <w:tcW w:w="6507" w:type="dxa"/>
            <w:vAlign w:val="top"/>
          </w:tcPr>
          <w:p w14:paraId="60962BBE">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52" w:firstLineChars="200"/>
              <w:jc w:val="both"/>
              <w:textAlignment w:val="auto"/>
              <w:outlineLvl w:val="9"/>
              <w:rPr>
                <w:rFonts w:hint="default" w:ascii="仿宋_GB2312" w:hAnsi="仿宋_GB2312" w:eastAsia="仿宋_GB2312" w:cs="仿宋_GB2312"/>
                <w:snapToGrid w:val="0"/>
                <w:color w:val="000000"/>
                <w:spacing w:val="3"/>
                <w:kern w:val="0"/>
                <w:sz w:val="22"/>
                <w:szCs w:val="22"/>
                <w:lang w:val="en-US" w:eastAsia="zh-CN" w:bidi="ar-SA"/>
              </w:rPr>
            </w:pPr>
            <w:r>
              <w:rPr>
                <w:rFonts w:hint="eastAsia" w:ascii="仿宋_GB2312" w:hAnsi="仿宋_GB2312" w:eastAsia="仿宋_GB2312" w:cs="仿宋_GB2312"/>
                <w:snapToGrid w:val="0"/>
                <w:color w:val="000000"/>
                <w:spacing w:val="3"/>
                <w:kern w:val="0"/>
                <w:sz w:val="22"/>
                <w:szCs w:val="22"/>
                <w:lang w:val="en-US" w:eastAsia="zh-CN" w:bidi="ar-SA"/>
              </w:rPr>
              <w:t>拟订</w:t>
            </w:r>
            <w:r>
              <w:rPr>
                <w:rFonts w:hint="default" w:ascii="仿宋_GB2312" w:hAnsi="仿宋_GB2312" w:eastAsia="仿宋_GB2312" w:cs="仿宋_GB2312"/>
                <w:snapToGrid w:val="0"/>
                <w:color w:val="000000"/>
                <w:spacing w:val="3"/>
                <w:kern w:val="0"/>
                <w:sz w:val="22"/>
                <w:szCs w:val="22"/>
                <w:lang w:val="en-US" w:eastAsia="zh-CN" w:bidi="ar-SA"/>
              </w:rPr>
              <w:t>方案、开展培训、现场评价、撰写报告、资料归档(202</w:t>
            </w:r>
            <w:r>
              <w:rPr>
                <w:rFonts w:hint="eastAsia" w:ascii="仿宋_GB2312" w:hAnsi="仿宋_GB2312" w:eastAsia="仿宋_GB2312" w:cs="仿宋_GB2312"/>
                <w:snapToGrid w:val="0"/>
                <w:color w:val="000000"/>
                <w:spacing w:val="3"/>
                <w:kern w:val="0"/>
                <w:sz w:val="22"/>
                <w:szCs w:val="22"/>
                <w:lang w:val="en-US" w:eastAsia="zh-CN" w:bidi="ar-SA"/>
              </w:rPr>
              <w:t>6</w:t>
            </w:r>
            <w:r>
              <w:rPr>
                <w:rFonts w:hint="default" w:ascii="仿宋_GB2312" w:hAnsi="仿宋_GB2312" w:eastAsia="仿宋_GB2312" w:cs="仿宋_GB2312"/>
                <w:snapToGrid w:val="0"/>
                <w:color w:val="000000"/>
                <w:spacing w:val="3"/>
                <w:kern w:val="0"/>
                <w:sz w:val="22"/>
                <w:szCs w:val="22"/>
                <w:lang w:val="en-US" w:eastAsia="zh-CN" w:bidi="ar-SA"/>
              </w:rPr>
              <w:t>年5</w:t>
            </w:r>
            <w:r>
              <w:rPr>
                <w:rFonts w:hint="eastAsia" w:ascii="仿宋_GB2312" w:hAnsi="仿宋_GB2312" w:eastAsia="仿宋_GB2312" w:cs="仿宋_GB2312"/>
                <w:snapToGrid w:val="0"/>
                <w:color w:val="000000"/>
                <w:spacing w:val="3"/>
                <w:kern w:val="0"/>
                <w:sz w:val="22"/>
                <w:szCs w:val="22"/>
                <w:lang w:val="en-US" w:eastAsia="zh-CN" w:bidi="ar-SA"/>
              </w:rPr>
              <w:t xml:space="preserve"> </w:t>
            </w:r>
            <w:r>
              <w:rPr>
                <w:rFonts w:hint="default" w:ascii="仿宋_GB2312" w:hAnsi="仿宋_GB2312" w:eastAsia="仿宋_GB2312" w:cs="仿宋_GB2312"/>
                <w:snapToGrid w:val="0"/>
                <w:color w:val="000000"/>
                <w:spacing w:val="3"/>
                <w:kern w:val="0"/>
                <w:sz w:val="22"/>
                <w:szCs w:val="22"/>
                <w:lang w:val="en-US" w:eastAsia="zh-CN" w:bidi="ar-SA"/>
              </w:rPr>
              <w:t>月</w:t>
            </w:r>
            <w:r>
              <w:rPr>
                <w:rFonts w:hint="eastAsia" w:ascii="仿宋_GB2312" w:hAnsi="仿宋_GB2312" w:eastAsia="仿宋_GB2312" w:cs="仿宋_GB2312"/>
                <w:snapToGrid w:val="0"/>
                <w:color w:val="000000"/>
                <w:spacing w:val="3"/>
                <w:kern w:val="0"/>
                <w:sz w:val="22"/>
                <w:szCs w:val="22"/>
                <w:lang w:val="en-US" w:eastAsia="zh-CN" w:bidi="ar-SA"/>
              </w:rPr>
              <w:t>20</w:t>
            </w:r>
            <w:r>
              <w:rPr>
                <w:rFonts w:hint="default" w:ascii="仿宋_GB2312" w:hAnsi="仿宋_GB2312" w:eastAsia="仿宋_GB2312" w:cs="仿宋_GB2312"/>
                <w:snapToGrid w:val="0"/>
                <w:color w:val="000000"/>
                <w:spacing w:val="3"/>
                <w:kern w:val="0"/>
                <w:sz w:val="22"/>
                <w:szCs w:val="22"/>
                <w:lang w:val="en-US" w:eastAsia="zh-CN" w:bidi="ar-SA"/>
              </w:rPr>
              <w:t>日-</w:t>
            </w:r>
            <w:r>
              <w:rPr>
                <w:rFonts w:hint="eastAsia" w:ascii="仿宋_GB2312" w:hAnsi="仿宋_GB2312" w:eastAsia="仿宋_GB2312" w:cs="仿宋_GB2312"/>
                <w:snapToGrid w:val="0"/>
                <w:color w:val="000000"/>
                <w:spacing w:val="3"/>
                <w:kern w:val="0"/>
                <w:sz w:val="22"/>
                <w:szCs w:val="22"/>
                <w:lang w:val="en-US" w:eastAsia="zh-CN" w:bidi="ar-SA"/>
              </w:rPr>
              <w:t>9</w:t>
            </w:r>
            <w:r>
              <w:rPr>
                <w:rFonts w:hint="default" w:ascii="仿宋_GB2312" w:hAnsi="仿宋_GB2312" w:eastAsia="仿宋_GB2312" w:cs="仿宋_GB2312"/>
                <w:snapToGrid w:val="0"/>
                <w:color w:val="000000"/>
                <w:spacing w:val="3"/>
                <w:kern w:val="0"/>
                <w:sz w:val="22"/>
                <w:szCs w:val="22"/>
                <w:lang w:val="en-US" w:eastAsia="zh-CN" w:bidi="ar-SA"/>
              </w:rPr>
              <w:t>月</w:t>
            </w:r>
            <w:r>
              <w:rPr>
                <w:rFonts w:hint="eastAsia" w:ascii="仿宋_GB2312" w:hAnsi="仿宋_GB2312" w:eastAsia="仿宋_GB2312" w:cs="仿宋_GB2312"/>
                <w:snapToGrid w:val="0"/>
                <w:color w:val="000000"/>
                <w:spacing w:val="3"/>
                <w:kern w:val="0"/>
                <w:sz w:val="22"/>
                <w:szCs w:val="22"/>
                <w:lang w:val="en-US" w:eastAsia="zh-CN" w:bidi="ar-SA"/>
              </w:rPr>
              <w:t>20</w:t>
            </w:r>
            <w:r>
              <w:rPr>
                <w:rFonts w:hint="default" w:ascii="仿宋_GB2312" w:hAnsi="仿宋_GB2312" w:eastAsia="仿宋_GB2312" w:cs="仿宋_GB2312"/>
                <w:snapToGrid w:val="0"/>
                <w:color w:val="000000"/>
                <w:spacing w:val="3"/>
                <w:kern w:val="0"/>
                <w:sz w:val="22"/>
                <w:szCs w:val="22"/>
                <w:lang w:val="en-US" w:eastAsia="zh-CN" w:bidi="ar-SA"/>
              </w:rPr>
              <w:t>日)。</w:t>
            </w:r>
          </w:p>
        </w:tc>
      </w:tr>
    </w:tbl>
    <w:p w14:paraId="0CA2C98E">
      <w:pPr>
        <w:keepNext w:val="0"/>
        <w:keepLines/>
        <w:pageBreakBefore w:val="0"/>
        <w:widowControl w:val="0"/>
        <w:kinsoku w:val="0"/>
        <w:wordWrap/>
        <w:overflowPunct/>
        <w:topLinePunct w:val="0"/>
        <w:autoSpaceDE w:val="0"/>
        <w:autoSpaceDN w:val="0"/>
        <w:bidi w:val="0"/>
        <w:adjustRightInd w:val="0"/>
        <w:snapToGrid w:val="0"/>
        <w:spacing w:line="240" w:lineRule="atLeast"/>
        <w:textAlignment w:val="baseline"/>
        <w:rPr>
          <w:rFonts w:ascii="Arial" w:hAnsi="Arial" w:eastAsia="Arial" w:cs="Arial"/>
          <w:sz w:val="18"/>
          <w:szCs w:val="18"/>
        </w:rPr>
      </w:pPr>
    </w:p>
    <w:p w14:paraId="117E2255">
      <w:pPr>
        <w:bidi w:val="0"/>
        <w:rPr>
          <w:lang w:val="en-US" w:eastAsia="en-US"/>
        </w:rPr>
      </w:pPr>
    </w:p>
    <w:tbl>
      <w:tblPr>
        <w:tblStyle w:val="6"/>
        <w:tblpPr w:leftFromText="180" w:rightFromText="180" w:vertAnchor="text" w:horzAnchor="page" w:tblpX="1696" w:tblpY="966"/>
        <w:tblOverlap w:val="never"/>
        <w:tblW w:w="833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7"/>
        <w:gridCol w:w="1268"/>
        <w:gridCol w:w="807"/>
        <w:gridCol w:w="413"/>
        <w:gridCol w:w="1344"/>
        <w:gridCol w:w="1230"/>
        <w:gridCol w:w="538"/>
        <w:gridCol w:w="537"/>
        <w:gridCol w:w="1053"/>
      </w:tblGrid>
      <w:tr w14:paraId="59724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1147" w:type="dxa"/>
            <w:vAlign w:val="top"/>
          </w:tcPr>
          <w:p w14:paraId="6E0936BB">
            <w:pPr>
              <w:pStyle w:val="7"/>
              <w:keepNext w:val="0"/>
              <w:keepLines/>
              <w:pageBreakBefore w:val="0"/>
              <w:widowControl w:val="0"/>
              <w:wordWrap/>
              <w:overflowPunct/>
              <w:topLinePunct w:val="0"/>
              <w:bidi w:val="0"/>
              <w:spacing w:before="145" w:line="240" w:lineRule="atLeast"/>
              <w:ind w:left="115"/>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综合评</w:t>
            </w:r>
          </w:p>
          <w:p w14:paraId="5A668E80">
            <w:pPr>
              <w:pStyle w:val="7"/>
              <w:keepNext w:val="0"/>
              <w:keepLines/>
              <w:pageBreakBefore w:val="0"/>
              <w:widowControl w:val="0"/>
              <w:wordWrap/>
              <w:overflowPunct/>
              <w:topLinePunct w:val="0"/>
              <w:bidi w:val="0"/>
              <w:spacing w:before="41" w:line="240" w:lineRule="atLeast"/>
              <w:ind w:left="115"/>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价结论</w:t>
            </w:r>
          </w:p>
        </w:tc>
        <w:tc>
          <w:tcPr>
            <w:tcW w:w="2075" w:type="dxa"/>
            <w:gridSpan w:val="2"/>
            <w:vAlign w:val="top"/>
          </w:tcPr>
          <w:p w14:paraId="00B39E4A">
            <w:pPr>
              <w:pStyle w:val="7"/>
              <w:keepNext w:val="0"/>
              <w:keepLines/>
              <w:pageBreakBefore w:val="0"/>
              <w:widowControl w:val="0"/>
              <w:wordWrap/>
              <w:overflowPunct/>
              <w:topLinePunct w:val="0"/>
              <w:bidi w:val="0"/>
              <w:spacing w:before="292" w:line="240" w:lineRule="atLeast"/>
              <w:ind w:left="59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评价得分</w:t>
            </w:r>
          </w:p>
        </w:tc>
        <w:tc>
          <w:tcPr>
            <w:tcW w:w="1757" w:type="dxa"/>
            <w:gridSpan w:val="2"/>
            <w:vAlign w:val="top"/>
          </w:tcPr>
          <w:p w14:paraId="5AC8E510">
            <w:pPr>
              <w:pStyle w:val="7"/>
              <w:keepNext w:val="0"/>
              <w:keepLines/>
              <w:pageBreakBefore w:val="0"/>
              <w:widowControl w:val="0"/>
              <w:wordWrap/>
              <w:overflowPunct/>
              <w:topLinePunct w:val="0"/>
              <w:bidi w:val="0"/>
              <w:spacing w:before="295" w:line="240" w:lineRule="atLeast"/>
              <w:ind w:left="453"/>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9</w:t>
            </w:r>
            <w:r>
              <w:rPr>
                <w:rFonts w:hint="eastAsia" w:ascii="仿宋_GB2312" w:hAnsi="仿宋_GB2312" w:eastAsia="仿宋_GB2312" w:cs="仿宋_GB2312"/>
                <w:spacing w:val="5"/>
                <w:sz w:val="24"/>
                <w:szCs w:val="24"/>
                <w:lang w:val="en-US" w:eastAsia="zh-CN"/>
              </w:rPr>
              <w:t>0</w:t>
            </w:r>
            <w:r>
              <w:rPr>
                <w:rFonts w:hint="eastAsia" w:ascii="仿宋_GB2312" w:hAnsi="仿宋_GB2312" w:eastAsia="仿宋_GB2312" w:cs="仿宋_GB2312"/>
                <w:spacing w:val="5"/>
                <w:sz w:val="24"/>
                <w:szCs w:val="24"/>
              </w:rPr>
              <w:t>分</w:t>
            </w:r>
          </w:p>
        </w:tc>
        <w:tc>
          <w:tcPr>
            <w:tcW w:w="1768" w:type="dxa"/>
            <w:gridSpan w:val="2"/>
            <w:vAlign w:val="top"/>
          </w:tcPr>
          <w:p w14:paraId="2AAD0FFD">
            <w:pPr>
              <w:pStyle w:val="7"/>
              <w:keepNext w:val="0"/>
              <w:keepLines/>
              <w:pageBreakBefore w:val="0"/>
              <w:widowControl w:val="0"/>
              <w:wordWrap/>
              <w:overflowPunct/>
              <w:topLinePunct w:val="0"/>
              <w:bidi w:val="0"/>
              <w:spacing w:before="292" w:line="240" w:lineRule="atLeast"/>
              <w:ind w:left="446"/>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评价等级</w:t>
            </w:r>
          </w:p>
        </w:tc>
        <w:tc>
          <w:tcPr>
            <w:tcW w:w="1590" w:type="dxa"/>
            <w:gridSpan w:val="2"/>
            <w:vAlign w:val="top"/>
          </w:tcPr>
          <w:p w14:paraId="7CEFD11F">
            <w:pPr>
              <w:pStyle w:val="7"/>
              <w:keepNext w:val="0"/>
              <w:keepLines/>
              <w:pageBreakBefore w:val="0"/>
              <w:widowControl w:val="0"/>
              <w:wordWrap/>
              <w:overflowPunct/>
              <w:topLinePunct w:val="0"/>
              <w:bidi w:val="0"/>
              <w:spacing w:before="295" w:line="240" w:lineRule="atLeast"/>
              <w:ind w:left="738"/>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优</w:t>
            </w:r>
          </w:p>
        </w:tc>
      </w:tr>
      <w:tr w14:paraId="2BC02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147" w:type="dxa"/>
            <w:vMerge w:val="restart"/>
            <w:tcBorders>
              <w:bottom w:val="nil"/>
            </w:tcBorders>
            <w:vAlign w:val="top"/>
          </w:tcPr>
          <w:p w14:paraId="69F88AE0">
            <w:pPr>
              <w:keepNext w:val="0"/>
              <w:keepLines/>
              <w:pageBreakBefore w:val="0"/>
              <w:widowControl w:val="0"/>
              <w:wordWrap/>
              <w:overflowPunct/>
              <w:topLinePunct w:val="0"/>
              <w:bidi w:val="0"/>
              <w:spacing w:line="240" w:lineRule="atLeast"/>
              <w:rPr>
                <w:rFonts w:hint="eastAsia" w:ascii="仿宋_GB2312" w:hAnsi="仿宋_GB2312" w:eastAsia="仿宋_GB2312" w:cs="仿宋_GB2312"/>
                <w:sz w:val="24"/>
                <w:szCs w:val="24"/>
              </w:rPr>
            </w:pPr>
          </w:p>
          <w:p w14:paraId="69C3FDDC">
            <w:pPr>
              <w:pStyle w:val="7"/>
              <w:keepNext w:val="0"/>
              <w:keepLines/>
              <w:pageBreakBefore w:val="0"/>
              <w:widowControl w:val="0"/>
              <w:wordWrap/>
              <w:overflowPunct/>
              <w:topLinePunct w:val="0"/>
              <w:bidi w:val="0"/>
              <w:spacing w:before="78" w:line="240" w:lineRule="atLeast"/>
              <w:ind w:left="234"/>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绩效</w:t>
            </w:r>
          </w:p>
          <w:p w14:paraId="6E759715">
            <w:pPr>
              <w:pStyle w:val="7"/>
              <w:keepNext w:val="0"/>
              <w:keepLines/>
              <w:pageBreakBefore w:val="0"/>
              <w:widowControl w:val="0"/>
              <w:wordWrap/>
              <w:overflowPunct/>
              <w:topLinePunct w:val="0"/>
              <w:bidi w:val="0"/>
              <w:spacing w:before="103" w:line="240" w:lineRule="atLeast"/>
              <w:ind w:left="234"/>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分析</w:t>
            </w:r>
          </w:p>
        </w:tc>
        <w:tc>
          <w:tcPr>
            <w:tcW w:w="1268" w:type="dxa"/>
            <w:vAlign w:val="top"/>
          </w:tcPr>
          <w:p w14:paraId="54EB11BD">
            <w:pPr>
              <w:pStyle w:val="7"/>
              <w:keepNext w:val="0"/>
              <w:keepLines/>
              <w:pageBreakBefore w:val="0"/>
              <w:widowControl w:val="0"/>
              <w:wordWrap/>
              <w:overflowPunct/>
              <w:topLinePunct w:val="0"/>
              <w:bidi w:val="0"/>
              <w:spacing w:before="223" w:line="240" w:lineRule="atLeast"/>
              <w:ind w:left="41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指标</w:t>
            </w:r>
          </w:p>
        </w:tc>
        <w:tc>
          <w:tcPr>
            <w:tcW w:w="1220" w:type="dxa"/>
            <w:gridSpan w:val="2"/>
            <w:vAlign w:val="top"/>
          </w:tcPr>
          <w:p w14:paraId="0BAB1A2C">
            <w:pPr>
              <w:pStyle w:val="7"/>
              <w:keepNext w:val="0"/>
              <w:keepLines/>
              <w:pageBreakBefore w:val="0"/>
              <w:widowControl w:val="0"/>
              <w:wordWrap/>
              <w:overflowPunct/>
              <w:topLinePunct w:val="0"/>
              <w:bidi w:val="0"/>
              <w:spacing w:before="223" w:line="240" w:lineRule="atLeast"/>
              <w:ind w:firstLine="50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决策</w:t>
            </w:r>
          </w:p>
        </w:tc>
        <w:tc>
          <w:tcPr>
            <w:tcW w:w="1344" w:type="dxa"/>
            <w:vAlign w:val="center"/>
          </w:tcPr>
          <w:p w14:paraId="3BE5B71E">
            <w:pPr>
              <w:pStyle w:val="7"/>
              <w:keepNext w:val="0"/>
              <w:keepLines/>
              <w:pageBreakBefore w:val="0"/>
              <w:widowControl w:val="0"/>
              <w:wordWrap/>
              <w:overflowPunct/>
              <w:topLinePunct w:val="0"/>
              <w:bidi w:val="0"/>
              <w:spacing w:before="223" w:line="240" w:lineRule="atLeast"/>
              <w:ind w:firstLine="468"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过程</w:t>
            </w:r>
          </w:p>
        </w:tc>
        <w:tc>
          <w:tcPr>
            <w:tcW w:w="1230" w:type="dxa"/>
            <w:vAlign w:val="top"/>
          </w:tcPr>
          <w:p w14:paraId="44244D3C">
            <w:pPr>
              <w:pStyle w:val="7"/>
              <w:keepNext w:val="0"/>
              <w:keepLines/>
              <w:pageBreakBefore w:val="0"/>
              <w:widowControl w:val="0"/>
              <w:wordWrap/>
              <w:overflowPunct/>
              <w:topLinePunct w:val="0"/>
              <w:bidi w:val="0"/>
              <w:spacing w:before="223" w:line="240" w:lineRule="atLeast"/>
              <w:ind w:left="396"/>
              <w:rPr>
                <w:rFonts w:hint="eastAsia" w:ascii="仿宋_GB2312" w:hAnsi="仿宋_GB2312" w:eastAsia="仿宋_GB2312" w:cs="仿宋_GB2312"/>
                <w:sz w:val="24"/>
                <w:szCs w:val="24"/>
              </w:rPr>
            </w:pPr>
            <w:r>
              <w:rPr>
                <w:rFonts w:hint="eastAsia" w:ascii="仿宋_GB2312" w:hAnsi="仿宋_GB2312" w:eastAsia="仿宋_GB2312" w:cs="仿宋_GB2312"/>
                <w:spacing w:val="14"/>
                <w:sz w:val="24"/>
                <w:szCs w:val="24"/>
              </w:rPr>
              <w:t>产出</w:t>
            </w:r>
          </w:p>
        </w:tc>
        <w:tc>
          <w:tcPr>
            <w:tcW w:w="1075" w:type="dxa"/>
            <w:gridSpan w:val="2"/>
            <w:vAlign w:val="top"/>
          </w:tcPr>
          <w:p w14:paraId="06940F99">
            <w:pPr>
              <w:pStyle w:val="7"/>
              <w:keepNext w:val="0"/>
              <w:keepLines/>
              <w:pageBreakBefore w:val="0"/>
              <w:widowControl w:val="0"/>
              <w:wordWrap/>
              <w:overflowPunct/>
              <w:topLinePunct w:val="0"/>
              <w:bidi w:val="0"/>
              <w:spacing w:before="223" w:line="240" w:lineRule="atLeast"/>
              <w:ind w:left="167"/>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效益</w:t>
            </w:r>
          </w:p>
        </w:tc>
        <w:tc>
          <w:tcPr>
            <w:tcW w:w="1053" w:type="dxa"/>
            <w:vAlign w:val="top"/>
          </w:tcPr>
          <w:p w14:paraId="1DB9FFB5">
            <w:pPr>
              <w:pStyle w:val="7"/>
              <w:keepNext w:val="0"/>
              <w:keepLines/>
              <w:pageBreakBefore w:val="0"/>
              <w:widowControl w:val="0"/>
              <w:wordWrap/>
              <w:overflowPunct/>
              <w:topLinePunct w:val="0"/>
              <w:bidi w:val="0"/>
              <w:spacing w:before="224" w:line="240" w:lineRule="atLeast"/>
              <w:ind w:left="299"/>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合计</w:t>
            </w:r>
          </w:p>
        </w:tc>
      </w:tr>
      <w:tr w14:paraId="33CAF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1147" w:type="dxa"/>
            <w:vMerge w:val="continue"/>
            <w:tcBorders>
              <w:top w:val="nil"/>
            </w:tcBorders>
            <w:vAlign w:val="top"/>
          </w:tcPr>
          <w:p w14:paraId="330BF4B8">
            <w:pPr>
              <w:keepNext w:val="0"/>
              <w:keepLines/>
              <w:pageBreakBefore w:val="0"/>
              <w:widowControl w:val="0"/>
              <w:wordWrap/>
              <w:overflowPunct/>
              <w:topLinePunct w:val="0"/>
              <w:bidi w:val="0"/>
              <w:spacing w:line="240" w:lineRule="atLeast"/>
              <w:rPr>
                <w:rFonts w:hint="eastAsia" w:ascii="仿宋_GB2312" w:hAnsi="仿宋_GB2312" w:eastAsia="仿宋_GB2312" w:cs="仿宋_GB2312"/>
                <w:sz w:val="24"/>
                <w:szCs w:val="24"/>
              </w:rPr>
            </w:pPr>
          </w:p>
        </w:tc>
        <w:tc>
          <w:tcPr>
            <w:tcW w:w="1268" w:type="dxa"/>
            <w:vAlign w:val="top"/>
          </w:tcPr>
          <w:p w14:paraId="4E90478F">
            <w:pPr>
              <w:pStyle w:val="7"/>
              <w:keepNext w:val="0"/>
              <w:keepLines/>
              <w:pageBreakBefore w:val="0"/>
              <w:widowControl w:val="0"/>
              <w:wordWrap/>
              <w:overflowPunct/>
              <w:topLinePunct w:val="0"/>
              <w:bidi w:val="0"/>
              <w:spacing w:before="226" w:line="240" w:lineRule="atLeast"/>
              <w:ind w:left="290"/>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得分率</w:t>
            </w:r>
          </w:p>
        </w:tc>
        <w:tc>
          <w:tcPr>
            <w:tcW w:w="1220" w:type="dxa"/>
            <w:gridSpan w:val="2"/>
            <w:vAlign w:val="top"/>
          </w:tcPr>
          <w:p w14:paraId="272BCB93">
            <w:pPr>
              <w:pStyle w:val="7"/>
              <w:keepNext w:val="0"/>
              <w:keepLines/>
              <w:pageBreakBefore w:val="0"/>
              <w:widowControl w:val="0"/>
              <w:wordWrap/>
              <w:overflowPunct/>
              <w:topLinePunct w:val="0"/>
              <w:bidi w:val="0"/>
              <w:spacing w:before="299" w:line="240" w:lineRule="atLeast"/>
              <w:ind w:left="482"/>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90</w:t>
            </w:r>
            <w:r>
              <w:rPr>
                <w:rFonts w:hint="eastAsia" w:ascii="仿宋_GB2312" w:hAnsi="仿宋_GB2312" w:eastAsia="仿宋_GB2312" w:cs="仿宋_GB2312"/>
                <w:spacing w:val="-1"/>
                <w:sz w:val="24"/>
                <w:szCs w:val="24"/>
              </w:rPr>
              <w:t>%</w:t>
            </w:r>
          </w:p>
        </w:tc>
        <w:tc>
          <w:tcPr>
            <w:tcW w:w="1344" w:type="dxa"/>
            <w:vAlign w:val="top"/>
          </w:tcPr>
          <w:p w14:paraId="0718CEF9">
            <w:pPr>
              <w:pStyle w:val="7"/>
              <w:keepNext w:val="0"/>
              <w:keepLines/>
              <w:pageBreakBefore w:val="0"/>
              <w:widowControl w:val="0"/>
              <w:wordWrap/>
              <w:overflowPunct/>
              <w:topLinePunct w:val="0"/>
              <w:bidi w:val="0"/>
              <w:spacing w:before="299" w:line="240" w:lineRule="atLeast"/>
              <w:ind w:left="394"/>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90</w:t>
            </w:r>
            <w:r>
              <w:rPr>
                <w:rFonts w:hint="eastAsia" w:ascii="仿宋_GB2312" w:hAnsi="仿宋_GB2312" w:eastAsia="仿宋_GB2312" w:cs="仿宋_GB2312"/>
                <w:spacing w:val="-1"/>
                <w:sz w:val="24"/>
                <w:szCs w:val="24"/>
              </w:rPr>
              <w:t>%</w:t>
            </w:r>
          </w:p>
        </w:tc>
        <w:tc>
          <w:tcPr>
            <w:tcW w:w="1230" w:type="dxa"/>
            <w:vAlign w:val="top"/>
          </w:tcPr>
          <w:p w14:paraId="24A9D3AB">
            <w:pPr>
              <w:pStyle w:val="7"/>
              <w:keepNext w:val="0"/>
              <w:keepLines/>
              <w:pageBreakBefore w:val="0"/>
              <w:widowControl w:val="0"/>
              <w:wordWrap/>
              <w:overflowPunct/>
              <w:topLinePunct w:val="0"/>
              <w:bidi w:val="0"/>
              <w:spacing w:before="299" w:line="240" w:lineRule="atLeast"/>
              <w:ind w:left="167" w:firstLine="238" w:firstLineChars="1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90%</w:t>
            </w:r>
          </w:p>
        </w:tc>
        <w:tc>
          <w:tcPr>
            <w:tcW w:w="1075" w:type="dxa"/>
            <w:gridSpan w:val="2"/>
            <w:vAlign w:val="top"/>
          </w:tcPr>
          <w:p w14:paraId="580DBBA4">
            <w:pPr>
              <w:pStyle w:val="7"/>
              <w:keepNext w:val="0"/>
              <w:keepLines/>
              <w:pageBreakBefore w:val="0"/>
              <w:widowControl w:val="0"/>
              <w:wordWrap/>
              <w:overflowPunct/>
              <w:topLinePunct w:val="0"/>
              <w:bidi w:val="0"/>
              <w:spacing w:before="299" w:line="240" w:lineRule="atLeast"/>
              <w:ind w:left="167"/>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90</w:t>
            </w:r>
            <w:r>
              <w:rPr>
                <w:rFonts w:hint="eastAsia" w:ascii="仿宋_GB2312" w:hAnsi="仿宋_GB2312" w:eastAsia="仿宋_GB2312" w:cs="仿宋_GB2312"/>
                <w:spacing w:val="-1"/>
                <w:sz w:val="24"/>
                <w:szCs w:val="24"/>
              </w:rPr>
              <w:t>%</w:t>
            </w:r>
          </w:p>
        </w:tc>
        <w:tc>
          <w:tcPr>
            <w:tcW w:w="1053" w:type="dxa"/>
            <w:vAlign w:val="top"/>
          </w:tcPr>
          <w:p w14:paraId="717C0393">
            <w:pPr>
              <w:pStyle w:val="7"/>
              <w:keepNext w:val="0"/>
              <w:keepLines/>
              <w:pageBreakBefore w:val="0"/>
              <w:widowControl w:val="0"/>
              <w:wordWrap/>
              <w:overflowPunct/>
              <w:topLinePunct w:val="0"/>
              <w:bidi w:val="0"/>
              <w:spacing w:before="249" w:line="240" w:lineRule="atLeast"/>
              <w:ind w:left="179"/>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90</w:t>
            </w:r>
            <w:r>
              <w:rPr>
                <w:rFonts w:hint="eastAsia" w:ascii="仿宋_GB2312" w:hAnsi="仿宋_GB2312" w:eastAsia="仿宋_GB2312" w:cs="仿宋_GB2312"/>
                <w:spacing w:val="-1"/>
                <w:sz w:val="24"/>
                <w:szCs w:val="24"/>
              </w:rPr>
              <w:t>%</w:t>
            </w:r>
          </w:p>
        </w:tc>
      </w:tr>
      <w:tr w14:paraId="7DA27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8337" w:type="dxa"/>
            <w:gridSpan w:val="9"/>
            <w:vAlign w:val="top"/>
          </w:tcPr>
          <w:p w14:paraId="71C4EDC0">
            <w:pPr>
              <w:pStyle w:val="7"/>
              <w:keepNext w:val="0"/>
              <w:keepLines/>
              <w:pageBreakBefore w:val="0"/>
              <w:widowControl w:val="0"/>
              <w:wordWrap/>
              <w:overflowPunct/>
              <w:topLinePunct w:val="0"/>
              <w:bidi w:val="0"/>
              <w:spacing w:before="165" w:line="240" w:lineRule="atLeast"/>
              <w:ind w:left="3468"/>
              <w:rPr>
                <w:rFonts w:hint="eastAsia" w:ascii="仿宋_GB2312" w:hAnsi="仿宋_GB2312" w:eastAsia="仿宋_GB2312" w:cs="仿宋_GB2312"/>
                <w:sz w:val="24"/>
                <w:szCs w:val="24"/>
              </w:rPr>
            </w:pPr>
            <w:r>
              <w:rPr>
                <w:rFonts w:hint="eastAsia" w:ascii="仿宋_GB2312" w:hAnsi="仿宋_GB2312" w:eastAsia="仿宋_GB2312" w:cs="仿宋_GB2312"/>
                <w:b/>
                <w:bCs/>
                <w:spacing w:val="-5"/>
                <w:sz w:val="24"/>
                <w:szCs w:val="24"/>
              </w:rPr>
              <w:t>五、存在问题</w:t>
            </w:r>
          </w:p>
        </w:tc>
      </w:tr>
    </w:tbl>
    <w:p w14:paraId="66A400C3">
      <w:pPr>
        <w:keepNext w:val="0"/>
        <w:keepLines/>
        <w:pageBreakBefore w:val="0"/>
        <w:widowControl w:val="0"/>
        <w:wordWrap/>
        <w:overflowPunct/>
        <w:topLinePunct w:val="0"/>
        <w:bidi w:val="0"/>
        <w:spacing w:before="284" w:line="240" w:lineRule="atLeast"/>
        <w:jc w:val="center"/>
        <w:outlineLvl w:val="4"/>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drawing>
          <wp:anchor distT="0" distB="0" distL="0" distR="0" simplePos="0" relativeHeight="251660288" behindDoc="0" locked="0" layoutInCell="0" allowOverlap="1">
            <wp:simplePos x="0" y="0"/>
            <wp:positionH relativeFrom="page">
              <wp:posOffset>1129665</wp:posOffset>
            </wp:positionH>
            <wp:positionV relativeFrom="page">
              <wp:posOffset>946150</wp:posOffset>
            </wp:positionV>
            <wp:extent cx="5391150" cy="127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
                    <a:stretch>
                      <a:fillRect/>
                    </a:stretch>
                  </pic:blipFill>
                  <pic:spPr>
                    <a:xfrm>
                      <a:off x="0" y="0"/>
                      <a:ext cx="5391136" cy="12674"/>
                    </a:xfrm>
                    <a:prstGeom prst="rect">
                      <a:avLst/>
                    </a:prstGeom>
                  </pic:spPr>
                </pic:pic>
              </a:graphicData>
            </a:graphic>
          </wp:anchor>
        </w:drawing>
      </w:r>
      <w:r>
        <w:rPr>
          <w:rFonts w:hint="eastAsia" w:ascii="仿宋_GB2312" w:hAnsi="仿宋_GB2312" w:eastAsia="仿宋_GB2312" w:cs="仿宋_GB2312"/>
          <w:b/>
          <w:bCs/>
          <w:spacing w:val="-7"/>
          <w:sz w:val="24"/>
          <w:szCs w:val="24"/>
        </w:rPr>
        <w:t>四</w:t>
      </w:r>
      <w:r>
        <w:rPr>
          <w:rFonts w:hint="eastAsia" w:ascii="仿宋_GB2312" w:hAnsi="仿宋_GB2312" w:eastAsia="仿宋_GB2312" w:cs="仿宋_GB2312"/>
          <w:spacing w:val="-43"/>
          <w:sz w:val="24"/>
          <w:szCs w:val="24"/>
        </w:rPr>
        <w:t xml:space="preserve"> </w:t>
      </w:r>
      <w:r>
        <w:rPr>
          <w:rFonts w:hint="eastAsia" w:ascii="仿宋_GB2312" w:hAnsi="仿宋_GB2312" w:eastAsia="仿宋_GB2312" w:cs="仿宋_GB2312"/>
          <w:b/>
          <w:bCs/>
          <w:spacing w:val="-7"/>
          <w:sz w:val="24"/>
          <w:szCs w:val="24"/>
        </w:rPr>
        <w:t>、评价结论和绩效分析</w:t>
      </w:r>
    </w:p>
    <w:p w14:paraId="0B9F1A2D">
      <w:pPr>
        <w:tabs>
          <w:tab w:val="left" w:pos="610"/>
        </w:tabs>
        <w:bidi w:val="0"/>
        <w:jc w:val="left"/>
        <w:rPr>
          <w:rFonts w:hint="eastAsia" w:eastAsia="宋体"/>
          <w:lang w:val="en-US" w:eastAsia="zh-CN"/>
        </w:rPr>
      </w:pPr>
    </w:p>
    <w:p w14:paraId="0D55C69A">
      <w:pPr>
        <w:bidi w:val="0"/>
        <w:rPr>
          <w:rFonts w:hint="eastAsia"/>
          <w:lang w:val="en-US" w:eastAsia="zh-CN"/>
        </w:rPr>
      </w:pPr>
    </w:p>
    <w:p w14:paraId="2D9179B6">
      <w:pPr>
        <w:keepNext w:val="0"/>
        <w:keepLines/>
        <w:pageBreakBefore w:val="0"/>
        <w:widowControl w:val="0"/>
        <w:wordWrap/>
        <w:overflowPunct/>
        <w:topLinePunct w:val="0"/>
        <w:bidi w:val="0"/>
        <w:spacing w:line="240" w:lineRule="atLeast"/>
        <w:rPr>
          <w:rFonts w:hint="eastAsia" w:ascii="仿宋_GB2312" w:hAnsi="仿宋_GB2312" w:eastAsia="仿宋_GB2312" w:cs="仿宋_GB2312"/>
          <w:sz w:val="24"/>
          <w:szCs w:val="24"/>
        </w:rPr>
      </w:pPr>
      <w:r>
        <w:rPr>
          <w:rFonts w:hint="eastAsia"/>
          <w:lang w:val="en-US" w:eastAsia="zh-CN"/>
        </w:rPr>
        <w:tab/>
      </w:r>
    </w:p>
    <w:p w14:paraId="15D8BFE9">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sz w:val="24"/>
          <w:szCs w:val="24"/>
          <w:u w:val="none"/>
          <w:lang w:val="en-US" w:eastAsia="zh-CN"/>
        </w:rPr>
      </w:pPr>
      <w:r>
        <w:rPr>
          <w:rFonts w:hint="eastAsia" w:ascii="仿宋_GB2312" w:hAnsi="仿宋_GB2312" w:eastAsia="仿宋_GB2312" w:cs="仿宋_GB2312"/>
          <w:b w:val="0"/>
          <w:bCs w:val="0"/>
          <w:color w:val="000000"/>
          <w:spacing w:val="0"/>
          <w:sz w:val="24"/>
          <w:szCs w:val="24"/>
          <w:u w:val="none"/>
          <w:lang w:val="en-US" w:eastAsia="zh-CN"/>
        </w:rPr>
        <w:t>1、预算编制不算合理，产出成本核算不够准确；</w:t>
      </w:r>
    </w:p>
    <w:p w14:paraId="07E473C9">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80" w:firstLineChars="200"/>
        <w:jc w:val="both"/>
        <w:textAlignment w:val="auto"/>
        <w:outlineLvl w:val="9"/>
        <w:rPr>
          <w:rFonts w:hint="eastAsia" w:ascii="仿宋_GB2312" w:hAnsi="仿宋_GB2312" w:eastAsia="仿宋_GB2312" w:cs="仿宋_GB2312"/>
          <w:b w:val="0"/>
          <w:bCs w:val="0"/>
          <w:color w:val="000000"/>
          <w:spacing w:val="0"/>
          <w:sz w:val="24"/>
          <w:szCs w:val="24"/>
          <w:u w:val="none"/>
          <w:lang w:val="en-US" w:eastAsia="zh-CN"/>
        </w:rPr>
      </w:pPr>
      <w:r>
        <w:rPr>
          <w:rFonts w:hint="eastAsia" w:ascii="仿宋_GB2312" w:hAnsi="仿宋_GB2312" w:eastAsia="仿宋_GB2312" w:cs="仿宋_GB2312"/>
          <w:b w:val="0"/>
          <w:bCs w:val="0"/>
          <w:color w:val="000000"/>
          <w:spacing w:val="0"/>
          <w:sz w:val="24"/>
          <w:szCs w:val="24"/>
          <w:u w:val="none"/>
          <w:lang w:val="en-US" w:eastAsia="zh-CN"/>
        </w:rPr>
        <w:t>2、绩效监控力度不足，预算执行力有待提高；</w:t>
      </w:r>
    </w:p>
    <w:p w14:paraId="65589768">
      <w:pPr>
        <w:keepNext w:val="0"/>
        <w:keepLines/>
        <w:pageBreakBefore w:val="0"/>
        <w:widowControl w:val="0"/>
        <w:numPr>
          <w:ilvl w:val="0"/>
          <w:numId w:val="0"/>
        </w:numPr>
        <w:kinsoku/>
        <w:wordWrap/>
        <w:overflowPunct/>
        <w:topLinePunct w:val="0"/>
        <w:autoSpaceDE/>
        <w:autoSpaceDN/>
        <w:bidi w:val="0"/>
        <w:adjustRightInd/>
        <w:snapToGrid/>
        <w:spacing w:beforeAutospacing="0" w:afterAutospacing="0" w:line="240" w:lineRule="atLeast"/>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b w:val="0"/>
          <w:bCs w:val="0"/>
          <w:color w:val="000000"/>
          <w:spacing w:val="0"/>
          <w:sz w:val="24"/>
          <w:szCs w:val="24"/>
          <w:u w:val="none"/>
          <w:lang w:val="en-US" w:eastAsia="zh-CN"/>
        </w:rPr>
        <w:t>3、预算绩效管理执行科学化、规范化程度不高。</w:t>
      </w:r>
    </w:p>
    <w:tbl>
      <w:tblPr>
        <w:tblStyle w:val="6"/>
        <w:tblW w:w="855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550"/>
      </w:tblGrid>
      <w:tr w14:paraId="64443CF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49" w:hRule="atLeast"/>
        </w:trPr>
        <w:tc>
          <w:tcPr>
            <w:tcW w:w="8550" w:type="dxa"/>
            <w:tcBorders>
              <w:top w:val="single" w:color="000000" w:sz="6" w:space="0"/>
              <w:bottom w:val="single" w:color="000000" w:sz="6" w:space="0"/>
            </w:tcBorders>
            <w:vAlign w:val="top"/>
          </w:tcPr>
          <w:p w14:paraId="7E9164E0">
            <w:pPr>
              <w:pStyle w:val="7"/>
              <w:keepNext w:val="0"/>
              <w:keepLines/>
              <w:pageBreakBefore w:val="0"/>
              <w:widowControl w:val="0"/>
              <w:wordWrap/>
              <w:overflowPunct/>
              <w:topLinePunct w:val="0"/>
              <w:bidi w:val="0"/>
              <w:spacing w:before="222" w:line="240" w:lineRule="atLeast"/>
              <w:ind w:left="3313"/>
              <w:rPr>
                <w:rFonts w:hint="eastAsia" w:ascii="仿宋_GB2312" w:hAnsi="仿宋_GB2312" w:eastAsia="仿宋_GB2312" w:cs="仿宋_GB2312"/>
                <w:sz w:val="24"/>
                <w:szCs w:val="24"/>
              </w:rPr>
            </w:pPr>
            <w:r>
              <w:rPr>
                <w:rFonts w:hint="eastAsia" w:ascii="仿宋_GB2312" w:hAnsi="仿宋_GB2312" w:eastAsia="仿宋_GB2312" w:cs="仿宋_GB2312"/>
                <w:b/>
                <w:bCs/>
                <w:spacing w:val="-6"/>
                <w:sz w:val="24"/>
                <w:szCs w:val="24"/>
              </w:rPr>
              <w:t>六</w:t>
            </w:r>
            <w:r>
              <w:rPr>
                <w:rFonts w:hint="eastAsia" w:ascii="仿宋_GB2312" w:hAnsi="仿宋_GB2312" w:eastAsia="仿宋_GB2312" w:cs="仿宋_GB2312"/>
                <w:spacing w:val="-53"/>
                <w:sz w:val="24"/>
                <w:szCs w:val="24"/>
              </w:rPr>
              <w:t xml:space="preserve"> </w:t>
            </w:r>
            <w:r>
              <w:rPr>
                <w:rFonts w:hint="eastAsia" w:ascii="仿宋_GB2312" w:hAnsi="仿宋_GB2312" w:eastAsia="仿宋_GB2312" w:cs="仿宋_GB2312"/>
                <w:b/>
                <w:bCs/>
                <w:spacing w:val="-6"/>
                <w:sz w:val="24"/>
                <w:szCs w:val="24"/>
              </w:rPr>
              <w:t>、有关对策建议</w:t>
            </w:r>
          </w:p>
        </w:tc>
      </w:tr>
      <w:tr w14:paraId="1FADD23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1" w:hRule="atLeast"/>
        </w:trPr>
        <w:tc>
          <w:tcPr>
            <w:tcW w:w="8550" w:type="dxa"/>
            <w:tcBorders>
              <w:top w:val="single" w:color="000000" w:sz="6" w:space="0"/>
            </w:tcBorders>
            <w:vAlign w:val="top"/>
          </w:tcPr>
          <w:p w14:paraId="2BBAD6F6">
            <w:pPr>
              <w:keepNext w:val="0"/>
              <w:keepLines/>
              <w:pageBreakBefore w:val="0"/>
              <w:widowControl w:val="0"/>
              <w:numPr>
                <w:ilvl w:val="0"/>
                <w:numId w:val="0"/>
              </w:numPr>
              <w:kinsoku/>
              <w:wordWrap/>
              <w:overflowPunct/>
              <w:topLinePunct w:val="0"/>
              <w:autoSpaceDE/>
              <w:autoSpaceDN/>
              <w:bidi w:val="0"/>
              <w:adjustRightInd/>
              <w:snapToGrid/>
              <w:spacing w:before="65" w:beforeAutospacing="0" w:afterAutospacing="0" w:line="240" w:lineRule="atLeast"/>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b w:val="0"/>
                <w:bCs w:val="0"/>
                <w:color w:val="000000"/>
                <w:spacing w:val="0"/>
                <w:sz w:val="24"/>
                <w:szCs w:val="24"/>
                <w:u w:val="none"/>
                <w:lang w:val="en-US" w:eastAsia="zh-CN"/>
              </w:rPr>
              <w:t>1、进一步加强预算管理工作，参考上一年度绩效评价结果科学预测下一年度收支情况，进行科学合理单位预算编制。</w:t>
            </w:r>
          </w:p>
        </w:tc>
      </w:tr>
      <w:tr w14:paraId="730C305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8" w:hRule="atLeast"/>
        </w:trPr>
        <w:tc>
          <w:tcPr>
            <w:tcW w:w="8550" w:type="dxa"/>
            <w:vAlign w:val="top"/>
          </w:tcPr>
          <w:p w14:paraId="0010D00F">
            <w:pPr>
              <w:keepNext w:val="0"/>
              <w:keepLines/>
              <w:pageBreakBefore w:val="0"/>
              <w:widowControl w:val="0"/>
              <w:numPr>
                <w:ilvl w:val="0"/>
                <w:numId w:val="0"/>
              </w:numPr>
              <w:kinsoku/>
              <w:wordWrap/>
              <w:overflowPunct/>
              <w:topLinePunct w:val="0"/>
              <w:autoSpaceDE/>
              <w:autoSpaceDN/>
              <w:bidi w:val="0"/>
              <w:adjustRightInd/>
              <w:snapToGrid/>
              <w:spacing w:before="75" w:beforeAutospacing="0" w:afterAutospacing="0" w:line="240" w:lineRule="atLeast"/>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b w:val="0"/>
                <w:bCs w:val="0"/>
                <w:color w:val="000000"/>
                <w:spacing w:val="0"/>
                <w:sz w:val="24"/>
                <w:szCs w:val="24"/>
                <w:u w:val="none"/>
                <w:lang w:val="en-US" w:eastAsia="zh-CN"/>
              </w:rPr>
              <w:t>2、建立比较完善的监督机制，强化预算绩效管理，提高财政资金使用效率。</w:t>
            </w:r>
          </w:p>
        </w:tc>
      </w:tr>
      <w:tr w14:paraId="178FF6F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13" w:hRule="atLeast"/>
        </w:trPr>
        <w:tc>
          <w:tcPr>
            <w:tcW w:w="8550" w:type="dxa"/>
            <w:vAlign w:val="top"/>
          </w:tcPr>
          <w:p w14:paraId="26AA7EA1">
            <w:pPr>
              <w:keepNext w:val="0"/>
              <w:keepLines/>
              <w:pageBreakBefore w:val="0"/>
              <w:widowControl w:val="0"/>
              <w:numPr>
                <w:ilvl w:val="0"/>
                <w:numId w:val="0"/>
              </w:numPr>
              <w:kinsoku/>
              <w:wordWrap/>
              <w:overflowPunct/>
              <w:topLinePunct w:val="0"/>
              <w:autoSpaceDE/>
              <w:autoSpaceDN/>
              <w:bidi w:val="0"/>
              <w:adjustRightInd/>
              <w:snapToGrid/>
              <w:spacing w:before="80" w:beforeAutospacing="0" w:afterAutospacing="0" w:line="240" w:lineRule="atLeast"/>
              <w:ind w:left="0" w:leftChars="0" w:right="0" w:rightChars="0" w:firstLine="480" w:firstLineChars="200"/>
              <w:jc w:val="both"/>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b w:val="0"/>
                <w:bCs w:val="0"/>
                <w:color w:val="000000"/>
                <w:spacing w:val="0"/>
                <w:sz w:val="24"/>
                <w:szCs w:val="24"/>
                <w:u w:val="none"/>
                <w:lang w:val="en-US" w:eastAsia="zh-CN"/>
              </w:rPr>
              <w:t>3、建议财政部门加大对各部门财务人员培训力度，提高财务人员业务技能和专业技术水平。</w:t>
            </w:r>
          </w:p>
        </w:tc>
      </w:tr>
      <w:tr w14:paraId="1D3A849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01" w:hRule="atLeast"/>
        </w:trPr>
        <w:tc>
          <w:tcPr>
            <w:tcW w:w="8550" w:type="dxa"/>
            <w:tcBorders>
              <w:bottom w:val="single" w:color="000000" w:sz="4" w:space="0"/>
            </w:tcBorders>
            <w:vAlign w:val="top"/>
          </w:tcPr>
          <w:p w14:paraId="7A43F30A">
            <w:pPr>
              <w:pStyle w:val="7"/>
              <w:keepNext w:val="0"/>
              <w:keepLines/>
              <w:pageBreakBefore w:val="0"/>
              <w:widowControl w:val="0"/>
              <w:wordWrap/>
              <w:overflowPunct/>
              <w:topLinePunct w:val="0"/>
              <w:bidi w:val="0"/>
              <w:spacing w:before="216" w:line="240" w:lineRule="atLeast"/>
              <w:ind w:left="2365"/>
              <w:rPr>
                <w:rFonts w:hint="eastAsia" w:ascii="仿宋_GB2312" w:hAnsi="仿宋_GB2312" w:eastAsia="仿宋_GB2312" w:cs="仿宋_GB2312"/>
                <w:sz w:val="24"/>
                <w:szCs w:val="24"/>
              </w:rPr>
            </w:pPr>
            <w:r>
              <w:rPr>
                <w:rFonts w:hint="eastAsia" w:ascii="仿宋_GB2312" w:hAnsi="仿宋_GB2312" w:eastAsia="仿宋_GB2312" w:cs="仿宋_GB2312"/>
                <w:b/>
                <w:bCs/>
                <w:spacing w:val="-14"/>
                <w:sz w:val="24"/>
                <w:szCs w:val="24"/>
              </w:rPr>
              <w:t>七</w:t>
            </w:r>
            <w:r>
              <w:rPr>
                <w:rFonts w:hint="eastAsia" w:ascii="仿宋_GB2312" w:hAnsi="仿宋_GB2312" w:eastAsia="仿宋_GB2312" w:cs="仿宋_GB2312"/>
                <w:spacing w:val="-14"/>
                <w:sz w:val="24"/>
                <w:szCs w:val="24"/>
              </w:rPr>
              <w:t xml:space="preserve"> </w:t>
            </w:r>
            <w:r>
              <w:rPr>
                <w:rFonts w:hint="eastAsia" w:ascii="仿宋_GB2312" w:hAnsi="仿宋_GB2312" w:eastAsia="仿宋_GB2312" w:cs="仿宋_GB2312"/>
                <w:b/>
                <w:bCs/>
                <w:spacing w:val="-14"/>
                <w:sz w:val="24"/>
                <w:szCs w:val="24"/>
              </w:rPr>
              <w:t>、</w:t>
            </w:r>
            <w:r>
              <w:rPr>
                <w:rFonts w:hint="eastAsia" w:ascii="仿宋_GB2312" w:hAnsi="仿宋_GB2312" w:eastAsia="仿宋_GB2312" w:cs="仿宋_GB2312"/>
                <w:spacing w:val="-14"/>
                <w:sz w:val="24"/>
                <w:szCs w:val="24"/>
              </w:rPr>
              <w:t xml:space="preserve"> </w:t>
            </w:r>
            <w:r>
              <w:rPr>
                <w:rFonts w:hint="eastAsia" w:ascii="仿宋_GB2312" w:hAnsi="仿宋_GB2312" w:eastAsia="仿宋_GB2312" w:cs="仿宋_GB2312"/>
                <w:b/>
                <w:bCs/>
                <w:spacing w:val="-14"/>
                <w:sz w:val="24"/>
                <w:szCs w:val="24"/>
              </w:rPr>
              <w:t>其</w:t>
            </w:r>
            <w:r>
              <w:rPr>
                <w:rFonts w:hint="eastAsia" w:ascii="仿宋_GB2312" w:hAnsi="仿宋_GB2312" w:eastAsia="仿宋_GB2312" w:cs="仿宋_GB2312"/>
                <w:spacing w:val="-14"/>
                <w:sz w:val="24"/>
                <w:szCs w:val="24"/>
              </w:rPr>
              <w:t xml:space="preserve"> </w:t>
            </w:r>
            <w:r>
              <w:rPr>
                <w:rFonts w:hint="eastAsia" w:ascii="仿宋_GB2312" w:hAnsi="仿宋_GB2312" w:eastAsia="仿宋_GB2312" w:cs="仿宋_GB2312"/>
                <w:b/>
                <w:bCs/>
                <w:spacing w:val="-14"/>
                <w:sz w:val="24"/>
                <w:szCs w:val="24"/>
              </w:rPr>
              <w:t>他</w:t>
            </w:r>
            <w:r>
              <w:rPr>
                <w:rFonts w:hint="eastAsia" w:ascii="仿宋_GB2312" w:hAnsi="仿宋_GB2312" w:eastAsia="仿宋_GB2312" w:cs="仿宋_GB2312"/>
                <w:spacing w:val="8"/>
                <w:sz w:val="24"/>
                <w:szCs w:val="24"/>
              </w:rPr>
              <w:t xml:space="preserve"> </w:t>
            </w:r>
            <w:r>
              <w:rPr>
                <w:rFonts w:hint="eastAsia" w:ascii="仿宋_GB2312" w:hAnsi="仿宋_GB2312" w:eastAsia="仿宋_GB2312" w:cs="仿宋_GB2312"/>
                <w:b/>
                <w:bCs/>
                <w:spacing w:val="-14"/>
                <w:sz w:val="24"/>
                <w:szCs w:val="24"/>
              </w:rPr>
              <w:t>需</w:t>
            </w:r>
            <w:r>
              <w:rPr>
                <w:rFonts w:hint="eastAsia" w:ascii="仿宋_GB2312" w:hAnsi="仿宋_GB2312" w:eastAsia="仿宋_GB2312" w:cs="仿宋_GB2312"/>
                <w:spacing w:val="-5"/>
                <w:sz w:val="24"/>
                <w:szCs w:val="24"/>
              </w:rPr>
              <w:t xml:space="preserve"> </w:t>
            </w:r>
            <w:r>
              <w:rPr>
                <w:rFonts w:hint="eastAsia" w:ascii="仿宋_GB2312" w:hAnsi="仿宋_GB2312" w:eastAsia="仿宋_GB2312" w:cs="仿宋_GB2312"/>
                <w:b/>
                <w:bCs/>
                <w:spacing w:val="-14"/>
                <w:sz w:val="24"/>
                <w:szCs w:val="24"/>
              </w:rPr>
              <w:t>要</w:t>
            </w:r>
            <w:r>
              <w:rPr>
                <w:rFonts w:hint="eastAsia" w:ascii="仿宋_GB2312" w:hAnsi="仿宋_GB2312" w:eastAsia="仿宋_GB2312" w:cs="仿宋_GB2312"/>
                <w:spacing w:val="-3"/>
                <w:sz w:val="24"/>
                <w:szCs w:val="24"/>
              </w:rPr>
              <w:t xml:space="preserve"> </w:t>
            </w:r>
            <w:r>
              <w:rPr>
                <w:rFonts w:hint="eastAsia" w:ascii="仿宋_GB2312" w:hAnsi="仿宋_GB2312" w:eastAsia="仿宋_GB2312" w:cs="仿宋_GB2312"/>
                <w:b/>
                <w:bCs/>
                <w:spacing w:val="-14"/>
                <w:sz w:val="24"/>
                <w:szCs w:val="24"/>
              </w:rPr>
              <w:t>说</w:t>
            </w:r>
            <w:r>
              <w:rPr>
                <w:rFonts w:hint="eastAsia" w:ascii="仿宋_GB2312" w:hAnsi="仿宋_GB2312" w:eastAsia="仿宋_GB2312" w:cs="仿宋_GB2312"/>
                <w:spacing w:val="18"/>
                <w:sz w:val="24"/>
                <w:szCs w:val="24"/>
              </w:rPr>
              <w:t xml:space="preserve"> </w:t>
            </w:r>
            <w:r>
              <w:rPr>
                <w:rFonts w:hint="eastAsia" w:ascii="仿宋_GB2312" w:hAnsi="仿宋_GB2312" w:eastAsia="仿宋_GB2312" w:cs="仿宋_GB2312"/>
                <w:b/>
                <w:bCs/>
                <w:spacing w:val="-14"/>
                <w:sz w:val="24"/>
                <w:szCs w:val="24"/>
              </w:rPr>
              <w:t>明</w:t>
            </w:r>
            <w:r>
              <w:rPr>
                <w:rFonts w:hint="eastAsia" w:ascii="仿宋_GB2312" w:hAnsi="仿宋_GB2312" w:eastAsia="仿宋_GB2312" w:cs="仿宋_GB2312"/>
                <w:spacing w:val="15"/>
                <w:sz w:val="24"/>
                <w:szCs w:val="24"/>
              </w:rPr>
              <w:t xml:space="preserve"> </w:t>
            </w:r>
            <w:r>
              <w:rPr>
                <w:rFonts w:hint="eastAsia" w:ascii="仿宋_GB2312" w:hAnsi="仿宋_GB2312" w:eastAsia="仿宋_GB2312" w:cs="仿宋_GB2312"/>
                <w:b/>
                <w:bCs/>
                <w:spacing w:val="-14"/>
                <w:sz w:val="24"/>
                <w:szCs w:val="24"/>
              </w:rPr>
              <w:t>的</w:t>
            </w:r>
            <w:r>
              <w:rPr>
                <w:rFonts w:hint="eastAsia" w:ascii="仿宋_GB2312" w:hAnsi="仿宋_GB2312" w:eastAsia="仿宋_GB2312" w:cs="仿宋_GB2312"/>
                <w:spacing w:val="-14"/>
                <w:sz w:val="24"/>
                <w:szCs w:val="24"/>
              </w:rPr>
              <w:t xml:space="preserve"> </w:t>
            </w:r>
            <w:r>
              <w:rPr>
                <w:rFonts w:hint="eastAsia" w:ascii="仿宋_GB2312" w:hAnsi="仿宋_GB2312" w:eastAsia="仿宋_GB2312" w:cs="仿宋_GB2312"/>
                <w:b/>
                <w:bCs/>
                <w:spacing w:val="-14"/>
                <w:sz w:val="24"/>
                <w:szCs w:val="24"/>
              </w:rPr>
              <w:t>事</w:t>
            </w:r>
            <w:r>
              <w:rPr>
                <w:rFonts w:hint="eastAsia" w:ascii="仿宋_GB2312" w:hAnsi="仿宋_GB2312" w:eastAsia="仿宋_GB2312" w:cs="仿宋_GB2312"/>
                <w:spacing w:val="-2"/>
                <w:sz w:val="24"/>
                <w:szCs w:val="24"/>
              </w:rPr>
              <w:t xml:space="preserve"> </w:t>
            </w:r>
            <w:r>
              <w:rPr>
                <w:rFonts w:hint="eastAsia" w:ascii="仿宋_GB2312" w:hAnsi="仿宋_GB2312" w:eastAsia="仿宋_GB2312" w:cs="仿宋_GB2312"/>
                <w:b/>
                <w:bCs/>
                <w:spacing w:val="-14"/>
                <w:sz w:val="24"/>
                <w:szCs w:val="24"/>
              </w:rPr>
              <w:t>项</w:t>
            </w:r>
          </w:p>
        </w:tc>
      </w:tr>
      <w:tr w14:paraId="7761152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28" w:hRule="atLeast"/>
        </w:trPr>
        <w:tc>
          <w:tcPr>
            <w:tcW w:w="8550" w:type="dxa"/>
            <w:tcBorders>
              <w:top w:val="single" w:color="000000" w:sz="4" w:space="0"/>
              <w:bottom w:val="single" w:color="000000" w:sz="6" w:space="0"/>
            </w:tcBorders>
            <w:vAlign w:val="top"/>
          </w:tcPr>
          <w:p w14:paraId="4E3E7ED2">
            <w:pPr>
              <w:pStyle w:val="7"/>
              <w:keepNext w:val="0"/>
              <w:keepLines/>
              <w:pageBreakBefore w:val="0"/>
              <w:widowControl w:val="0"/>
              <w:wordWrap/>
              <w:overflowPunct/>
              <w:topLinePunct w:val="0"/>
              <w:bidi w:val="0"/>
              <w:spacing w:before="7" w:line="240" w:lineRule="atLeast"/>
              <w:ind w:left="140" w:right="179" w:firstLine="479"/>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4"/>
                <w:sz w:val="24"/>
                <w:szCs w:val="24"/>
                <w:lang w:val="en-US" w:eastAsia="zh-CN"/>
              </w:rPr>
              <w:t>无</w:t>
            </w:r>
          </w:p>
        </w:tc>
      </w:tr>
    </w:tbl>
    <w:p w14:paraId="4E2618A2">
      <w:pPr>
        <w:tabs>
          <w:tab w:val="left" w:pos="775"/>
        </w:tabs>
        <w:bidi w:val="0"/>
        <w:jc w:val="left"/>
        <w:rPr>
          <w:rFonts w:hint="eastAsia"/>
          <w:lang w:val="en-US" w:eastAsia="zh-CN"/>
        </w:rPr>
        <w:sectPr>
          <w:pgSz w:w="11910" w:h="16850"/>
          <w:pgMar w:top="1304" w:right="1786" w:bottom="0" w:left="1685" w:header="0" w:footer="0" w:gutter="0"/>
          <w:cols w:space="720" w:num="1"/>
        </w:sectPr>
      </w:pPr>
    </w:p>
    <w:p w14:paraId="1614C96D">
      <w:pPr>
        <w:keepNext w:val="0"/>
        <w:keepLines/>
        <w:pageBreakBefore w:val="0"/>
        <w:widowControl w:val="0"/>
        <w:wordWrap/>
        <w:overflowPunct/>
        <w:topLinePunct w:val="0"/>
        <w:bidi w:val="0"/>
        <w:spacing w:line="240" w:lineRule="atLeast"/>
        <w:rPr>
          <w:rFonts w:ascii="Arial"/>
          <w:sz w:val="21"/>
        </w:rPr>
      </w:pPr>
    </w:p>
    <w:sectPr>
      <w:pgSz w:w="12210" w:h="17060"/>
      <w:pgMar w:top="1450" w:right="1831" w:bottom="0" w:left="176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9B23C11"/>
    <w:rsid w:val="0D307327"/>
    <w:rsid w:val="11447845"/>
    <w:rsid w:val="11CF08BA"/>
    <w:rsid w:val="12062D04"/>
    <w:rsid w:val="1ED21330"/>
    <w:rsid w:val="20887022"/>
    <w:rsid w:val="294E4C23"/>
    <w:rsid w:val="2F7470EF"/>
    <w:rsid w:val="33261C21"/>
    <w:rsid w:val="3627136A"/>
    <w:rsid w:val="399F70A4"/>
    <w:rsid w:val="425B1256"/>
    <w:rsid w:val="47060B1D"/>
    <w:rsid w:val="470703F1"/>
    <w:rsid w:val="47DB3D58"/>
    <w:rsid w:val="4D447CA9"/>
    <w:rsid w:val="4E8F764A"/>
    <w:rsid w:val="515C37CB"/>
    <w:rsid w:val="545F3C5E"/>
    <w:rsid w:val="55482300"/>
    <w:rsid w:val="604373CB"/>
    <w:rsid w:val="647E7C84"/>
    <w:rsid w:val="648F5856"/>
    <w:rsid w:val="656779C1"/>
    <w:rsid w:val="65EB7404"/>
    <w:rsid w:val="6E8C1058"/>
    <w:rsid w:val="779C230C"/>
    <w:rsid w:val="79554E68"/>
    <w:rsid w:val="7A056C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556"/>
    </w:pPr>
    <w:rPr>
      <w:rFonts w:cs="仿宋_GB2312"/>
      <w:kern w:val="0"/>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1243</Words>
  <Characters>1327</Characters>
  <TotalTime>1257</TotalTime>
  <ScaleCrop>false</ScaleCrop>
  <LinksUpToDate>false</LinksUpToDate>
  <CharactersWithSpaces>1349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2025-09-16T16:33:00Z</dcterms:created>
  <dc:creator>Administrator</dc:creator>
  <cp:lastModifiedBy>开心</cp:lastModifiedBy>
  <cp:lastPrinted>2025-09-18T08:38:00Z</cp:lastPrinted>
  <dcterms:modified xsi:type="dcterms:W3CDTF">2026-06-24T01:34:21Z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2025-09-16T16:33:37Z</vt:filetime>
  </property>
  <property fmtid="{D5CDD505-2E9C-101B-9397-08002B2CF9AE}" pid="4" name="UsrData">
    <vt:lpwstr>68c920dd6c77ff001f610311wl</vt:lpwstr>
  </property>
  <property fmtid="{D5CDD505-2E9C-101B-9397-08002B2CF9AE}" pid="5" name="KSOTemplateDocerSaveRecord">
    <vt:lpwstr>eyJoZGlkIjoiYjgxZmM2ZTk3YTNiNjJkYzQ0ZTM5N2JlMGJlM2NkZTQiLCJ1c2VySWQiOiI0MzQ3MjU4ODUifQ==</vt:lpwstr>
  </property>
  <property fmtid="{D5CDD505-2E9C-101B-9397-08002B2CF9AE}" pid="6" name="KSOProductBuildVer">
    <vt:lpwstr>2052-12.1.0.26895</vt:lpwstr>
  </property>
  <property fmtid="{D5CDD505-2E9C-101B-9397-08002B2CF9AE}" pid="7" name="ICV">
    <vt:lpwstr>B377005B45A94B1297BE7A49198B8EC0_12</vt:lpwstr>
  </property>
</Properties>
</file>