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3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"/>
        <w:gridCol w:w="594"/>
        <w:gridCol w:w="1565"/>
        <w:gridCol w:w="1512"/>
        <w:gridCol w:w="969"/>
        <w:gridCol w:w="1018"/>
        <w:gridCol w:w="1400"/>
        <w:gridCol w:w="999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8" w:type="pct"/>
          <w:trHeight w:val="1560" w:hRule="atLeast"/>
        </w:trPr>
        <w:tc>
          <w:tcPr>
            <w:tcW w:w="4881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民乐县2023年高标准农田建设项目（第三期）评审结果公示表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3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 （亩）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概算投资  （万元）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436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民乐县2023年高标准农田建设项目（第三期）</w:t>
            </w:r>
          </w:p>
        </w:tc>
        <w:tc>
          <w:tcPr>
            <w:tcW w:w="81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民联镇杨庄村、郭湾村，六坝镇滨河酒厂、永正药业、五坝村，顺化镇下天乐村，新天镇杏元村、李寨村（小庙组）、李寨村（高崖子组），南古镇创业村、彭刘村、黑崖头村、克寨村</w:t>
            </w:r>
          </w:p>
        </w:tc>
        <w:tc>
          <w:tcPr>
            <w:tcW w:w="51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高效节水、其他高标准农田</w:t>
            </w:r>
          </w:p>
        </w:tc>
        <w:tc>
          <w:tcPr>
            <w:tcW w:w="54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25200亩，全部为高效节水。</w:t>
            </w:r>
          </w:p>
        </w:tc>
        <w:tc>
          <w:tcPr>
            <w:tcW w:w="75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土壤改良、灌溉与排水、农田输配电等内容。</w:t>
            </w:r>
          </w:p>
        </w:tc>
        <w:tc>
          <w:tcPr>
            <w:tcW w:w="53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55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54140334"/>
    <w:rsid w:val="541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2023-10-30T03:38:00Z</dcterms:created>
  <dc:creator>永保初心</dc:creator>
  <cp:lastModifiedBy>永保初心</cp:lastModifiedBy>
  <dcterms:modified xsi:type="dcterms:W3CDTF">2023-10-30T03:38:36Z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EA86015B2B284D9D88D167A619EB14D1</vt:lpwstr>
  </property>
</Properties>
</file>