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95" w:line="224" w:lineRule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附</w:t>
      </w:r>
      <w:r>
        <w:rPr>
          <w:rFonts w:ascii="黑体" w:hAnsi="黑体" w:eastAsia="黑体" w:cs="黑体"/>
          <w:b w:val="0"/>
          <w:bCs w:val="0"/>
          <w:spacing w:val="-58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件</w:t>
      </w:r>
      <w:r>
        <w:rPr>
          <w:rFonts w:ascii="黑体" w:hAnsi="黑体" w:eastAsia="黑体" w:cs="黑体"/>
          <w:b w:val="0"/>
          <w:bCs w:val="0"/>
          <w:spacing w:val="-43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1</w:t>
      </w:r>
    </w:p>
    <w:p>
      <w:pPr>
        <w:tabs>
          <w:tab w:val="left" w:pos="1965"/>
        </w:tabs>
        <w:spacing w:before="152" w:line="222" w:lineRule="auto"/>
        <w:jc w:val="center"/>
        <w:rPr>
          <w:rFonts w:ascii="仿宋" w:hAnsi="仿宋" w:eastAsia="仿宋" w:cs="仿宋"/>
          <w:sz w:val="29"/>
          <w:szCs w:val="29"/>
        </w:rPr>
      </w:pPr>
      <w:r>
        <w:rPr>
          <w:rFonts w:hint="eastAsia" w:ascii="仿宋" w:hAnsi="仿宋" w:eastAsia="仿宋" w:cs="仿宋"/>
          <w:b/>
          <w:bCs/>
          <w:spacing w:val="37"/>
          <w:sz w:val="29"/>
          <w:szCs w:val="29"/>
          <w:u w:val="single"/>
          <w:lang w:val="en-US" w:eastAsia="zh-CN"/>
        </w:rPr>
        <w:t>民乐</w:t>
      </w:r>
      <w:r>
        <w:rPr>
          <w:rFonts w:ascii="仿宋" w:hAnsi="仿宋" w:eastAsia="仿宋" w:cs="仿宋"/>
          <w:spacing w:val="-138"/>
          <w:sz w:val="29"/>
          <w:szCs w:val="29"/>
        </w:rPr>
        <w:t xml:space="preserve"> </w:t>
      </w:r>
      <w:r>
        <w:rPr>
          <w:rFonts w:ascii="仿宋" w:hAnsi="仿宋" w:eastAsia="仿宋" w:cs="仿宋"/>
          <w:b/>
          <w:bCs/>
          <w:spacing w:val="37"/>
          <w:sz w:val="29"/>
          <w:szCs w:val="29"/>
        </w:rPr>
        <w:t>县(市、区)水龙头水质监测结果上报表</w:t>
      </w:r>
    </w:p>
    <w:p>
      <w:pPr>
        <w:spacing w:line="287" w:lineRule="auto"/>
        <w:jc w:val="center"/>
        <w:rPr>
          <w:rFonts w:ascii="Arial"/>
          <w:sz w:val="21"/>
        </w:rPr>
      </w:pPr>
    </w:p>
    <w:p>
      <w:pPr>
        <w:spacing w:before="95" w:line="223" w:lineRule="auto"/>
        <w:ind w:left="10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8"/>
          <w:sz w:val="29"/>
          <w:szCs w:val="29"/>
        </w:rPr>
        <w:t>监测类型：</w:t>
      </w:r>
      <w:r>
        <w:rPr>
          <w:rFonts w:hint="eastAsia" w:ascii="仿宋" w:hAnsi="仿宋" w:eastAsia="仿宋" w:cs="仿宋"/>
          <w:spacing w:val="-18"/>
          <w:sz w:val="29"/>
          <w:szCs w:val="29"/>
          <w:lang w:eastAsia="zh-CN"/>
        </w:rPr>
        <w:t>☑</w:t>
      </w:r>
      <w:r>
        <w:rPr>
          <w:rFonts w:ascii="仿宋" w:hAnsi="仿宋" w:eastAsia="仿宋" w:cs="仿宋"/>
          <w:spacing w:val="-18"/>
          <w:sz w:val="29"/>
          <w:szCs w:val="29"/>
        </w:rPr>
        <w:t>常规监测</w:t>
      </w:r>
      <w:r>
        <w:rPr>
          <w:rFonts w:ascii="仿宋" w:hAnsi="仿宋" w:eastAsia="仿宋" w:cs="仿宋"/>
          <w:spacing w:val="14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8"/>
          <w:sz w:val="29"/>
          <w:szCs w:val="29"/>
        </w:rPr>
        <w:t>□全分析监测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             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第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21"/>
          <w:position w:val="-1"/>
          <w:sz w:val="29"/>
          <w:szCs w:val="29"/>
          <w:u w:val="single" w:color="auto"/>
          <w:lang w:val="en-US" w:eastAsia="zh-CN"/>
        </w:rPr>
        <w:t>1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月</w:t>
      </w:r>
    </w:p>
    <w:p>
      <w:pPr>
        <w:spacing w:line="116" w:lineRule="exact"/>
      </w:pPr>
    </w:p>
    <w:tbl>
      <w:tblPr>
        <w:tblStyle w:val="8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4662"/>
        <w:gridCol w:w="1308"/>
        <w:gridCol w:w="14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33" w:type="pct"/>
            <w:vAlign w:val="top"/>
          </w:tcPr>
          <w:p>
            <w:pPr>
              <w:spacing w:before="101" w:line="221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2804" w:type="pct"/>
            <w:vAlign w:val="top"/>
          </w:tcPr>
          <w:p>
            <w:pPr>
              <w:spacing w:before="100" w:line="219" w:lineRule="auto"/>
              <w:ind w:left="2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1"/>
                <w:szCs w:val="21"/>
              </w:rPr>
              <w:t>检测指标</w:t>
            </w:r>
          </w:p>
        </w:tc>
        <w:tc>
          <w:tcPr>
            <w:tcW w:w="787" w:type="pct"/>
            <w:vAlign w:val="top"/>
          </w:tcPr>
          <w:p>
            <w:pPr>
              <w:spacing w:before="100" w:line="219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检测份数</w:t>
            </w:r>
          </w:p>
        </w:tc>
        <w:tc>
          <w:tcPr>
            <w:tcW w:w="873" w:type="pct"/>
            <w:vAlign w:val="top"/>
          </w:tcPr>
          <w:p>
            <w:pPr>
              <w:spacing w:before="100" w:line="219" w:lineRule="auto"/>
              <w:ind w:left="3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达标份数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000" w:type="pct"/>
            <w:gridSpan w:val="4"/>
            <w:vAlign w:val="top"/>
          </w:tcPr>
          <w:p>
            <w:pPr>
              <w:spacing w:before="86" w:line="219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一、微生物指标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  <w:vAlign w:val="top"/>
          </w:tcPr>
          <w:p>
            <w:pPr>
              <w:spacing w:before="152" w:line="184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804" w:type="pct"/>
            <w:vAlign w:val="top"/>
          </w:tcPr>
          <w:p>
            <w:pPr>
              <w:spacing w:before="99" w:line="21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总大肠菌群/(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3" w:line="183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804" w:type="pct"/>
            <w:vAlign w:val="top"/>
          </w:tcPr>
          <w:p>
            <w:pPr>
              <w:spacing w:before="89" w:line="21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大肠埃希氏菌(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/100m或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菌落总数/(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000" w:type="pct"/>
            <w:gridSpan w:val="4"/>
            <w:vAlign w:val="top"/>
          </w:tcPr>
          <w:p>
            <w:pPr>
              <w:spacing w:before="98" w:line="219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二、毒理指标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砷(mg/L)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镉(mg/L)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铬(六价)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铅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汞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氰化物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氟化物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硝酸盐(以N 计)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三氯甲烷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一氯二溴甲烷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二氯一溴甲烷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center"/>
          </w:tcPr>
          <w:p>
            <w:pPr>
              <w:spacing w:before="144" w:line="183" w:lineRule="auto"/>
              <w:ind w:left="415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三卤甲烷(三氯甲烷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一氯二溴甲烷、二氯一溴甲烷、三溴甲烷的总和)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二氯乙酸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三氯乙酸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溴酸盐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亚氯酸盐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2804" w:type="pct"/>
            <w:vAlign w:val="top"/>
          </w:tcPr>
          <w:p>
            <w:pPr>
              <w:spacing w:before="96" w:line="214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氯酸盐(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vAlign w:val="top"/>
          </w:tcPr>
          <w:p>
            <w:pPr>
              <w:spacing w:before="90" w:line="219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三、感官性状和一般化学指标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804" w:type="pct"/>
            <w:vAlign w:val="top"/>
          </w:tcPr>
          <w:p>
            <w:pPr>
              <w:spacing w:before="94" w:line="22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色度(铂钴色度单位)/度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804" w:type="pct"/>
            <w:vAlign w:val="top"/>
          </w:tcPr>
          <w:p>
            <w:pPr>
              <w:spacing w:before="104" w:line="21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浑浊度(散射浑浊度单位)/</w:t>
            </w:r>
            <w:r>
              <w:rPr>
                <w:rFonts w:ascii="宋体" w:hAnsi="宋体" w:eastAsia="宋体" w:cs="宋体"/>
                <w:sz w:val="21"/>
                <w:szCs w:val="21"/>
              </w:rPr>
              <w:t>NTU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804" w:type="pct"/>
            <w:vAlign w:val="top"/>
          </w:tcPr>
          <w:p>
            <w:pPr>
              <w:spacing w:before="96" w:line="214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臭和味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804" w:type="pct"/>
            <w:vAlign w:val="top"/>
          </w:tcPr>
          <w:p>
            <w:pPr>
              <w:spacing w:before="96" w:line="214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肉眼可见物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804" w:type="pct"/>
            <w:vAlign w:val="top"/>
          </w:tcPr>
          <w:p>
            <w:pPr>
              <w:spacing w:before="96" w:line="214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pH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铝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铁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锰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铜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锌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氯化物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硫酸盐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溶解性总固体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总硬度(以CaCO₃计)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高锰酸盐指数(以02计)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氨(以N计)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vAlign w:val="top"/>
          </w:tcPr>
          <w:p>
            <w:pPr>
              <w:spacing w:before="94" w:line="22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四、放射性指标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804" w:type="pct"/>
            <w:vAlign w:val="top"/>
          </w:tcPr>
          <w:p>
            <w:pPr>
              <w:spacing w:before="91" w:line="214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总α放射性/(</w:t>
            </w:r>
            <w:r>
              <w:rPr>
                <w:rFonts w:ascii="宋体" w:hAnsi="宋体" w:eastAsia="宋体" w:cs="宋体"/>
                <w:sz w:val="21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804" w:type="pct"/>
            <w:vAlign w:val="top"/>
          </w:tcPr>
          <w:p>
            <w:pPr>
              <w:spacing w:before="91" w:line="214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总β放射性/(</w:t>
            </w:r>
            <w:r>
              <w:rPr>
                <w:rFonts w:ascii="宋体" w:hAnsi="宋体" w:eastAsia="宋体" w:cs="宋体"/>
                <w:sz w:val="21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00" w:type="pct"/>
            <w:gridSpan w:val="4"/>
            <w:vAlign w:val="top"/>
          </w:tcPr>
          <w:p>
            <w:pPr>
              <w:spacing w:before="103" w:line="219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五、消毒剂指标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804" w:type="pct"/>
            <w:vAlign w:val="top"/>
          </w:tcPr>
          <w:p>
            <w:pPr>
              <w:spacing w:before="99" w:line="22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游离氯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804" w:type="pct"/>
            <w:vAlign w:val="top"/>
          </w:tcPr>
          <w:p>
            <w:pPr>
              <w:spacing w:before="99" w:line="221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总氯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804" w:type="pct"/>
            <w:vAlign w:val="top"/>
          </w:tcPr>
          <w:p>
            <w:pPr>
              <w:spacing w:before="97" w:line="21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臭氧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804" w:type="pct"/>
            <w:vAlign w:val="top"/>
          </w:tcPr>
          <w:p>
            <w:pPr>
              <w:spacing w:before="107" w:line="21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二氧化氯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</w:tbl>
    <w:p>
      <w:pPr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pacing w:val="0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-32"/>
          <w:sz w:val="29"/>
          <w:szCs w:val="29"/>
        </w:rPr>
        <w:t>责任报告人：</w:t>
      </w:r>
      <w:r>
        <w:rPr>
          <w:rFonts w:hint="eastAsia" w:ascii="仿宋" w:hAnsi="仿宋" w:eastAsia="仿宋" w:cs="仿宋"/>
          <w:spacing w:val="-32"/>
          <w:sz w:val="29"/>
          <w:szCs w:val="29"/>
          <w:lang w:val="en-US" w:eastAsia="zh-CN"/>
        </w:rPr>
        <w:t>樊春燕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                 </w:t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 xml:space="preserve">  </w:t>
      </w:r>
      <w:r>
        <w:rPr>
          <w:rFonts w:ascii="仿宋" w:hAnsi="仿宋" w:eastAsia="仿宋" w:cs="仿宋"/>
          <w:spacing w:val="-32"/>
          <w:sz w:val="29"/>
          <w:szCs w:val="29"/>
        </w:rPr>
        <w:t>联系电话</w:t>
      </w:r>
      <w:r>
        <w:rPr>
          <w:rFonts w:hint="eastAsia" w:ascii="仿宋" w:hAnsi="仿宋" w:eastAsia="仿宋" w:cs="仿宋"/>
          <w:spacing w:val="-32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仿宋"/>
          <w:spacing w:val="0"/>
          <w:sz w:val="29"/>
          <w:szCs w:val="29"/>
          <w:lang w:val="en-US" w:eastAsia="zh-CN"/>
        </w:rPr>
        <w:t>13369455122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pacing w:val="-32"/>
          <w:sz w:val="29"/>
          <w:szCs w:val="29"/>
          <w:u w:val="none"/>
          <w:lang w:val="en-US" w:eastAsia="zh-CN"/>
        </w:rPr>
      </w:pPr>
      <w:r>
        <w:rPr>
          <w:rFonts w:ascii="仿宋" w:hAnsi="仿宋" w:eastAsia="仿宋" w:cs="仿宋"/>
          <w:spacing w:val="-17"/>
          <w:sz w:val="29"/>
          <w:szCs w:val="29"/>
        </w:rPr>
        <w:t>报告单位：</w:t>
      </w:r>
      <w:r>
        <w:rPr>
          <w:rFonts w:hint="eastAsia" w:ascii="仿宋" w:hAnsi="仿宋" w:eastAsia="仿宋" w:cs="仿宋"/>
          <w:spacing w:val="-17"/>
          <w:sz w:val="29"/>
          <w:szCs w:val="29"/>
          <w:u w:val="single" w:color="auto"/>
          <w:lang w:val="en-US" w:eastAsia="zh-CN"/>
        </w:rPr>
        <w:t>民乐县疾病预防控制中</w:t>
      </w:r>
      <w:r>
        <w:rPr>
          <w:rFonts w:hint="eastAsia" w:ascii="仿宋" w:hAnsi="仿宋" w:eastAsia="仿宋" w:cs="仿宋"/>
          <w:spacing w:val="-10"/>
          <w:sz w:val="29"/>
          <w:szCs w:val="29"/>
          <w:u w:val="single" w:color="auto"/>
          <w:lang w:val="en-US" w:eastAsia="zh-CN"/>
        </w:rPr>
        <w:t>心</w:t>
      </w:r>
      <w:r>
        <w:rPr>
          <w:rFonts w:ascii="仿宋" w:hAnsi="仿宋" w:eastAsia="仿宋" w:cs="仿宋"/>
          <w:spacing w:val="-17"/>
          <w:sz w:val="29"/>
          <w:szCs w:val="29"/>
        </w:rPr>
        <w:t>(盖章)报告时间</w:t>
      </w:r>
      <w:r>
        <w:rPr>
          <w:rFonts w:hint="eastAsia" w:ascii="仿宋" w:hAnsi="仿宋" w:eastAsia="仿宋" w:cs="仿宋"/>
          <w:spacing w:val="-17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仿宋"/>
          <w:spacing w:val="-32"/>
          <w:sz w:val="29"/>
          <w:szCs w:val="29"/>
          <w:u w:val="single"/>
          <w:lang w:val="en-US" w:eastAsia="zh-CN"/>
        </w:rPr>
        <w:t>2024</w:t>
      </w:r>
      <w:r>
        <w:rPr>
          <w:rFonts w:ascii="仿宋" w:hAnsi="仿宋" w:eastAsia="仿宋" w:cs="仿宋"/>
          <w:spacing w:val="-17"/>
          <w:sz w:val="29"/>
          <w:szCs w:val="29"/>
        </w:rPr>
        <w:t>年</w:t>
      </w:r>
      <w:r>
        <w:rPr>
          <w:rFonts w:hint="eastAsia" w:ascii="仿宋" w:hAnsi="仿宋" w:eastAsia="仿宋" w:cs="仿宋"/>
          <w:spacing w:val="-17"/>
          <w:sz w:val="29"/>
          <w:szCs w:val="29"/>
          <w:u w:val="single"/>
          <w:lang w:val="en-US" w:eastAsia="zh-CN"/>
        </w:rPr>
        <w:t>1</w:t>
      </w:r>
      <w:r>
        <w:rPr>
          <w:rFonts w:ascii="仿宋" w:hAnsi="仿宋" w:eastAsia="仿宋" w:cs="仿宋"/>
          <w:spacing w:val="-17"/>
          <w:sz w:val="29"/>
          <w:szCs w:val="29"/>
          <w:u w:val="none" w:color="auto"/>
        </w:rPr>
        <w:t>月</w:t>
      </w:r>
      <w:r>
        <w:rPr>
          <w:rFonts w:hint="eastAsia" w:ascii="仿宋" w:hAnsi="仿宋" w:eastAsia="仿宋" w:cs="仿宋"/>
          <w:spacing w:val="-32"/>
          <w:sz w:val="29"/>
          <w:szCs w:val="29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spacing w:val="-32"/>
          <w:sz w:val="29"/>
          <w:szCs w:val="29"/>
          <w:u w:val="none"/>
          <w:lang w:val="en-US" w:eastAsia="zh-CN"/>
        </w:rPr>
        <w:t>日</w:t>
      </w:r>
      <w:bookmarkStart w:id="0" w:name="_GoBack"/>
      <w:bookmarkEnd w:id="0"/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WJkZDQ1NWRmM2U2YjdiZGQ2ZWMyZGRiZDg2ODUifQ=="/>
  </w:docVars>
  <w:rsids>
    <w:rsidRoot w:val="1CCD6282"/>
    <w:rsid w:val="1CCD6282"/>
    <w:rsid w:val="67B30B69"/>
    <w:rsid w:val="6E2B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2023-12-20T00:45:00Z</dcterms:created>
  <dc:creator>hellokitty</dc:creator>
  <cp:lastModifiedBy>hellokitty</cp:lastModifiedBy>
  <dcterms:modified xsi:type="dcterms:W3CDTF">2024-01-24T01:06:51Z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E11AF4CAAD3749F38A4D9B0108D7FAE6_11</vt:lpwstr>
  </property>
</Properties>
</file>