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9</w:t>
      </w:r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□</w:t>
      </w:r>
      <w:r>
        <w:rPr>
          <w:rFonts w:ascii="仿宋" w:hAnsi="仿宋" w:eastAsia="仿宋" w:cs="仿宋"/>
          <w:spacing w:val="-18"/>
          <w:sz w:val="29"/>
          <w:szCs w:val="29"/>
        </w:rPr>
        <w:t>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枯水期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2"/>
                <w:sz w:val="21"/>
                <w:szCs w:val="21"/>
                <w:lang w:eastAsia="zh-CN"/>
              </w:rPr>
              <w:t>68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2"/>
                <w:sz w:val="21"/>
                <w:szCs w:val="21"/>
                <w:lang w:eastAsia="zh-CN"/>
              </w:rPr>
              <w:t>68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2"/>
                <w:sz w:val="21"/>
                <w:szCs w:val="21"/>
                <w:lang w:eastAsia="zh-CN"/>
              </w:rPr>
              <w:t>68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2"/>
                <w:sz w:val="21"/>
                <w:szCs w:val="21"/>
                <w:lang w:eastAsia="zh-CN"/>
              </w:rPr>
              <w:t>68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A96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  <w:tc>
          <w:tcPr>
            <w:tcW w:w="873" w:type="pct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68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张贵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13993699491</w:t>
      </w:r>
      <w:bookmarkStart w:id="0" w:name="_GoBack"/>
      <w:bookmarkEnd w:id="0"/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6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19日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091F5952"/>
    <w:rsid w:val="2EB34E59"/>
    <w:rsid w:val="327E2133"/>
    <w:rsid w:val="3A0E46E5"/>
    <w:rsid w:val="41B15D69"/>
    <w:rsid w:val="427E6024"/>
    <w:rsid w:val="543A26A1"/>
    <w:rsid w:val="54E765FD"/>
    <w:rsid w:val="58D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857</Characters>
  <Lines>0</Lines>
  <Paragraphs>0</Paragraphs>
  <TotalTime>43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张贵</cp:lastModifiedBy>
  <cp:lastPrinted>2025-02-20T01:09:00Z</cp:lastPrinted>
  <dcterms:modified xsi:type="dcterms:W3CDTF">2025-06-23T07:23:12Z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DD620BECC4E346948C5518BDA84F577C_13</vt:lpwstr>
  </property>
  <property fmtid="{D5CDD505-2E9C-101B-9397-08002B2CF9AE}" pid="4" name="KSOTemplateDocerSaveRecord">
    <vt:lpwstr>eyJoZGlkIjoiZWE2NDI1M2NmYzg0YWI4NzA2YzFhNDZhODQ2MWY5NGEiLCJ1c2VySWQiOiI3MjM1NTcwMTUifQ==</vt:lpwstr>
  </property>
</Properties>
</file>