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604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9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firstLine="904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2022年度妇幼健康工作主要指标</w:t>
      </w:r>
    </w:p>
    <w:bookmarkEnd w:id="0"/>
    <w:p>
      <w:pPr>
        <w:keepNext w:val="0"/>
        <w:keepLines w:val="0"/>
        <w:pageBreakBefore w:val="0"/>
        <w:widowControl w:val="0"/>
        <w:wordWrap/>
        <w:overflowPunct/>
        <w:topLinePunct w:val="0"/>
        <w:bidi w:val="0"/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以县为单位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实现孕产妇可预防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死亡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新生儿死亡率控制在3‰以下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婴儿死亡率控制在5‰以下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5岁以下儿童死亡率控制在6‰以下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孕产妇系统管理率95%以上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3岁以下儿童系统管理率95%以上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7岁以下儿童健康管理率94%以上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孕产妇、儿童健康档案规范化管理合格率95%以上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婚前医学检查率80%以上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产前血清学筛查率80%以上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8.先天性甲状腺功能减低症、苯丙酮尿症、新生儿听力筛查率98%以上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新生儿先天性心脏病筛查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率60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新生儿访视率98%以上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6个月内婴儿纯母乳喂养率达到60%以上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5岁以下儿童贫血发生率和生长迟缓率分别控制在10%和5%以下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0-6岁儿童眼保健和视力检查覆盖率达到95%以上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0-6岁高危儿童专案管理率达70%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妇女宫颈癌、乳腺癌检查任务完成率100%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宫颈癌、乳腺癌早诊率分别达90%和70%以上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艾滋病、梅毒、乙肝感染孕产妇孕期规范治疗率达95%以上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C151E"/>
    <w:rsid w:val="153C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360" w:lineRule="auto"/>
      <w:ind w:firstLine="640" w:firstLineChars="200"/>
    </w:pPr>
    <w:rPr>
      <w:rFonts w:ascii="仿宋_GB2312" w:hAnsi="宋体" w:eastAsia="仿宋_GB2312"/>
      <w:color w:val="000000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443</Characters>
  <Lines>0</Lines>
  <Paragraphs>0</Paragraphs>
  <TotalTime>0</TotalTime>
  <ScaleCrop>false</ScaleCrop>
  <LinksUpToDate>false</LinksUpToDate>
  <CharactersWithSpaces>443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2022-04-22T01:25:00Z</dcterms:created>
  <dc:creator>WPS_185256130</dc:creator>
  <cp:lastModifiedBy>WPS_185256130</cp:lastModifiedBy>
  <dcterms:modified xsi:type="dcterms:W3CDTF">2022-04-22T01:26:19Z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6F28792A62614D9092FDC9B58FA377FF</vt:lpwstr>
  </property>
</Properties>
</file>