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资产损失金额划分标准</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2314"/>
        <w:gridCol w:w="2080"/>
        <w:gridCol w:w="1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资产总额</w:t>
            </w:r>
          </w:p>
        </w:tc>
        <w:tc>
          <w:tcPr>
            <w:tcW w:w="2314"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一般资产损失</w:t>
            </w:r>
          </w:p>
        </w:tc>
        <w:tc>
          <w:tcPr>
            <w:tcW w:w="208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较大资产损失</w:t>
            </w:r>
          </w:p>
        </w:tc>
        <w:tc>
          <w:tcPr>
            <w:tcW w:w="189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重大资产损失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5亿元以下（含）</w:t>
            </w:r>
          </w:p>
        </w:tc>
        <w:tc>
          <w:tcPr>
            <w:tcW w:w="2314"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50万</w:t>
            </w:r>
            <w:bookmarkStart w:id="0" w:name="_GoBack"/>
            <w:bookmarkEnd w:id="0"/>
            <w:r>
              <w:rPr>
                <w:rFonts w:hint="default" w:ascii="Times New Roman" w:hAnsi="Times New Roman" w:eastAsia="仿宋_GB2312" w:cs="Times New Roman"/>
                <w:sz w:val="24"/>
                <w:szCs w:val="24"/>
              </w:rPr>
              <w:t>元以下（含）</w:t>
            </w:r>
          </w:p>
        </w:tc>
        <w:tc>
          <w:tcPr>
            <w:tcW w:w="208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50-100万（含）</w:t>
            </w:r>
          </w:p>
        </w:tc>
        <w:tc>
          <w:tcPr>
            <w:tcW w:w="189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5亿元－50亿元（含）</w:t>
            </w:r>
          </w:p>
        </w:tc>
        <w:tc>
          <w:tcPr>
            <w:tcW w:w="2314"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50万元以下（含）</w:t>
            </w:r>
          </w:p>
        </w:tc>
        <w:tc>
          <w:tcPr>
            <w:tcW w:w="208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50－200万（含）</w:t>
            </w:r>
          </w:p>
        </w:tc>
        <w:tc>
          <w:tcPr>
            <w:tcW w:w="189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50亿元－100亿元（含）</w:t>
            </w:r>
          </w:p>
        </w:tc>
        <w:tc>
          <w:tcPr>
            <w:tcW w:w="2314"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100万元以下（含）</w:t>
            </w:r>
          </w:p>
        </w:tc>
        <w:tc>
          <w:tcPr>
            <w:tcW w:w="208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100-300万（含）</w:t>
            </w:r>
          </w:p>
        </w:tc>
        <w:tc>
          <w:tcPr>
            <w:tcW w:w="189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300万元以上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4"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100亿元－500亿元（含）</w:t>
            </w:r>
          </w:p>
        </w:tc>
        <w:tc>
          <w:tcPr>
            <w:tcW w:w="2314"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100万元以下（含）</w:t>
            </w:r>
          </w:p>
        </w:tc>
        <w:tc>
          <w:tcPr>
            <w:tcW w:w="2080"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100-500万（含）</w:t>
            </w:r>
          </w:p>
        </w:tc>
        <w:tc>
          <w:tcPr>
            <w:tcW w:w="1891"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500万元以上</w:t>
            </w: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注：1.资产总额是指企业发生资产损失责任认定年度的上年度本企业经审计的合并报表年末资产总额，当年成立企业的资产总额是指本年度经审计的合并报表年末资产总额；</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4"/>
          <w:szCs w:val="24"/>
        </w:rPr>
        <w:t>2.资产损失总额是指经审计确认的单笔资产损失额</w:t>
      </w:r>
    </w:p>
    <w:p>
      <w:pPr>
        <w:pStyle w:val="2"/>
        <w:keepNext w:val="0"/>
        <w:keepLines w:val="0"/>
        <w:pageBreakBefore w:val="0"/>
        <w:widowControl w:val="0"/>
        <w:kinsoku/>
        <w:wordWrap/>
        <w:overflowPunct/>
        <w:topLinePunct w:val="0"/>
        <w:autoSpaceDE/>
        <w:autoSpaceDN/>
        <w:bidi w:val="0"/>
        <w:spacing w:after="0" w:line="560" w:lineRule="exact"/>
        <w:ind w:left="0" w:leftChars="0" w:firstLine="560" w:firstLineChars="200"/>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50D48"/>
    <w:rsid w:val="41955903"/>
    <w:rsid w:val="46E50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next w:val="1"/>
    <w:qFormat/>
    <w:uiPriority w:val="0"/>
    <w:pPr>
      <w:tabs>
        <w:tab w:val="center" w:pos="4153"/>
        <w:tab w:val="right" w:pos="8307"/>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2021-05-06T10:00:00Z</dcterms:created>
  <dc:creator>锦瑟</dc:creator>
  <cp:lastModifiedBy>锦瑟</cp:lastModifiedBy>
  <dcterms:modified xsi:type="dcterms:W3CDTF">2021-05-06T10:01:14Z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5BA6B5CBC7BB47D6A9D76001A98C3C8D</vt:lpwstr>
  </property>
</Properties>
</file>