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GoBack"/>
      <w:bookmarkStart w:id="0" w:name="_Toc357410214"/>
      <w:bookmarkEnd w:id="0"/>
      <w:bookmarkStart w:id="1" w:name="_Toc11481"/>
      <w:bookmarkStart w:id="2" w:name="_Toc9716"/>
      <w:bookmarkStart w:id="3" w:name="_Toc22549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附件1：事故风险评估和应急资源调查报告</w:t>
      </w:r>
      <w:bookmarkEnd w:id="1"/>
      <w:bookmarkEnd w:id="2"/>
      <w:bookmarkEnd w:id="3"/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 事故风险评估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根据民乐县整体情况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主要存在的风险有以下几类：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自然灾害类风险因素有：洪涝、干旱、突发地质灾害、森林草原火灾、地震、气象灾害、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有害生物灾害等。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事故灾害类风险因素有：危险化学品事故、非煤矿山事故、建设领域事故、特种设备事故、突发环境事件、环境污染事故、交通事故、火灾等。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公共卫生类风险因素有：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传染病疫情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群体性不明原因疾病、食物与职业中毒、动物疫情及其他严重影响公众健康和生命安全事件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社会安全类风险因素有：恐怖袭击事件、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经济安全事件、民族宗教事件、重大刑事案件、群体性事件</w:t>
      </w:r>
      <w:r>
        <w:rPr>
          <w:rFonts w:hint="eastAsia" w:ascii="仿宋_GB2312" w:hAnsi="仿宋_GB2312" w:eastAsia="仿宋_GB2312" w:cs="仿宋_GB2312"/>
          <w:sz w:val="32"/>
          <w:szCs w:val="32"/>
        </w:rPr>
        <w:t>、涉外突发事件、教育考试安全事件、城市供水安全事件。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 应急资源调查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按照国家颁布的《中华人民共和国突发事件应对法》的要求，为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突发</w:t>
      </w:r>
      <w:r>
        <w:rPr>
          <w:rFonts w:hint="eastAsia" w:ascii="仿宋_GB2312" w:hAnsi="仿宋_GB2312" w:eastAsia="仿宋_GB2312" w:cs="仿宋_GB2312"/>
          <w:sz w:val="32"/>
          <w:szCs w:val="32"/>
        </w:rPr>
        <w:t>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后能迅速、有序、有效地开展应急处置行动，始终把生命安全和身体健康放在首位，及时、有效的对受伤人员进行施救，最大限度地减少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突发事件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造成的人员伤亡和危害。在编制应急救援预案的同时，对本县的应急资源进行调查。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调查的对象和范围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此次调查的对象为民乐县范围内发生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突发事件</w:t>
      </w:r>
      <w:r>
        <w:rPr>
          <w:rFonts w:hint="eastAsia" w:ascii="仿宋_GB2312" w:hAnsi="仿宋_GB2312" w:eastAsia="仿宋_GB2312" w:cs="仿宋_GB2312"/>
          <w:sz w:val="32"/>
          <w:szCs w:val="32"/>
        </w:rPr>
        <w:t>可能提供应急救援的部门及单位。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应急资源调查的程序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0" w:firstLineChars="0"/>
        <w:textAlignment w:val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53975</wp:posOffset>
            </wp:positionV>
            <wp:extent cx="4780915" cy="3343275"/>
            <wp:effectExtent l="0" t="0" r="635" b="9525"/>
            <wp:wrapThrough wrapText="bothSides">
              <wp:wrapPolygon>
                <wp:start x="0" y="0"/>
                <wp:lineTo x="0" y="21538"/>
                <wp:lineTo x="21517" y="21538"/>
                <wp:lineTo x="21517" y="0"/>
                <wp:lineTo x="0" y="0"/>
              </wp:wrapPolygon>
            </wp:wrapThrough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56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56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56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56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56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56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56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56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应急物资装备资源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根据本次调查统计结果，各类应急物资装备详见下表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（4）应急资源调查结论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全面调查和客观分析民乐县主要事故风险、应急装备、队伍、物资等应急资源的基础上，针对可能发生的事故类型，详细检查了应急能力，针对评估过程中发现的不足，已经补充和完善，应急能力满足救援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gNumType w:fmt="numberInDash" w:start="1"/>
          <w:cols w:space="720" w:num="1"/>
          <w:rtlGutter w:val="0"/>
          <w:docGrid w:type="lines" w:linePitch="386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76BF7"/>
    <w:rsid w:val="572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2020-12-15T07:45:00Z</dcterms:created>
  <dc:creator>Administrator</dc:creator>
  <cp:lastModifiedBy>Administrator</cp:lastModifiedBy>
  <dcterms:modified xsi:type="dcterms:W3CDTF">2020-12-15T07:52:57Z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